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91D41" w14:textId="7D511CEF" w:rsidR="005817DA" w:rsidRPr="00E75207" w:rsidRDefault="00CD0675" w:rsidP="6727A5B3">
      <w:pPr>
        <w:pStyle w:val="Title"/>
        <w:ind w:right="2006"/>
      </w:pPr>
      <w:r>
        <w:rPr>
          <w:noProof/>
        </w:rPr>
        <mc:AlternateContent>
          <mc:Choice Requires="wpg">
            <w:drawing>
              <wp:anchor distT="0" distB="0" distL="114300" distR="114300" simplePos="0" relativeHeight="251658245" behindDoc="0" locked="0" layoutInCell="1" allowOverlap="1" wp14:anchorId="56A7F359" wp14:editId="547170A7">
                <wp:simplePos x="0" y="0"/>
                <wp:positionH relativeFrom="column">
                  <wp:posOffset>492526</wp:posOffset>
                </wp:positionH>
                <wp:positionV relativeFrom="paragraph">
                  <wp:posOffset>-20487</wp:posOffset>
                </wp:positionV>
                <wp:extent cx="6613152" cy="9484725"/>
                <wp:effectExtent l="0" t="0" r="0" b="0"/>
                <wp:wrapNone/>
                <wp:docPr id="1910920191" name="Group 1910920191"/>
                <wp:cNvGraphicFramePr/>
                <a:graphic xmlns:a="http://schemas.openxmlformats.org/drawingml/2006/main">
                  <a:graphicData uri="http://schemas.microsoft.com/office/word/2010/wordprocessingGroup">
                    <wpg:wgp>
                      <wpg:cNvGrpSpPr/>
                      <wpg:grpSpPr>
                        <a:xfrm>
                          <a:off x="0" y="0"/>
                          <a:ext cx="6613152" cy="9484725"/>
                          <a:chOff x="0" y="0"/>
                          <a:chExt cx="6613152" cy="9484725"/>
                        </a:xfrm>
                      </wpg:grpSpPr>
                      <wps:wsp>
                        <wps:cNvPr id="158186496" name="Freeform: Shape 158186496"/>
                        <wps:cNvSpPr/>
                        <wps:spPr>
                          <a:xfrm>
                            <a:off x="0" y="2280622"/>
                            <a:ext cx="2245360" cy="2404745"/>
                          </a:xfrm>
                          <a:custGeom>
                            <a:avLst/>
                            <a:gdLst>
                              <a:gd name="connsiteX0" fmla="*/ 845630 w 1691354"/>
                              <a:gd name="connsiteY0" fmla="*/ 1789081 h 1789080"/>
                              <a:gd name="connsiteX1" fmla="*/ 0 w 1691354"/>
                              <a:gd name="connsiteY1" fmla="*/ 0 h 1789080"/>
                              <a:gd name="connsiteX2" fmla="*/ 1691354 w 1691354"/>
                              <a:gd name="connsiteY2" fmla="*/ 0 h 1789080"/>
                              <a:gd name="connsiteX3" fmla="*/ 845630 w 1691354"/>
                              <a:gd name="connsiteY3" fmla="*/ 1789081 h 1789080"/>
                            </a:gdLst>
                            <a:ahLst/>
                            <a:cxnLst>
                              <a:cxn ang="0">
                                <a:pos x="connsiteX0" y="connsiteY0"/>
                              </a:cxn>
                              <a:cxn ang="0">
                                <a:pos x="connsiteX1" y="connsiteY1"/>
                              </a:cxn>
                              <a:cxn ang="0">
                                <a:pos x="connsiteX2" y="connsiteY2"/>
                              </a:cxn>
                              <a:cxn ang="0">
                                <a:pos x="connsiteX3" y="connsiteY3"/>
                              </a:cxn>
                            </a:cxnLst>
                            <a:rect l="l" t="t" r="r" b="b"/>
                            <a:pathLst>
                              <a:path w="1691354" h="1789080">
                                <a:moveTo>
                                  <a:pt x="845630" y="1789081"/>
                                </a:moveTo>
                                <a:lnTo>
                                  <a:pt x="0" y="0"/>
                                </a:lnTo>
                                <a:lnTo>
                                  <a:pt x="1691354" y="0"/>
                                </a:lnTo>
                                <a:lnTo>
                                  <a:pt x="845630" y="1789081"/>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497" name="Freeform: Shape 158186497"/>
                        <wps:cNvSpPr/>
                        <wps:spPr>
                          <a:xfrm>
                            <a:off x="3367144" y="2280622"/>
                            <a:ext cx="2274570" cy="2406015"/>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Lst>
                            <a:ahLst/>
                            <a:cxnLst>
                              <a:cxn ang="0">
                                <a:pos x="connsiteX0" y="connsiteY0"/>
                              </a:cxn>
                              <a:cxn ang="0">
                                <a:pos x="connsiteX1" y="connsiteY1"/>
                              </a:cxn>
                              <a:cxn ang="0">
                                <a:pos x="connsiteX2" y="connsiteY2"/>
                              </a:cxn>
                              <a:cxn ang="0">
                                <a:pos x="connsiteX3" y="connsiteY3"/>
                              </a:cxn>
                            </a:cxnLst>
                            <a:rect l="l" t="t" r="r" b="b"/>
                            <a:pathLst>
                              <a:path w="1713357" h="1812321">
                                <a:moveTo>
                                  <a:pt x="856679" y="0"/>
                                </a:moveTo>
                                <a:lnTo>
                                  <a:pt x="0" y="1812322"/>
                                </a:lnTo>
                                <a:lnTo>
                                  <a:pt x="1713357" y="1812322"/>
                                </a:lnTo>
                                <a:lnTo>
                                  <a:pt x="856679"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498" name="Freeform: Shape 158186498"/>
                        <wps:cNvSpPr/>
                        <wps:spPr>
                          <a:xfrm>
                            <a:off x="2237591" y="7078532"/>
                            <a:ext cx="2274471" cy="2406193"/>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8186499" name="Group 158186499"/>
                        <wpg:cNvGrpSpPr/>
                        <wpg:grpSpPr>
                          <a:xfrm rot="10800000">
                            <a:off x="4496697" y="0"/>
                            <a:ext cx="2116455" cy="2296795"/>
                            <a:chOff x="34669" y="0"/>
                            <a:chExt cx="1594731" cy="1730501"/>
                          </a:xfrm>
                          <a:solidFill>
                            <a:schemeClr val="accent2"/>
                          </a:solidFill>
                        </wpg:grpSpPr>
                        <wps:wsp>
                          <wps:cNvPr id="158186500" name="Freeform: Shape 158186500"/>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01" name="Freeform: Shape 158186501"/>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02" name="Freeform: Shape 158186502"/>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03" name="Freeform: Shape 158186503"/>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04" name="Freeform: Shape 158186504"/>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05" name="Freeform: Shape 158186505"/>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06" name="Freeform: Shape 158186506"/>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07" name="Freeform: Shape 158186507"/>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08" name="Freeform: Shape 158186508"/>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09" name="Freeform: Shape 158186509"/>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10" name="Freeform: Shape 158186510"/>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12" name="Freeform: Shape 158186512"/>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13" name="Freeform: Shape 158186513"/>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14" name="Freeform: Shape 158186514"/>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16" name="Freeform: Shape 158186516"/>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17" name="Freeform: Shape 158186517"/>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18" name="Freeform: Shape 158186518"/>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20" name="Freeform: Shape 158186520"/>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21" name="Freeform: Shape 158186521"/>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22" name="Freeform: Shape 158186522"/>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23" name="Freeform: Shape 158186523"/>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24" name="Freeform: Shape 158186524"/>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8186525" name="Group 158186525"/>
                        <wpg:cNvGrpSpPr/>
                        <wpg:grpSpPr>
                          <a:xfrm>
                            <a:off x="1161826" y="4690335"/>
                            <a:ext cx="2221865" cy="2405380"/>
                            <a:chOff x="0" y="0"/>
                            <a:chExt cx="2222307" cy="2405724"/>
                          </a:xfrm>
                        </wpg:grpSpPr>
                        <wps:wsp>
                          <wps:cNvPr id="158186526" name="Freeform: Shape 158186526"/>
                          <wps:cNvSpPr/>
                          <wps:spPr>
                            <a:xfrm>
                              <a:off x="258992" y="0"/>
                              <a:ext cx="327775" cy="678515"/>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186527" name="Freeform: Shape 158186527"/>
                          <wps:cNvSpPr/>
                          <wps:spPr>
                            <a:xfrm>
                              <a:off x="311847" y="0"/>
                              <a:ext cx="378738" cy="78639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32" name="Freeform: Shape 1924691232"/>
                          <wps:cNvSpPr/>
                          <wps:spPr>
                            <a:xfrm>
                              <a:off x="364703" y="0"/>
                              <a:ext cx="429700" cy="894400"/>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33" name="Freeform: Shape 1924691233"/>
                          <wps:cNvSpPr/>
                          <wps:spPr>
                            <a:xfrm>
                              <a:off x="412273" y="0"/>
                              <a:ext cx="480663" cy="1002406"/>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35" name="Freeform: Shape 1924691235"/>
                          <wps:cNvSpPr/>
                          <wps:spPr>
                            <a:xfrm>
                              <a:off x="465128" y="0"/>
                              <a:ext cx="531751" cy="1110285"/>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36" name="Freeform: Shape 1924691236"/>
                          <wps:cNvSpPr/>
                          <wps:spPr>
                            <a:xfrm>
                              <a:off x="512698" y="0"/>
                              <a:ext cx="582840" cy="1218291"/>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39" name="Freeform: Shape 1924691239"/>
                          <wps:cNvSpPr/>
                          <wps:spPr>
                            <a:xfrm>
                              <a:off x="565554" y="0"/>
                              <a:ext cx="633801" cy="132617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40" name="Freeform: Shape 1924691240"/>
                          <wps:cNvSpPr/>
                          <wps:spPr>
                            <a:xfrm>
                              <a:off x="0" y="0"/>
                              <a:ext cx="72460" cy="138484"/>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41" name="Freeform: Shape 1924691241"/>
                          <wps:cNvSpPr/>
                          <wps:spPr>
                            <a:xfrm>
                              <a:off x="52855" y="0"/>
                              <a:ext cx="123548" cy="246491"/>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42" name="Freeform: Shape 1924691242"/>
                          <wps:cNvSpPr/>
                          <wps:spPr>
                            <a:xfrm>
                              <a:off x="105711" y="0"/>
                              <a:ext cx="174511" cy="35437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43" name="Freeform: Shape 1924691243"/>
                          <wps:cNvSpPr/>
                          <wps:spPr>
                            <a:xfrm>
                              <a:off x="158566" y="0"/>
                              <a:ext cx="225599" cy="462375"/>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44" name="Freeform: Shape 1924691244"/>
                          <wps:cNvSpPr/>
                          <wps:spPr>
                            <a:xfrm>
                              <a:off x="211422" y="0"/>
                              <a:ext cx="276560" cy="570382"/>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46" name="Freeform: Shape 1924691246"/>
                          <wps:cNvSpPr/>
                          <wps:spPr>
                            <a:xfrm>
                              <a:off x="618409" y="0"/>
                              <a:ext cx="684891" cy="1434176"/>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47" name="Freeform: Shape 1924691247"/>
                          <wps:cNvSpPr/>
                          <wps:spPr>
                            <a:xfrm>
                              <a:off x="671265" y="0"/>
                              <a:ext cx="735852" cy="1542056"/>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48" name="Freeform: Shape 1924691248"/>
                          <wps:cNvSpPr/>
                          <wps:spPr>
                            <a:xfrm>
                              <a:off x="724120" y="0"/>
                              <a:ext cx="786941" cy="1650062"/>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49" name="Freeform: Shape 1924691249"/>
                          <wps:cNvSpPr/>
                          <wps:spPr>
                            <a:xfrm>
                              <a:off x="771690" y="0"/>
                              <a:ext cx="837903" cy="1757942"/>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4691250" name="Freeform: Shape 1924691250"/>
                          <wps:cNvSpPr/>
                          <wps:spPr>
                            <a:xfrm>
                              <a:off x="819260" y="0"/>
                              <a:ext cx="888992" cy="1865947"/>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0597801" name="Freeform: Shape 1940597801"/>
                          <wps:cNvSpPr/>
                          <wps:spPr>
                            <a:xfrm>
                              <a:off x="872115" y="0"/>
                              <a:ext cx="939954" cy="1973954"/>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0597802" name="Freeform: Shape 1940597802"/>
                          <wps:cNvSpPr/>
                          <wps:spPr>
                            <a:xfrm>
                              <a:off x="924971" y="0"/>
                              <a:ext cx="991043" cy="2081833"/>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0597803" name="Freeform: Shape 1940597803"/>
                          <wps:cNvSpPr/>
                          <wps:spPr>
                            <a:xfrm>
                              <a:off x="972541" y="0"/>
                              <a:ext cx="1042004" cy="2189838"/>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0597804" name="Freeform: Shape 1940597804"/>
                          <wps:cNvSpPr/>
                          <wps:spPr>
                            <a:xfrm>
                              <a:off x="1025396" y="0"/>
                              <a:ext cx="1093094" cy="2297717"/>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9" name="Freeform: Shape 429"/>
                          <wps:cNvSpPr/>
                          <wps:spPr>
                            <a:xfrm>
                              <a:off x="1078252" y="0"/>
                              <a:ext cx="1144055" cy="2405724"/>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43" name="Group 443"/>
                        <wpg:cNvGrpSpPr/>
                        <wpg:grpSpPr>
                          <a:xfrm>
                            <a:off x="3420932" y="4690335"/>
                            <a:ext cx="2219325" cy="2405380"/>
                            <a:chOff x="34669" y="0"/>
                            <a:chExt cx="1672119" cy="1811845"/>
                          </a:xfrm>
                          <a:solidFill>
                            <a:schemeClr val="accent2"/>
                          </a:solidFill>
                        </wpg:grpSpPr>
                        <wps:wsp>
                          <wps:cNvPr id="444" name="Freeform: Shape 444"/>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5" name="Freeform: Shape 445"/>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6" name="Freeform: Shape 446"/>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7" name="Freeform: Shape 447"/>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Freeform: Shape 512"/>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reeform: Shape 513"/>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Freeform: Shape 520"/>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1" name="Freeform: Shape 521"/>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2" name="Freeform: Shape 522"/>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3" name="Freeform: Shape 523"/>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4" name="Freeform: Shape 524"/>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 name="Freeform: Shape 525"/>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 name="Freeform: Shape 526"/>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 name="Freeform: Shape 527"/>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8" name="Freeform: Shape 528"/>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9" name="Freeform: Shape 529"/>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0" name="Freeform: Shape 530"/>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1" name="Freeform: Shape 531"/>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2" name="Freeform: Shape 532"/>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3" name="Freeform: Shape 533"/>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4" name="Freeform: Shape 534"/>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Freeform: Shape 535"/>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6" name="Freeform: Shape 536"/>
                          <wps:cNvSpPr/>
                          <wps:spPr>
                            <a:xfrm>
                              <a:off x="845062" y="0"/>
                              <a:ext cx="861726" cy="1811845"/>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3543405" id="Group 1910920191" o:spid="_x0000_s1026" style="position:absolute;margin-left:38.8pt;margin-top:-1.6pt;width:520.7pt;height:746.85pt;z-index:251658245" coordsize="66131,9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">
                <v:shape id="Freeform: Shape 158186496" o:spid="_x0000_s1027" style="position:absolute;top:22806;width:22453;height:24047;visibility:visible;mso-wrap-style:square;v-text-anchor:middle" coordsize="1691354,178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" path="m845630,1789081l,,1691354,,845630,1789081xe" fillcolor="#87189d [3204]" stroked="f">
                  <v:stroke joinstyle="miter"/>
                  <v:path arrowok="t" o:connecttype="custom" o:connectlocs="1122618,2404746;0,0;2245360,0;1122618,2404746" o:connectangles="0,0,0,0"/>
                </v:shape>
                <v:shape id="Freeform: Shape 158186497" o:spid="_x0000_s1028" style="position:absolute;left:33671;top:22806;width:22746;height:24060;visibility:visible;mso-wrap-style:square;v-text-anchor:middle" coordsize="1713357,18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" path="m856679,l,1812322r1713357,l856679,xe" fillcolor="#87189d [3204]" stroked="f">
                  <v:stroke joinstyle="miter"/>
                  <v:path arrowok="t" o:connecttype="custom" o:connectlocs="1137286,0;0,2406016;2274570,2406016;1137286,0" o:connectangles="0,0,0,0"/>
                </v:shape>
                <v:shape id="Freeform: Shape 158186498" o:spid="_x0000_s1029" style="position:absolute;left:22375;top:70785;width:22745;height:24062;visibility:visible;mso-wrap-style:square;v-text-anchor:middle" coordsize="1713261,181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" path="m,l856583,1812227,1713262,,,xe" fillcolor="#87189d [3204]" stroked="f">
                  <v:stroke joinstyle="miter"/>
                  <v:path arrowok="t" o:connecttype="custom" o:connectlocs="0,0;1137172,2406194;2274472,0;0,0" o:connectangles="0,0,0,0"/>
                </v:shape>
                <v:group id="Group 158186499" o:spid="_x0000_s1030" style="position:absolute;left:44966;width:21165;height:22967;rotation:180" coordorigin="346" coordsize="15947,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">
                  <v:shape id="Freeform: Shape 158186500" o:spid="_x0000_s1031" style="position:absolute;left:1906;width:2084;height:4296;visibility:visible;mso-wrap-style:square;v-text-anchor:middle" coordsize="208407,42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" path="m197834,l,418529r5239,11144l208407,,197834,xe" filled="f" stroked="f">
                    <v:stroke joinstyle="miter"/>
                    <v:path arrowok="t" o:connecttype="custom" o:connectlocs="197834,0;0,418529;5239,429673;208407,0;197834,0" o:connectangles="0,0,0,0,0"/>
                  </v:shape>
                  <v:shape id="Freeform: Shape 158186501" o:spid="_x0000_s1032" style="position:absolute;left:2296;width:2469;height:5110;visibility:visible;mso-wrap-style:square;v-text-anchor:middle" coordsize="246887,5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" path="m236315,l,499872r5239,11144l246888,,236315,xe" fillcolor="#ab5dba [3205]" stroked="f">
                    <v:stroke joinstyle="miter"/>
                    <v:path arrowok="t" o:connecttype="custom" o:connectlocs="236315,0;0,499872;5239,511016;246888,0;236315,0" o:connectangles="0,0,0,0,0"/>
                  </v:shape>
                  <v:shape id="Freeform: Shape 158186502" o:spid="_x0000_s1033" style="position:absolute;left:2686;width:2853;height:5922;visibility:visible;mso-wrap-style:square;v-text-anchor:middle" coordsize="285273,5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" path="m274701,l,581120r5239,11144l285274,,274701,xe" fillcolor="#ab5dba [3205]" stroked="f">
                    <v:stroke joinstyle="miter"/>
                    <v:path arrowok="t" o:connecttype="custom" o:connectlocs="274701,0;0,581120;5239,592264;285274,0;274701,0" o:connectangles="0,0,0,0,0"/>
                  </v:shape>
                  <v:shape id="Freeform: Shape 158186503" o:spid="_x0000_s1034" style="position:absolute;left:3076;width:3237;height:6736;visibility:visible;mso-wrap-style:square;v-text-anchor:middle" coordsize="323659,6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" path="m313182,l,662464r5239,11144l323659,,313182,xe" fillcolor="#ab5dba [3205]" stroked="f">
                    <v:stroke joinstyle="miter"/>
                    <v:path arrowok="t" o:connecttype="custom" o:connectlocs="313182,0;0,662464;5239,673608;323659,0;313182,0" o:connectangles="0,0,0,0,0"/>
                  </v:shape>
                  <v:shape id="Freeform: Shape 158186504" o:spid="_x0000_s1035" style="position:absolute;left:3423;width:3621;height:7549;visibility:visible;mso-wrap-style:square;v-text-anchor:middle" coordsize="362045,75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" path="m351568,l,743807r5239,11145l362045,,351568,xe" fillcolor="#ab5dba [3205]" stroked="f">
                    <v:stroke joinstyle="miter"/>
                    <v:path arrowok="t" o:connecttype="custom" o:connectlocs="351568,0;0,743807;5239,754952;362045,0;351568,0" o:connectangles="0,0,0,0,0"/>
                  </v:shape>
                  <v:shape id="Freeform: Shape 158186505" o:spid="_x0000_s1036" style="position:absolute;left:3813;width:4005;height:8361;visibility:visible;mso-wrap-style:square;v-text-anchor:middle" coordsize="400526,83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" path="m390049,l,825055r5239,11145l400526,,390049,xe" fillcolor="#ab5dba [3205]" stroked="f">
                    <v:stroke joinstyle="miter"/>
                    <v:path arrowok="t" o:connecttype="custom" o:connectlocs="390049,0;0,825055;5239,836200;400526,0;390049,0" o:connectangles="0,0,0,0,0"/>
                  </v:shape>
                  <v:shape id="Freeform: Shape 158186506" o:spid="_x0000_s1037" style="position:absolute;left:4203;width:4390;height:9175;visibility:visible;mso-wrap-style:square;v-text-anchor:middle" coordsize="439007,91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" path="m428530,l,906399r5334,11144l439008,,428530,xe" fillcolor="#ab5dba [3205]" stroked="f">
                    <v:stroke joinstyle="miter"/>
                    <v:path arrowok="t" o:connecttype="custom" o:connectlocs="428530,0;0,906399;5334,917543;439008,0;428530,0" o:connectangles="0,0,0,0,0"/>
                  </v:shape>
                  <v:shape id="Freeform: Shape 158186507" o:spid="_x0000_s1038" style="position:absolute;left:4593;width:4774;height:9987;visibility:visible;mso-wrap-style:square;v-text-anchor:middle" coordsize="477392,99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" path="m466915,l,987647r5239,11144l477393,,466915,xe" fillcolor="#ab5dba [3205]" stroked="f">
                    <v:stroke joinstyle="miter"/>
                    <v:path arrowok="t" o:connecttype="custom" o:connectlocs="466915,0;0,987647;5239,998791;477393,0;466915,0" o:connectangles="0,0,0,0,0"/>
                  </v:shape>
                  <v:shape id="Freeform: Shape 158186508" o:spid="_x0000_s1039" style="position:absolute;left:346;width:546;height:1042;visibility:visible;mso-wrap-style:square;v-text-anchor:middle" coordsize="54578,1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" path="m44101,l,93154r5239,11145l54578,,44101,xe" fillcolor="#ab5dba [3205]" stroked="f">
                    <v:stroke joinstyle="miter"/>
                    <v:path arrowok="t" o:connecttype="custom" o:connectlocs="44101,0;0,93154;5239,104299;54578,0;44101,0" o:connectangles="0,0,0,0,0"/>
                  </v:shape>
                  <v:shape id="Freeform: Shape 158186509" o:spid="_x0000_s1040" style="position:absolute;left:736;width:931;height:1856;visibility:visible;mso-wrap-style:square;v-text-anchor:middle" coordsize="93059,18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" path="m82487,l,174498r5334,11144l93059,,82487,xe" fillcolor="#ab5dba [3205]" stroked="f">
                    <v:stroke joinstyle="miter"/>
                    <v:path arrowok="t" o:connecttype="custom" o:connectlocs="82487,0;0,174498;5334,185642;93059,0;82487,0" o:connectangles="0,0,0,0,0"/>
                  </v:shape>
                  <v:shape id="Freeform: Shape 158186510" o:spid="_x0000_s1041" style="position:absolute;left:1126;width:1315;height:2668;visibility:visible;mso-wrap-style:square;v-text-anchor:middle" coordsize="131445,26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" path="m120872,l,255746r5239,11144l131445,,120872,xe" fillcolor="#ab5dba [3205]" stroked="f">
                    <v:stroke joinstyle="miter"/>
                    <v:path arrowok="t" o:connecttype="custom" o:connectlocs="120872,0;0,255746;5239,266890;131445,0;120872,0" o:connectangles="0,0,0,0,0"/>
                  </v:shape>
                  <v:shape id="Freeform: Shape 158186512" o:spid="_x0000_s1042" style="position:absolute;left:1516;width:1700;height:3482;visibility:visible;mso-wrap-style:square;v-text-anchor:middle" coordsize="169926,3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" path="m159353,l,337090r5334,11144l169926,,159353,xe" fillcolor="#ab5dba [3205]" stroked="f">
                    <v:stroke joinstyle="miter"/>
                    <v:path arrowok="t" o:connecttype="custom" o:connectlocs="159353,0;0,337090;5334,348234;169926,0;159353,0" o:connectangles="0,0,0,0,0"/>
                  </v:shape>
                  <v:shape id="Freeform: Shape 158186513" o:spid="_x0000_s1043" style="position:absolute;left:1906;width:2083;height:4295;visibility:visible;mso-wrap-style:square;v-text-anchor:middle" coordsize="208311,4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" path="m197739,l,418338r5239,11240l208312,,197739,xe" fillcolor="#ab5dba [3205]" stroked="f">
                    <v:stroke joinstyle="miter"/>
                    <v:path arrowok="t" o:connecttype="custom" o:connectlocs="197739,0;0,418338;5239,429578;208312,0;197739,0" o:connectangles="0,0,0,0,0"/>
                  </v:shape>
                  <v:shape id="Freeform: Shape 158186514" o:spid="_x0000_s1044" style="position:absolute;left:4983;width:5159;height:10801;visibility:visible;mso-wrap-style:square;v-text-anchor:middle" coordsize="515874,108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" path="m505396,l,1068991r5334,11144l515874,,505396,xe" fillcolor="#ab5dba [3205]" stroked="f">
                    <v:stroke joinstyle="miter"/>
                    <v:path arrowok="t" o:connecttype="custom" o:connectlocs="505396,0;0,1068991;5334,1080135;515874,0;505396,0" o:connectangles="0,0,0,0,0"/>
                  </v:shape>
                  <v:shape id="Freeform: Shape 158186516" o:spid="_x0000_s1045" style="position:absolute;left:5373;width:5543;height:11613;visibility:visible;mso-wrap-style:square;v-text-anchor:middle" coordsize="554259,11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" path="m543782,l,1150239r5239,11144l554260,,543782,xe" fillcolor="#ab5dba [3205]" stroked="f">
                    <v:stroke joinstyle="miter"/>
                    <v:path arrowok="t" o:connecttype="custom" o:connectlocs="543782,0;0,1150239;5239,1161383;554260,0;543782,0" o:connectangles="0,0,0,0,0"/>
                  </v:shape>
                  <v:shape id="Freeform: Shape 158186517" o:spid="_x0000_s1046" style="position:absolute;left:5763;width:5928;height:12427;visibility:visible;mso-wrap-style:square;v-text-anchor:middle" coordsize="592740,124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" path="m582168,l,1231582r5334,11145l592741,,582168,xe" fillcolor="#ab5dba [3205]" stroked="f">
                    <v:stroke joinstyle="miter"/>
                    <v:path arrowok="t" o:connecttype="custom" o:connectlocs="582168,0;0,1231582;5334,1242727;592741,0;582168,0" o:connectangles="0,0,0,0,0"/>
                  </v:shape>
                  <v:shape id="Freeform: Shape 158186518" o:spid="_x0000_s1047" style="position:absolute;left:6153;width:6312;height:13239;visibility:visible;mso-wrap-style:square;v-text-anchor:middle" coordsize="631126,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" path="m620554,l,1312831r5239,11144l631126,,620554,xe" fillcolor="#ab5dba [3205]" stroked="f">
                    <v:stroke joinstyle="miter"/>
                    <v:path arrowok="t" o:connecttype="custom" o:connectlocs="620554,0;0,1312831;5239,1323975;631126,0;620554,0" o:connectangles="0,0,0,0,0"/>
                  </v:shape>
                  <v:shape id="Freeform: Shape 158186520" o:spid="_x0000_s1048" style="position:absolute;left:6500;width:6696;height:14053;visibility:visible;mso-wrap-style:square;v-text-anchor:middle" coordsize="669607,14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" path="m659035,l,1394174r5334,11144l669607,,659035,xe" fillcolor="#ab5dba [3205]" stroked="f">
                    <v:stroke joinstyle="miter"/>
                    <v:path arrowok="t" o:connecttype="custom" o:connectlocs="659035,0;0,1394174;5334,1405318;669607,0;659035,0" o:connectangles="0,0,0,0,0"/>
                  </v:shape>
                  <v:shape id="Freeform: Shape 158186521" o:spid="_x0000_s1049" style="position:absolute;left:6890;width:7080;height:14866;visibility:visible;mso-wrap-style:square;v-text-anchor:middle" coordsize="707993,14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" path="m697421,l,1475518r5239,11144l707993,,697421,xe" fillcolor="#ab5dba [3205]" stroked="f">
                    <v:stroke joinstyle="miter"/>
                    <v:path arrowok="t" o:connecttype="custom" o:connectlocs="697421,0;0,1475518;5239,1486662;707993,0;697421,0" o:connectangles="0,0,0,0,0"/>
                  </v:shape>
                  <v:shape id="Freeform: Shape 158186522" o:spid="_x0000_s1050" style="position:absolute;left:7280;width:7465;height:15679;visibility:visible;mso-wrap-style:square;v-text-anchor:middle" coordsize="746474,156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" path="m735902,l,1556766r5334,11144l746475,,735902,xe" fillcolor="#ab5dba [3205]" stroked="f">
                    <v:stroke joinstyle="miter"/>
                    <v:path arrowok="t" o:connecttype="custom" o:connectlocs="735902,0;0,1556766;5334,1567910;746475,0;735902,0" o:connectangles="0,0,0,0,0"/>
                  </v:shape>
                  <v:shape id="Freeform: Shape 158186523" o:spid="_x0000_s1051" style="position:absolute;left:7670;width:7849;height:16492;visibility:visible;mso-wrap-style:square;v-text-anchor:middle" coordsize="784859,1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" path="m774287,l,1638109r5239,11145l784860,,774287,xe" fillcolor="#ab5dba [3205]" stroked="f">
                    <v:stroke joinstyle="miter"/>
                    <v:path arrowok="t" o:connecttype="custom" o:connectlocs="774287,0;0,1638109;5239,1649254;784860,0;774287,0" o:connectangles="0,0,0,0,0"/>
                  </v:shape>
                  <v:shape id="Freeform: Shape 158186524" o:spid="_x0000_s1052" style="position:absolute;left:8060;width:8234;height:17305;visibility:visible;mso-wrap-style:square;v-text-anchor:middle" coordsize="823341,17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" path="m812768,l,1719358r5239,11144l823341,,812768,xe" fillcolor="#ab5dba [3205]" stroked="f">
                    <v:stroke joinstyle="miter"/>
                    <v:path arrowok="t" o:connecttype="custom" o:connectlocs="812768,0;0,1719358;5239,1730502;823341,0;812768,0" o:connectangles="0,0,0,0,0"/>
                  </v:shape>
                </v:group>
                <v:group id="Group 158186525" o:spid="_x0000_s1053" style="position:absolute;left:11618;top:46903;width:22218;height:24054" coordsize="22223,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">
                  <v:shape id="Freeform: Shape 158186526" o:spid="_x0000_s1054" style="position:absolute;left:2589;width:3278;height:6785;visibility:visible;mso-wrap-style:square;v-text-anchor:middle" coordsize="246887,5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" path="m236315,l,499872r5239,11144l246888,,236315,xe" fillcolor="#ab5dba [3205]" stroked="f">
                    <v:stroke joinstyle="miter"/>
                    <v:path arrowok="t" o:connecttype="custom" o:connectlocs="313739,0;0,663718;6955,678515;327776,0;313739,0" o:connectangles="0,0,0,0,0"/>
                  </v:shape>
                  <v:shape id="Freeform: Shape 158186527" o:spid="_x0000_s1055" style="position:absolute;left:3118;width:3787;height:7863;visibility:visible;mso-wrap-style:square;v-text-anchor:middle" coordsize="285273,5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" path="m274701,l,581120r5239,11144l285274,,274701,xe" fillcolor="#ab5dba [3205]" stroked="f">
                    <v:stroke joinstyle="miter"/>
                    <v:path arrowok="t" o:connecttype="custom" o:connectlocs="364702,0;0,771597;6955,786394;378739,0;364702,0" o:connectangles="0,0,0,0,0"/>
                  </v:shape>
                  <v:shape id="Freeform: Shape 1924691232" o:spid="_x0000_s1056" style="position:absolute;left:3647;width:4297;height:8944;visibility:visible;mso-wrap-style:square;v-text-anchor:middle" coordsize="323659,6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" path="m313182,l,662464r5239,11144l323659,,313182,xe" fillcolor="#ab5dba [3205]" stroked="f">
                    <v:stroke joinstyle="miter"/>
                    <v:path arrowok="t" o:connecttype="custom" o:connectlocs="415790,0;0,879603;6955,894400;429700,0;415790,0" o:connectangles="0,0,0,0,0"/>
                  </v:shape>
                  <v:shape id="Freeform: Shape 1924691233" o:spid="_x0000_s1057" style="position:absolute;left:4122;width:4807;height:10024;visibility:visible;mso-wrap-style:square;v-text-anchor:middle" coordsize="362045,75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" path="m351568,l,743807r5239,11145l362045,,351568,xe" fillcolor="#ab5dba [3205]" stroked="f">
                    <v:stroke joinstyle="miter"/>
                    <v:path arrowok="t" o:connecttype="custom" o:connectlocs="466753,0;0,987609;6955,1002407;480663,0;466753,0" o:connectangles="0,0,0,0,0"/>
                  </v:shape>
                  <v:shape id="Freeform: Shape 1924691235" o:spid="_x0000_s1058" style="position:absolute;left:4651;width:5317;height:11102;visibility:visible;mso-wrap-style:square;v-text-anchor:middle" coordsize="400526,83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" path="m390049,l,825055r5239,11145l400526,,390049,xe" fillcolor="#ab5dba [3205]" stroked="f">
                    <v:stroke joinstyle="miter"/>
                    <v:path arrowok="t" o:connecttype="custom" o:connectlocs="517841,0;0,1095488;6955,1110286;531751,0;517841,0" o:connectangles="0,0,0,0,0"/>
                  </v:shape>
                  <v:shape id="Freeform: Shape 1924691236" o:spid="_x0000_s1059" style="position:absolute;left:5126;width:5829;height:12182;visibility:visible;mso-wrap-style:square;v-text-anchor:middle" coordsize="439007,91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" path="m428530,l,906399r5334,11144l439008,,428530,xe" fillcolor="#ab5dba [3205]" stroked="f">
                    <v:stroke joinstyle="miter"/>
                    <v:path arrowok="t" o:connecttype="custom" o:connectlocs="568930,0;0,1203494;7082,1218291;582841,0;568930,0" o:connectangles="0,0,0,0,0"/>
                  </v:shape>
                  <v:shape id="Freeform: Shape 1924691239" o:spid="_x0000_s1060" style="position:absolute;left:5655;width:6338;height:13261;visibility:visible;mso-wrap-style:square;v-text-anchor:middle" coordsize="477392,99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" path="m466915,l,987647r5239,11144l477393,,466915,xe" fillcolor="#ab5dba [3205]" stroked="f">
                    <v:stroke joinstyle="miter"/>
                    <v:path arrowok="t" o:connecttype="custom" o:connectlocs="619891,0;0,1311374;6955,1326171;633802,0;619891,0" o:connectangles="0,0,0,0,0"/>
                  </v:shape>
                  <v:shape id="Freeform: Shape 1924691240" o:spid="_x0000_s1061" style="position:absolute;width:724;height:1384;visibility:visible;mso-wrap-style:square;v-text-anchor:middle" coordsize="54578,1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" path="m44101,l,93154r5239,11145l54578,,44101,xe" fillcolor="#ab5dba [3205]" stroked="f">
                    <v:stroke joinstyle="miter"/>
                    <v:path arrowok="t" o:connecttype="custom" o:connectlocs="58550,0;0,123687;6956,138485;72460,0;58550,0" o:connectangles="0,0,0,0,0"/>
                  </v:shape>
                  <v:shape id="Freeform: Shape 1924691241" o:spid="_x0000_s1062" style="position:absolute;left:528;width:1236;height:2464;visibility:visible;mso-wrap-style:square;v-text-anchor:middle" coordsize="93059,18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" path="m82487,l,174498r5334,11144l93059,,82487,xe" fillcolor="#ab5dba [3205]" stroked="f">
                    <v:stroke joinstyle="miter"/>
                    <v:path arrowok="t" o:connecttype="custom" o:connectlocs="109512,0;0,231694;7082,246491;123548,0;109512,0" o:connectangles="0,0,0,0,0"/>
                  </v:shape>
                  <v:shape id="Freeform: Shape 1924691242" o:spid="_x0000_s1063" style="position:absolute;left:1057;width:1745;height:3543;visibility:visible;mso-wrap-style:square;v-text-anchor:middle" coordsize="131445,26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" path="m120872,l,255746r5239,11144l131445,,120872,xe" fillcolor="#ab5dba [3205]" stroked="f">
                    <v:stroke joinstyle="miter"/>
                    <v:path arrowok="t" o:connecttype="custom" o:connectlocs="160474,0;0,339573;6955,354370;174511,0;160474,0" o:connectangles="0,0,0,0,0"/>
                  </v:shape>
                  <v:shape id="Freeform: Shape 1924691243" o:spid="_x0000_s1064" style="position:absolute;left:1585;width:2256;height:4623;visibility:visible;mso-wrap-style:square;v-text-anchor:middle" coordsize="169926,3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" path="m159353,l,337090r5334,11144l169926,,159353,xe" fillcolor="#ab5dba [3205]" stroked="f">
                    <v:stroke joinstyle="miter"/>
                    <v:path arrowok="t" o:connecttype="custom" o:connectlocs="211562,0;0,447580;7082,462376;225599,0;211562,0" o:connectangles="0,0,0,0,0"/>
                  </v:shape>
                  <v:shape id="Freeform: Shape 1924691244" o:spid="_x0000_s1065" style="position:absolute;left:2114;width:2765;height:5703;visibility:visible;mso-wrap-style:square;v-text-anchor:middle" coordsize="208311,4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" path="m197739,l,418338r5239,11240l208312,,197739,xe" fillcolor="#ab5dba [3205]" stroked="f">
                    <v:stroke joinstyle="miter"/>
                    <v:path arrowok="t" o:connecttype="custom" o:connectlocs="262524,0;0,555459;6955,570383;276561,0;262524,0" o:connectangles="0,0,0,0,0"/>
                  </v:shape>
                  <v:shape id="Freeform: Shape 1924691246" o:spid="_x0000_s1066" style="position:absolute;left:6184;width:6849;height:14341;visibility:visible;mso-wrap-style:square;v-text-anchor:middle" coordsize="515874,108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" path="m505396,l,1068991r5334,11144l515874,,505396,xe" fillcolor="#ab5dba [3205]" stroked="f">
                    <v:stroke joinstyle="miter"/>
                    <v:path arrowok="t" o:connecttype="custom" o:connectlocs="670980,0;0,1419381;7082,1434177;684891,0;670980,0" o:connectangles="0,0,0,0,0"/>
                  </v:shape>
                  <v:shape id="Freeform: Shape 1924691247" o:spid="_x0000_s1067" style="position:absolute;left:6712;width:7359;height:15420;visibility:visible;mso-wrap-style:square;v-text-anchor:middle" coordsize="554259,11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" path="m543782,l,1150239r5239,11144l554260,,543782,xe" fillcolor="#ab5dba [3205]" stroked="f">
                    <v:stroke joinstyle="miter"/>
                    <v:path arrowok="t" o:connecttype="custom" o:connectlocs="721942,0;0,1527259;6955,1542056;735853,0;721942,0" o:connectangles="0,0,0,0,0"/>
                  </v:shape>
                  <v:shape id="Freeform: Shape 1924691248" o:spid="_x0000_s1068" style="position:absolute;left:7241;width:7869;height:16500;visibility:visible;mso-wrap-style:square;v-text-anchor:middle" coordsize="592740,124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" path="m582168,l,1231582r5334,11145l592741,,582168,xe" fillcolor="#ab5dba [3205]" stroked="f">
                    <v:stroke joinstyle="miter"/>
                    <v:path arrowok="t" o:connecttype="custom" o:connectlocs="772905,0;0,1635265;7082,1650063;786942,0;772905,0" o:connectangles="0,0,0,0,0"/>
                  </v:shape>
                  <v:shape id="Freeform: Shape 1924691249" o:spid="_x0000_s1069" style="position:absolute;left:7716;width:8379;height:17579;visibility:visible;mso-wrap-style:square;v-text-anchor:middle" coordsize="631126,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" path="m620554,l,1312831r5239,11144l631126,,620554,xe" fillcolor="#ab5dba [3205]" stroked="f">
                    <v:stroke joinstyle="miter"/>
                    <v:path arrowok="t" o:connecttype="custom" o:connectlocs="823867,0;0,1743145;6955,1757942;837903,0;823867,0" o:connectangles="0,0,0,0,0"/>
                  </v:shape>
                  <v:shape id="Freeform: Shape 1924691250" o:spid="_x0000_s1070" style="position:absolute;left:8192;width:8890;height:18659;visibility:visible;mso-wrap-style:square;v-text-anchor:middle" coordsize="669607,14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" path="m659035,l,1394174r5334,11144l669607,,659035,xe" fillcolor="#ab5dba [3205]" stroked="f">
                    <v:stroke joinstyle="miter"/>
                    <v:path arrowok="t" o:connecttype="custom" o:connectlocs="874956,0;0,1851150;7082,1865947;888992,0;874956,0" o:connectangles="0,0,0,0,0"/>
                  </v:shape>
                  <v:shape id="Freeform: Shape 1940597801" o:spid="_x0000_s1071" style="position:absolute;left:8721;width:9399;height:19739;visibility:visible;mso-wrap-style:square;v-text-anchor:middle" coordsize="707993,14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" path="m697421,l,1475518r5239,11144l707993,,697421,xe" fillcolor="#ab5dba [3205]" stroked="f">
                    <v:stroke joinstyle="miter"/>
                    <v:path arrowok="t" o:connecttype="custom" o:connectlocs="925918,0;0,1959157;6955,1973954;939954,0;925918,0" o:connectangles="0,0,0,0,0"/>
                  </v:shape>
                  <v:shape id="Freeform: Shape 1940597802" o:spid="_x0000_s1072" style="position:absolute;left:9249;width:9911;height:20818;visibility:visible;mso-wrap-style:square;v-text-anchor:middle" coordsize="746474,156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" path="m735902,l,1556766r5334,11144l746475,,735902,xe" fillcolor="#ab5dba [3205]" stroked="f">
                    <v:stroke joinstyle="miter"/>
                    <v:path arrowok="t" o:connecttype="custom" o:connectlocs="977007,0;0,2067036;7082,2081833;991044,0;977007,0" o:connectangles="0,0,0,0,0"/>
                  </v:shape>
                  <v:shape id="Freeform: Shape 1940597803" o:spid="_x0000_s1073" style="position:absolute;left:9725;width:10420;height:21898;visibility:visible;mso-wrap-style:square;v-text-anchor:middle" coordsize="784859,1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" path="m774287,l,1638109r5239,11145l784860,,774287,xe" fillcolor="#ab5dba [3205]" stroked="f">
                    <v:stroke joinstyle="miter"/>
                    <v:path arrowok="t" o:connecttype="custom" o:connectlocs="1027968,0;0,2175041;6955,2189839;1042005,0;1027968,0" o:connectangles="0,0,0,0,0"/>
                  </v:shape>
                  <v:shape id="Freeform: Shape 1940597804" o:spid="_x0000_s1074" style="position:absolute;left:10253;width:10931;height:22977;visibility:visible;mso-wrap-style:square;v-text-anchor:middle" coordsize="823341,17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" path="m812768,l,1719358r5239,11144l823341,,812768,xe" fillcolor="#ab5dba [3205]" stroked="f">
                    <v:stroke joinstyle="miter"/>
                    <v:path arrowok="t" o:connecttype="custom" o:connectlocs="1079057,0;0,2282922;6955,2297718;1093094,0;1079057,0" o:connectangles="0,0,0,0,0"/>
                  </v:shape>
                  <v:shape id="Freeform: Shape 429" o:spid="_x0000_s1075" style="position:absolute;left:10782;width:11441;height:24057;visibility:visible;mso-wrap-style:square;v-text-anchor:middle" coordsize="861726,181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" path="m851154,l,1800701r5239,11144l861727,,851154,xe" fillcolor="#ab5dba [3205]" stroked="f">
                    <v:stroke joinstyle="miter"/>
                    <v:path arrowok="t" o:connecttype="custom" o:connectlocs="1130019,0;0,2390927;6955,2405724;1144056,0;1130019,0" o:connectangles="0,0,0,0,0"/>
                  </v:shape>
                </v:group>
                <v:group id="Group 443" o:spid="_x0000_s1076" style="position:absolute;left:34209;top:46903;width:22193;height:24054" coordorigin="346" coordsize="1672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Shape 444" o:spid="_x0000_s1077" style="position:absolute;left:1906;width:2084;height:4296;visibility:visible;mso-wrap-style:square;v-text-anchor:middle" coordsize="208407,42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" path="m197834,l,418529r5239,11144l208407,,197834,xe" filled="f" stroked="f">
                    <v:stroke joinstyle="miter"/>
                    <v:path arrowok="t" o:connecttype="custom" o:connectlocs="197834,0;0,418529;5239,429673;208407,0;197834,0" o:connectangles="0,0,0,0,0"/>
                  </v:shape>
                  <v:shape id="Freeform: Shape 445" o:spid="_x0000_s1078" style="position:absolute;left:2296;width:2469;height:5110;visibility:visible;mso-wrap-style:square;v-text-anchor:middle" coordsize="246887,5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" path="m236315,l,499872r5239,11144l246888,,236315,xe" fillcolor="#ab5dba [3205]" stroked="f">
                    <v:stroke joinstyle="miter"/>
                    <v:path arrowok="t" o:connecttype="custom" o:connectlocs="236315,0;0,499872;5239,511016;246888,0;236315,0" o:connectangles="0,0,0,0,0"/>
                  </v:shape>
                  <v:shape id="Freeform: Shape 446" o:spid="_x0000_s1079" style="position:absolute;left:2686;width:2853;height:5922;visibility:visible;mso-wrap-style:square;v-text-anchor:middle" coordsize="285273,5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" path="m274701,l,581120r5239,11144l285274,,274701,xe" fillcolor="#ab5dba [3205]" stroked="f">
                    <v:stroke joinstyle="miter"/>
                    <v:path arrowok="t" o:connecttype="custom" o:connectlocs="274701,0;0,581120;5239,592264;285274,0;274701,0" o:connectangles="0,0,0,0,0"/>
                  </v:shape>
                  <v:shape id="Freeform: Shape 447" o:spid="_x0000_s1080" style="position:absolute;left:3076;width:3237;height:6736;visibility:visible;mso-wrap-style:square;v-text-anchor:middle" coordsize="323659,6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" path="m313182,l,662464r5239,11144l323659,,313182,xe" fillcolor="#ab5dba [3205]" stroked="f">
                    <v:stroke joinstyle="miter"/>
                    <v:path arrowok="t" o:connecttype="custom" o:connectlocs="313182,0;0,662464;5239,673608;323659,0;313182,0" o:connectangles="0,0,0,0,0"/>
                  </v:shape>
                  <v:shape id="Freeform: Shape 512" o:spid="_x0000_s1081" style="position:absolute;left:3423;width:3621;height:7549;visibility:visible;mso-wrap-style:square;v-text-anchor:middle" coordsize="362045,75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" path="m351568,l,743807r5239,11145l362045,,351568,xe" fillcolor="#ab5dba [3205]" stroked="f">
                    <v:stroke joinstyle="miter"/>
                    <v:path arrowok="t" o:connecttype="custom" o:connectlocs="351568,0;0,743807;5239,754952;362045,0;351568,0" o:connectangles="0,0,0,0,0"/>
                  </v:shape>
                  <v:shape id="Freeform: Shape 513" o:spid="_x0000_s1082" style="position:absolute;left:3813;width:4005;height:8361;visibility:visible;mso-wrap-style:square;v-text-anchor:middle" coordsize="400526,83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" path="m390049,l,825055r5239,11145l400526,,390049,xe" fillcolor="#ab5dba [3205]" stroked="f">
                    <v:stroke joinstyle="miter"/>
                    <v:path arrowok="t" o:connecttype="custom" o:connectlocs="390049,0;0,825055;5239,836200;400526,0;390049,0" o:connectangles="0,0,0,0,0"/>
                  </v:shape>
                  <v:shape id="Freeform: Shape 520" o:spid="_x0000_s1083" style="position:absolute;left:4203;width:4390;height:9175;visibility:visible;mso-wrap-style:square;v-text-anchor:middle" coordsize="439007,91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" path="m428530,l,906399r5334,11144l439008,,428530,xe" fillcolor="#ab5dba [3205]" stroked="f">
                    <v:stroke joinstyle="miter"/>
                    <v:path arrowok="t" o:connecttype="custom" o:connectlocs="428530,0;0,906399;5334,917543;439008,0;428530,0" o:connectangles="0,0,0,0,0"/>
                  </v:shape>
                  <v:shape id="Freeform: Shape 521" o:spid="_x0000_s1084" style="position:absolute;left:4593;width:4774;height:9987;visibility:visible;mso-wrap-style:square;v-text-anchor:middle" coordsize="477392,99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" path="m466915,l,987647r5239,11144l477393,,466915,xe" fillcolor="#ab5dba [3205]" stroked="f">
                    <v:stroke joinstyle="miter"/>
                    <v:path arrowok="t" o:connecttype="custom" o:connectlocs="466915,0;0,987647;5239,998791;477393,0;466915,0" o:connectangles="0,0,0,0,0"/>
                  </v:shape>
                  <v:shape id="Freeform: Shape 522" o:spid="_x0000_s1085" style="position:absolute;left:346;width:546;height:1042;visibility:visible;mso-wrap-style:square;v-text-anchor:middle" coordsize="54578,1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" path="m44101,l,93154r5239,11145l54578,,44101,xe" fillcolor="#ab5dba [3205]" stroked="f">
                    <v:stroke joinstyle="miter"/>
                    <v:path arrowok="t" o:connecttype="custom" o:connectlocs="44101,0;0,93154;5239,104299;54578,0;44101,0" o:connectangles="0,0,0,0,0"/>
                  </v:shape>
                  <v:shape id="Freeform: Shape 523" o:spid="_x0000_s1086" style="position:absolute;left:736;width:931;height:1856;visibility:visible;mso-wrap-style:square;v-text-anchor:middle" coordsize="93059,18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" path="m82487,l,174498r5334,11144l93059,,82487,xe" fillcolor="#ab5dba [3205]" stroked="f">
                    <v:stroke joinstyle="miter"/>
                    <v:path arrowok="t" o:connecttype="custom" o:connectlocs="82487,0;0,174498;5334,185642;93059,0;82487,0" o:connectangles="0,0,0,0,0"/>
                  </v:shape>
                  <v:shape id="Freeform: Shape 524" o:spid="_x0000_s1087" style="position:absolute;left:1126;width:1315;height:2668;visibility:visible;mso-wrap-style:square;v-text-anchor:middle" coordsize="131445,26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" path="m120872,l,255746r5239,11144l131445,,120872,xe" fillcolor="#ab5dba [3205]" stroked="f">
                    <v:stroke joinstyle="miter"/>
                    <v:path arrowok="t" o:connecttype="custom" o:connectlocs="120872,0;0,255746;5239,266890;131445,0;120872,0" o:connectangles="0,0,0,0,0"/>
                  </v:shape>
                  <v:shape id="Freeform: Shape 525" o:spid="_x0000_s1088" style="position:absolute;left:1516;width:1700;height:3482;visibility:visible;mso-wrap-style:square;v-text-anchor:middle" coordsize="169926,3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" path="m159353,l,337090r5334,11144l169926,,159353,xe" fillcolor="#ab5dba [3205]" stroked="f">
                    <v:stroke joinstyle="miter"/>
                    <v:path arrowok="t" o:connecttype="custom" o:connectlocs="159353,0;0,337090;5334,348234;169926,0;159353,0" o:connectangles="0,0,0,0,0"/>
                  </v:shape>
                  <v:shape id="Freeform: Shape 526" o:spid="_x0000_s1089" style="position:absolute;left:1906;width:2083;height:4295;visibility:visible;mso-wrap-style:square;v-text-anchor:middle" coordsize="208311,4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" path="m197739,l,418338r5239,11240l208312,,197739,xe" fillcolor="#ab5dba [3205]" stroked="f">
                    <v:stroke joinstyle="miter"/>
                    <v:path arrowok="t" o:connecttype="custom" o:connectlocs="197739,0;0,418338;5239,429578;208312,0;197739,0" o:connectangles="0,0,0,0,0"/>
                  </v:shape>
                  <v:shape id="Freeform: Shape 527" o:spid="_x0000_s1090" style="position:absolute;left:4983;width:5159;height:10801;visibility:visible;mso-wrap-style:square;v-text-anchor:middle" coordsize="515874,108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" path="m505396,l,1068991r5334,11144l515874,,505396,xe" fillcolor="#ab5dba [3205]" stroked="f">
                    <v:stroke joinstyle="miter"/>
                    <v:path arrowok="t" o:connecttype="custom" o:connectlocs="505396,0;0,1068991;5334,1080135;515874,0;505396,0" o:connectangles="0,0,0,0,0"/>
                  </v:shape>
                  <v:shape id="Freeform: Shape 528" o:spid="_x0000_s1091" style="position:absolute;left:5373;width:5543;height:11613;visibility:visible;mso-wrap-style:square;v-text-anchor:middle" coordsize="554259,11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" path="m543782,l,1150239r5239,11144l554260,,543782,xe" fillcolor="#ab5dba [3205]" stroked="f">
                    <v:stroke joinstyle="miter"/>
                    <v:path arrowok="t" o:connecttype="custom" o:connectlocs="543782,0;0,1150239;5239,1161383;554260,0;543782,0" o:connectangles="0,0,0,0,0"/>
                  </v:shape>
                  <v:shape id="Freeform: Shape 529" o:spid="_x0000_s1092" style="position:absolute;left:5763;width:5928;height:12427;visibility:visible;mso-wrap-style:square;v-text-anchor:middle" coordsize="592740,124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" path="m582168,l,1231582r5334,11145l592741,,582168,xe" fillcolor="#ab5dba [3205]" stroked="f">
                    <v:stroke joinstyle="miter"/>
                    <v:path arrowok="t" o:connecttype="custom" o:connectlocs="582168,0;0,1231582;5334,1242727;592741,0;582168,0" o:connectangles="0,0,0,0,0"/>
                  </v:shape>
                  <v:shape id="Freeform: Shape 530" o:spid="_x0000_s1093" style="position:absolute;left:6153;width:6312;height:13239;visibility:visible;mso-wrap-style:square;v-text-anchor:middle" coordsize="631126,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" path="m620554,l,1312831r5239,11144l631126,,620554,xe" fillcolor="#ab5dba [3205]" stroked="f">
                    <v:stroke joinstyle="miter"/>
                    <v:path arrowok="t" o:connecttype="custom" o:connectlocs="620554,0;0,1312831;5239,1323975;631126,0;620554,0" o:connectangles="0,0,0,0,0"/>
                  </v:shape>
                  <v:shape id="Freeform: Shape 531" o:spid="_x0000_s1094" style="position:absolute;left:6500;width:6696;height:14053;visibility:visible;mso-wrap-style:square;v-text-anchor:middle" coordsize="669607,14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" path="m659035,l,1394174r5334,11144l669607,,659035,xe" fillcolor="#ab5dba [3205]" stroked="f">
                    <v:stroke joinstyle="miter"/>
                    <v:path arrowok="t" o:connecttype="custom" o:connectlocs="659035,0;0,1394174;5334,1405318;669607,0;659035,0" o:connectangles="0,0,0,0,0"/>
                  </v:shape>
                  <v:shape id="Freeform: Shape 532" o:spid="_x0000_s1095" style="position:absolute;left:6890;width:7080;height:14866;visibility:visible;mso-wrap-style:square;v-text-anchor:middle" coordsize="707993,14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" path="m697421,l,1475518r5239,11144l707993,,697421,xe" fillcolor="#ab5dba [3205]" stroked="f">
                    <v:stroke joinstyle="miter"/>
                    <v:path arrowok="t" o:connecttype="custom" o:connectlocs="697421,0;0,1475518;5239,1486662;707993,0;697421,0" o:connectangles="0,0,0,0,0"/>
                  </v:shape>
                  <v:shape id="Freeform: Shape 533" o:spid="_x0000_s1096" style="position:absolute;left:7280;width:7465;height:15679;visibility:visible;mso-wrap-style:square;v-text-anchor:middle" coordsize="746474,156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" path="m735902,l,1556766r5334,11144l746475,,735902,xe" fillcolor="#ab5dba [3205]" stroked="f">
                    <v:stroke joinstyle="miter"/>
                    <v:path arrowok="t" o:connecttype="custom" o:connectlocs="735902,0;0,1556766;5334,1567910;746475,0;735902,0" o:connectangles="0,0,0,0,0"/>
                  </v:shape>
                  <v:shape id="Freeform: Shape 534" o:spid="_x0000_s1097" style="position:absolute;left:7670;width:7849;height:16492;visibility:visible;mso-wrap-style:square;v-text-anchor:middle" coordsize="784859,1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" path="m774287,l,1638109r5239,11145l784860,,774287,xe" fillcolor="#ab5dba [3205]" stroked="f">
                    <v:stroke joinstyle="miter"/>
                    <v:path arrowok="t" o:connecttype="custom" o:connectlocs="774287,0;0,1638109;5239,1649254;784860,0;774287,0" o:connectangles="0,0,0,0,0"/>
                  </v:shape>
                  <v:shape id="Freeform: Shape 535" o:spid="_x0000_s1098" style="position:absolute;left:8060;width:8234;height:17305;visibility:visible;mso-wrap-style:square;v-text-anchor:middle" coordsize="823341,17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" path="m812768,l,1719358r5239,11144l823341,,812768,xe" fillcolor="#ab5dba [3205]" stroked="f">
                    <v:stroke joinstyle="miter"/>
                    <v:path arrowok="t" o:connecttype="custom" o:connectlocs="812768,0;0,1719358;5239,1730502;823341,0;812768,0" o:connectangles="0,0,0,0,0"/>
                  </v:shape>
                  <v:shape id="Freeform: Shape 536" o:spid="_x0000_s1099" style="position:absolute;left:8450;width:8617;height:18118;visibility:visible;mso-wrap-style:square;v-text-anchor:middle" coordsize="861726,181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" path="m851154,l,1800701r5239,11144l861727,,851154,xe" fillcolor="#ab5dba [3205]" stroked="f">
                    <v:stroke joinstyle="miter"/>
                    <v:path arrowok="t" o:connecttype="custom" o:connectlocs="851154,0;0,1800701;5239,1811845;861727,0;851154,0" o:connectangles="0,0,0,0,0"/>
                  </v:shape>
                </v:group>
              </v:group>
            </w:pict>
          </mc:Fallback>
        </mc:AlternateContent>
      </w:r>
      <w:r w:rsidR="005A65AE">
        <w:rPr>
          <w:noProof/>
        </w:rPr>
        <mc:AlternateContent>
          <mc:Choice Requires="wps">
            <w:drawing>
              <wp:anchor distT="0" distB="0" distL="114300" distR="114300" simplePos="0" relativeHeight="251658240" behindDoc="1" locked="0" layoutInCell="1" allowOverlap="1" wp14:anchorId="6AE1C2D2" wp14:editId="4B7AF3F9">
                <wp:simplePos x="0" y="0"/>
                <wp:positionH relativeFrom="page">
                  <wp:align>left</wp:align>
                </wp:positionH>
                <wp:positionV relativeFrom="page">
                  <wp:posOffset>-6263</wp:posOffset>
                </wp:positionV>
                <wp:extent cx="7571984" cy="10754360"/>
                <wp:effectExtent l="0" t="0" r="0" b="8890"/>
                <wp:wrapNone/>
                <wp:docPr id="226" name="Rectangle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1984" cy="107543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C2869" id="Rectangle 226" o:spid="_x0000_s1026" alt="&quot;&quot;" style="position:absolute;margin-left:0;margin-top:-.5pt;width:596.2pt;height:846.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" fillcolor="#232b39 [3213]" stroked="f" strokeweight="2pt">
                <w10:wrap anchorx="page" anchory="page"/>
              </v:rect>
            </w:pict>
          </mc:Fallback>
        </mc:AlternateContent>
      </w:r>
      <w:r w:rsidR="1EFFA2B1" w:rsidRPr="6727A5B3">
        <w:t>Procurement</w:t>
      </w:r>
    </w:p>
    <w:p w14:paraId="724CC874" w14:textId="2BCFF9A8" w:rsidR="37882D95" w:rsidRDefault="004A389A" w:rsidP="00535AE6">
      <w:pPr>
        <w:pStyle w:val="Subtitle"/>
        <w:rPr>
          <w:rFonts w:eastAsia="VIC"/>
        </w:rPr>
      </w:pPr>
      <w:r>
        <w:rPr>
          <w:noProof/>
        </w:rPr>
        <w:drawing>
          <wp:anchor distT="0" distB="0" distL="114300" distR="114300" simplePos="0" relativeHeight="251658242" behindDoc="0" locked="0" layoutInCell="1" allowOverlap="1" wp14:anchorId="35CD95C0" wp14:editId="5363EAF7">
            <wp:simplePos x="0" y="0"/>
            <wp:positionH relativeFrom="margin">
              <wp:posOffset>-189977</wp:posOffset>
            </wp:positionH>
            <wp:positionV relativeFrom="page">
              <wp:posOffset>9544723</wp:posOffset>
            </wp:positionV>
            <wp:extent cx="1197864" cy="356616"/>
            <wp:effectExtent l="0" t="0" r="2540" b="571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9" cstate="screen">
                      <a:extLst>
                        <a:ext uri="{28A0092B-C50C-407E-A947-70E740481C1C}">
                          <a14:useLocalDpi xmlns:a14="http://schemas.microsoft.com/office/drawing/2010/main"/>
                        </a:ext>
                      </a:extLst>
                    </a:blip>
                    <a:stretch>
                      <a:fillRect/>
                    </a:stretch>
                  </pic:blipFill>
                  <pic:spPr>
                    <a:xfrm>
                      <a:off x="0" y="0"/>
                      <a:ext cx="1197864" cy="356616"/>
                    </a:xfrm>
                    <a:prstGeom prst="rect">
                      <a:avLst/>
                    </a:prstGeom>
                  </pic:spPr>
                </pic:pic>
              </a:graphicData>
            </a:graphic>
            <wp14:sizeRelH relativeFrom="margin">
              <wp14:pctWidth>0</wp14:pctWidth>
            </wp14:sizeRelH>
            <wp14:sizeRelV relativeFrom="margin">
              <wp14:pctHeight>0</wp14:pctHeight>
            </wp14:sizeRelV>
          </wp:anchor>
        </w:drawing>
      </w:r>
      <w:r w:rsidR="37882D95" w:rsidRPr="6727A5B3">
        <w:rPr>
          <w:rFonts w:eastAsia="VIC"/>
        </w:rPr>
        <w:t>Investment Lifecycle and High Value High Risk Guidelines</w:t>
      </w:r>
    </w:p>
    <w:p w14:paraId="6C314FCA" w14:textId="4B756913" w:rsidR="00535AE6" w:rsidRDefault="00535AE6" w:rsidP="6727A5B3">
      <w:pPr>
        <w:sectPr w:rsidR="00535AE6" w:rsidSect="009C72A3">
          <w:headerReference w:type="default" r:id="rId10"/>
          <w:footerReference w:type="even" r:id="rId11"/>
          <w:footerReference w:type="default" r:id="rId12"/>
          <w:type w:val="oddPage"/>
          <w:pgSz w:w="11906" w:h="16838" w:code="9"/>
          <w:pgMar w:top="1627" w:right="1440" w:bottom="1440" w:left="1440" w:header="706" w:footer="461" w:gutter="0"/>
          <w:pgNumType w:fmt="lowerRoman" w:start="1"/>
          <w:cols w:space="708"/>
          <w:docGrid w:linePitch="360"/>
        </w:sectPr>
      </w:pPr>
    </w:p>
    <w:p w14:paraId="64B430A3" w14:textId="77777777" w:rsidR="00750CBE" w:rsidRDefault="00750CBE" w:rsidP="008D0281">
      <w:pPr>
        <w:pStyle w:val="NormalTight"/>
      </w:pPr>
    </w:p>
    <w:p w14:paraId="6FBAB7E0" w14:textId="77777777" w:rsidR="00750CBE" w:rsidRPr="00C92338" w:rsidRDefault="00750CBE" w:rsidP="00EF2115">
      <w:pPr>
        <w:pStyle w:val="Insidecoverspacer"/>
        <w:spacing w:before="3000"/>
      </w:pPr>
    </w:p>
    <w:p w14:paraId="692D0455" w14:textId="77777777" w:rsidR="00750CBE" w:rsidRPr="00C92338" w:rsidRDefault="00750CBE" w:rsidP="008D0281">
      <w:pPr>
        <w:pStyle w:val="NormalTight"/>
      </w:pPr>
      <w:r w:rsidRPr="00C92338">
        <w:t>The Secretary</w:t>
      </w:r>
    </w:p>
    <w:p w14:paraId="7F0C29BC" w14:textId="77777777" w:rsidR="00750CBE" w:rsidRPr="00C92338" w:rsidRDefault="00750CBE" w:rsidP="008D0281">
      <w:pPr>
        <w:pStyle w:val="NormalTight"/>
      </w:pPr>
      <w:r w:rsidRPr="00C92338">
        <w:t>Department of Treasury and Finance</w:t>
      </w:r>
    </w:p>
    <w:p w14:paraId="10AA10FA" w14:textId="77777777" w:rsidR="00750CBE" w:rsidRPr="00C92338" w:rsidRDefault="00750CBE" w:rsidP="008D0281">
      <w:pPr>
        <w:pStyle w:val="NormalTight"/>
      </w:pPr>
      <w:r w:rsidRPr="00C92338">
        <w:t>1 Treasury Place</w:t>
      </w:r>
    </w:p>
    <w:p w14:paraId="675A0E13" w14:textId="77777777" w:rsidR="00750CBE" w:rsidRPr="00C92338" w:rsidRDefault="00750CBE" w:rsidP="008D0281">
      <w:pPr>
        <w:pStyle w:val="NormalTight"/>
      </w:pPr>
      <w:r w:rsidRPr="00C92338">
        <w:t>Melbourne Victoria 3002</w:t>
      </w:r>
    </w:p>
    <w:p w14:paraId="04DAE525" w14:textId="77777777" w:rsidR="00750CBE" w:rsidRPr="00C92338" w:rsidRDefault="00750CBE" w:rsidP="008D0281">
      <w:pPr>
        <w:pStyle w:val="NormalTight"/>
      </w:pPr>
      <w:r w:rsidRPr="00C92338">
        <w:t>Australia</w:t>
      </w:r>
    </w:p>
    <w:p w14:paraId="5C9561AE" w14:textId="77777777" w:rsidR="00750CBE" w:rsidRPr="00C92338" w:rsidRDefault="00750CBE" w:rsidP="008D0281">
      <w:pPr>
        <w:pStyle w:val="NormalTight"/>
      </w:pPr>
      <w:r w:rsidRPr="00C92338">
        <w:t>Telephone: +61 3 9651 5111</w:t>
      </w:r>
    </w:p>
    <w:p w14:paraId="69D1349D" w14:textId="77777777" w:rsidR="00750CBE" w:rsidRPr="00C92338" w:rsidRDefault="00750CBE" w:rsidP="008D0281">
      <w:pPr>
        <w:pStyle w:val="NormalTight"/>
      </w:pPr>
      <w:r w:rsidRPr="00C92338">
        <w:t>dtf.vic.gov.au</w:t>
      </w:r>
    </w:p>
    <w:p w14:paraId="19DC542A" w14:textId="77777777" w:rsidR="00750CBE" w:rsidRPr="00C92338" w:rsidRDefault="00750CBE" w:rsidP="008D0281">
      <w:pPr>
        <w:pStyle w:val="NormalTight"/>
      </w:pPr>
    </w:p>
    <w:p w14:paraId="34957CAA" w14:textId="77777777" w:rsidR="00750CBE" w:rsidRPr="00C92338" w:rsidRDefault="00750CBE" w:rsidP="008D0281">
      <w:pPr>
        <w:pStyle w:val="NormalTight"/>
      </w:pPr>
      <w:r w:rsidRPr="00C92338">
        <w:t>Authorised by the Victorian Government</w:t>
      </w:r>
    </w:p>
    <w:p w14:paraId="65DC6271" w14:textId="77777777" w:rsidR="00750CBE" w:rsidRPr="00C92338" w:rsidRDefault="00750CBE" w:rsidP="008D0281">
      <w:pPr>
        <w:pStyle w:val="NormalTight"/>
      </w:pPr>
      <w:r w:rsidRPr="00C92338">
        <w:t>1 Treasury Place, Melbourne, 3002</w:t>
      </w:r>
    </w:p>
    <w:p w14:paraId="0734E1A2" w14:textId="77777777" w:rsidR="00750CBE" w:rsidRPr="00C92338" w:rsidRDefault="00750CBE" w:rsidP="008D0281">
      <w:pPr>
        <w:pStyle w:val="NormalTight"/>
      </w:pPr>
    </w:p>
    <w:p w14:paraId="12C0C02C" w14:textId="442A01D9" w:rsidR="001F0C6B" w:rsidRDefault="001E48F9" w:rsidP="004F7954">
      <w:r>
        <w:t xml:space="preserve">© State of Victoria </w:t>
      </w:r>
      <w:r w:rsidR="00F52051">
        <w:fldChar w:fldCharType="begin"/>
      </w:r>
      <w:r w:rsidR="00F52051">
        <w:instrText xml:space="preserve"> DATE  \@ "yyyy" </w:instrText>
      </w:r>
      <w:r w:rsidR="00F52051">
        <w:fldChar w:fldCharType="separate"/>
      </w:r>
      <w:r w:rsidR="00107556">
        <w:rPr>
          <w:noProof/>
        </w:rPr>
        <w:t>2024</w:t>
      </w:r>
      <w:r w:rsidR="00F52051">
        <w:fldChar w:fldCharType="end"/>
      </w:r>
    </w:p>
    <w:p w14:paraId="079913EE" w14:textId="386D6DF9" w:rsidR="00750CBE" w:rsidRPr="00C92338" w:rsidRDefault="00750CBE" w:rsidP="004F7954">
      <w:r w:rsidRPr="00C92338">
        <w:rPr>
          <w:noProof/>
        </w:rPr>
        <w:drawing>
          <wp:inline distT="0" distB="0" distL="0" distR="0" wp14:anchorId="4C77149E" wp14:editId="26A1554A">
            <wp:extent cx="1117460" cy="390972"/>
            <wp:effectExtent l="0" t="0" r="6985" b="9525"/>
            <wp:docPr id="5" name="Picture 5">
              <a:hlinkClick xmlns:a="http://schemas.openxmlformats.org/drawingml/2006/main" r:id="rId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4" cstate="screen">
                      <a:extLst>
                        <a:ext uri="{28A0092B-C50C-407E-A947-70E740481C1C}">
                          <a14:useLocalDpi xmlns:a14="http://schemas.microsoft.com/office/drawing/2010/main"/>
                        </a:ext>
                      </a:extLst>
                    </a:blip>
                    <a:stretch>
                      <a:fillRect/>
                    </a:stretch>
                  </pic:blipFill>
                  <pic:spPr>
                    <a:xfrm>
                      <a:off x="0" y="0"/>
                      <a:ext cx="1117460" cy="390972"/>
                    </a:xfrm>
                    <a:prstGeom prst="rect">
                      <a:avLst/>
                    </a:prstGeom>
                  </pic:spPr>
                </pic:pic>
              </a:graphicData>
            </a:graphic>
          </wp:inline>
        </w:drawing>
      </w:r>
      <w:r w:rsidRPr="00C92338" w:rsidDel="00177E31">
        <w:t xml:space="preserve"> </w:t>
      </w:r>
    </w:p>
    <w:p w14:paraId="169E50EE" w14:textId="56BE5B9A" w:rsidR="00750CBE" w:rsidRPr="00C92338" w:rsidRDefault="00750CBE" w:rsidP="008D0281">
      <w:pPr>
        <w:pStyle w:val="NormalTight"/>
      </w:pPr>
      <w:r w:rsidRPr="00C92338">
        <w:t xml:space="preserve">You are free to re-use this work under a </w:t>
      </w:r>
      <w:hyperlink r:id="rId15"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w:t>
      </w:r>
      <w:r w:rsidR="00F11B52">
        <w:t>g</w:t>
      </w:r>
      <w:r w:rsidRPr="00C92338">
        <w:t>overnment logos.</w:t>
      </w:r>
    </w:p>
    <w:p w14:paraId="5293682B" w14:textId="77777777" w:rsidR="006F6693" w:rsidRPr="00C92338" w:rsidRDefault="006F6693" w:rsidP="008D0281">
      <w:pPr>
        <w:pStyle w:val="NormalTight"/>
      </w:pPr>
    </w:p>
    <w:p w14:paraId="7C100BD0" w14:textId="76BEC5D4" w:rsidR="00750CBE" w:rsidRPr="00C92338" w:rsidRDefault="00750CBE" w:rsidP="008D0281">
      <w:pPr>
        <w:pStyle w:val="NormalTight"/>
      </w:pPr>
      <w:r w:rsidRPr="00C92338">
        <w:t xml:space="preserve">Copyright queries may be directed to </w:t>
      </w:r>
      <w:hyperlink r:id="rId16" w:history="1">
        <w:r w:rsidRPr="00C92338">
          <w:rPr>
            <w:rStyle w:val="Hyperlink"/>
            <w:rFonts w:cstheme="minorHAnsi"/>
          </w:rPr>
          <w:t>IPpolicy@dtf.vic.gov.au</w:t>
        </w:r>
      </w:hyperlink>
    </w:p>
    <w:p w14:paraId="0EA234BC" w14:textId="77777777" w:rsidR="00750CBE" w:rsidRPr="00C92338" w:rsidRDefault="00750CBE" w:rsidP="008D0281">
      <w:pPr>
        <w:pStyle w:val="NormalTight"/>
      </w:pPr>
    </w:p>
    <w:p w14:paraId="7FCDC1AC" w14:textId="482DD389" w:rsidR="00750CBE" w:rsidRPr="00426932" w:rsidRDefault="00750CBE" w:rsidP="008D0281">
      <w:pPr>
        <w:pStyle w:val="NormalTight"/>
      </w:pPr>
      <w:r w:rsidRPr="00426932">
        <w:t xml:space="preserve">ISBN </w:t>
      </w:r>
      <w:r w:rsidR="00A060D8" w:rsidRPr="00426932">
        <w:t xml:space="preserve">978-1-925551-88-4 </w:t>
      </w:r>
    </w:p>
    <w:p w14:paraId="138BD83A" w14:textId="5249FCFE" w:rsidR="00750CBE" w:rsidRPr="00C92338" w:rsidRDefault="00AC2624" w:rsidP="008D0281">
      <w:pPr>
        <w:pStyle w:val="NormalTight"/>
      </w:pPr>
      <w:r>
        <w:t>Published</w:t>
      </w:r>
      <w:r w:rsidR="00426932">
        <w:t xml:space="preserve"> September 2023</w:t>
      </w:r>
    </w:p>
    <w:p w14:paraId="76F2DC8B" w14:textId="77777777" w:rsidR="00750CBE" w:rsidRPr="00C92338" w:rsidRDefault="00750CBE" w:rsidP="008D0281">
      <w:pPr>
        <w:pStyle w:val="NormalTight"/>
      </w:pPr>
    </w:p>
    <w:p w14:paraId="5E03B888" w14:textId="5920C2B2" w:rsidR="00750CBE" w:rsidRPr="00C92338" w:rsidRDefault="00750CBE" w:rsidP="008D0281">
      <w:pPr>
        <w:pStyle w:val="NormalTight"/>
      </w:pPr>
      <w:r w:rsidRPr="00C92338">
        <w:t>If you would like to receive this publication in an accessible format please</w:t>
      </w:r>
      <w:r w:rsidR="004F2E9C">
        <w:t xml:space="preserve"> </w:t>
      </w:r>
      <w:r w:rsidRPr="00C92338">
        <w:t xml:space="preserve">email </w:t>
      </w:r>
      <w:hyperlink r:id="rId17" w:history="1">
        <w:r w:rsidRPr="00C92338">
          <w:t>information@dtf.vic.gov.au</w:t>
        </w:r>
      </w:hyperlink>
      <w:r w:rsidRPr="00C92338" w:rsidDel="00177E31">
        <w:t xml:space="preserve"> </w:t>
      </w:r>
    </w:p>
    <w:p w14:paraId="4FCB12F2" w14:textId="77777777" w:rsidR="006F6693" w:rsidRPr="00C92338" w:rsidRDefault="006F6693" w:rsidP="008D0281">
      <w:pPr>
        <w:pStyle w:val="NormalTight"/>
      </w:pPr>
    </w:p>
    <w:p w14:paraId="3CA2AA14" w14:textId="139DD510" w:rsidR="00750CBE" w:rsidRPr="00C92338" w:rsidRDefault="00750CBE" w:rsidP="6727A5B3">
      <w:pPr>
        <w:pStyle w:val="NormalTight"/>
      </w:pPr>
      <w:r>
        <w:t xml:space="preserve">This document is also available in Word and PDF format at </w:t>
      </w:r>
      <w:hyperlink r:id="rId18" w:history="1">
        <w:r w:rsidR="5672802B" w:rsidRPr="005F22DC">
          <w:rPr>
            <w:rStyle w:val="Hyperlink"/>
          </w:rPr>
          <w:t>dtf.vic.gov.au</w:t>
        </w:r>
      </w:hyperlink>
    </w:p>
    <w:p w14:paraId="476384C7" w14:textId="77777777" w:rsidR="00750CBE" w:rsidRDefault="00750CBE" w:rsidP="004F7954">
      <w:pPr>
        <w:sectPr w:rsidR="00750CBE" w:rsidSect="00B9395F">
          <w:headerReference w:type="default" r:id="rId19"/>
          <w:footerReference w:type="default" r:id="rId20"/>
          <w:type w:val="evenPage"/>
          <w:pgSz w:w="11906" w:h="16838" w:code="9"/>
          <w:pgMar w:top="3326" w:right="1440" w:bottom="1080" w:left="1440" w:header="706" w:footer="461" w:gutter="0"/>
          <w:pgNumType w:fmt="lowerRoman" w:start="1"/>
          <w:cols w:space="708"/>
          <w:docGrid w:linePitch="360"/>
        </w:sectPr>
      </w:pPr>
    </w:p>
    <w:p w14:paraId="4FE99305" w14:textId="52CE8508" w:rsidR="00750CBE" w:rsidRPr="00356F06" w:rsidRDefault="00D44953" w:rsidP="009A16B2">
      <w:pPr>
        <w:pStyle w:val="TOCHeading"/>
      </w:pPr>
      <w:r w:rsidRPr="00356F06">
        <w:t>Contents</w:t>
      </w:r>
    </w:p>
    <w:p w14:paraId="3823B455" w14:textId="7F4E1F82" w:rsidR="008A4B3E" w:rsidRDefault="00A937FD">
      <w:pPr>
        <w:pStyle w:val="TOC1"/>
        <w:rPr>
          <w:noProof/>
          <w:color w:val="auto"/>
          <w:kern w:val="2"/>
          <w:sz w:val="22"/>
          <w:szCs w:val="22"/>
          <w14:ligatures w14:val="standardContextual"/>
        </w:rPr>
      </w:pPr>
      <w:r>
        <w:rPr>
          <w:rFonts w:asciiTheme="majorHAnsi" w:hAnsiTheme="majorHAnsi"/>
          <w:noProof/>
        </w:rPr>
        <w:fldChar w:fldCharType="begin"/>
      </w:r>
      <w:r>
        <w:instrText xml:space="preserve"> TOC \h \z \t "Heading 1,2,</w:instrText>
      </w:r>
      <w:r w:rsidR="00FD07D7">
        <w:instrText>Appendix title,</w:instrText>
      </w:r>
      <w:r w:rsidR="00C131E2">
        <w:instrText>5,</w:instrText>
      </w:r>
      <w:r>
        <w:instrText>Heading 1 numbered,2,</w:instrText>
      </w:r>
      <w:r w:rsidR="00D70663">
        <w:instrText>Heading 2 numbered, 3,</w:instrText>
      </w:r>
      <w:r>
        <w:instrText xml:space="preserve">Part heading,1" </w:instrText>
      </w:r>
      <w:r>
        <w:rPr>
          <w:rFonts w:asciiTheme="majorHAnsi" w:hAnsiTheme="majorHAnsi"/>
          <w:noProof/>
        </w:rPr>
        <w:fldChar w:fldCharType="separate"/>
      </w:r>
      <w:hyperlink w:anchor="_Toc161321745" w:history="1">
        <w:r w:rsidR="008A4B3E" w:rsidRPr="007B4EF3">
          <w:rPr>
            <w:rStyle w:val="Hyperlink"/>
            <w:noProof/>
          </w:rPr>
          <w:t>Introduction</w:t>
        </w:r>
        <w:r w:rsidR="008A4B3E">
          <w:rPr>
            <w:noProof/>
            <w:webHidden/>
          </w:rPr>
          <w:tab/>
        </w:r>
        <w:r w:rsidR="008A4B3E">
          <w:rPr>
            <w:noProof/>
            <w:webHidden/>
          </w:rPr>
          <w:fldChar w:fldCharType="begin"/>
        </w:r>
        <w:r w:rsidR="008A4B3E">
          <w:rPr>
            <w:noProof/>
            <w:webHidden/>
          </w:rPr>
          <w:instrText xml:space="preserve"> PAGEREF _Toc161321745 \h </w:instrText>
        </w:r>
        <w:r w:rsidR="008A4B3E">
          <w:rPr>
            <w:noProof/>
            <w:webHidden/>
          </w:rPr>
        </w:r>
        <w:r w:rsidR="008A4B3E">
          <w:rPr>
            <w:noProof/>
            <w:webHidden/>
          </w:rPr>
          <w:fldChar w:fldCharType="separate"/>
        </w:r>
        <w:r w:rsidR="00107556">
          <w:rPr>
            <w:noProof/>
            <w:webHidden/>
          </w:rPr>
          <w:t>1</w:t>
        </w:r>
        <w:r w:rsidR="008A4B3E">
          <w:rPr>
            <w:noProof/>
            <w:webHidden/>
          </w:rPr>
          <w:fldChar w:fldCharType="end"/>
        </w:r>
      </w:hyperlink>
    </w:p>
    <w:p w14:paraId="4CC9E24A" w14:textId="086B6A79" w:rsidR="008A4B3E" w:rsidRDefault="008A4B3E">
      <w:pPr>
        <w:pStyle w:val="TOC1"/>
        <w:rPr>
          <w:noProof/>
          <w:color w:val="auto"/>
          <w:kern w:val="2"/>
          <w:sz w:val="22"/>
          <w:szCs w:val="22"/>
          <w14:ligatures w14:val="standardContextual"/>
        </w:rPr>
      </w:pPr>
      <w:hyperlink w:anchor="_Toc161321746" w:history="1">
        <w:r w:rsidRPr="007B4EF3">
          <w:rPr>
            <w:rStyle w:val="Hyperlink"/>
            <w:noProof/>
          </w:rPr>
          <w:t>Part 1: Understanding the infrastructure procurement environment</w:t>
        </w:r>
        <w:r>
          <w:rPr>
            <w:noProof/>
            <w:webHidden/>
          </w:rPr>
          <w:tab/>
        </w:r>
        <w:r>
          <w:rPr>
            <w:noProof/>
            <w:webHidden/>
          </w:rPr>
          <w:fldChar w:fldCharType="begin"/>
        </w:r>
        <w:r>
          <w:rPr>
            <w:noProof/>
            <w:webHidden/>
          </w:rPr>
          <w:instrText xml:space="preserve"> PAGEREF _Toc161321746 \h </w:instrText>
        </w:r>
        <w:r>
          <w:rPr>
            <w:noProof/>
            <w:webHidden/>
          </w:rPr>
        </w:r>
        <w:r>
          <w:rPr>
            <w:noProof/>
            <w:webHidden/>
          </w:rPr>
          <w:fldChar w:fldCharType="separate"/>
        </w:r>
        <w:r w:rsidR="00107556">
          <w:rPr>
            <w:noProof/>
            <w:webHidden/>
          </w:rPr>
          <w:t>4</w:t>
        </w:r>
        <w:r>
          <w:rPr>
            <w:noProof/>
            <w:webHidden/>
          </w:rPr>
          <w:fldChar w:fldCharType="end"/>
        </w:r>
      </w:hyperlink>
    </w:p>
    <w:p w14:paraId="77FB20AC" w14:textId="08FA09D4" w:rsidR="008A4B3E" w:rsidRDefault="008A4B3E">
      <w:pPr>
        <w:pStyle w:val="TOC2"/>
        <w:rPr>
          <w:kern w:val="2"/>
          <w:sz w:val="22"/>
          <w14:ligatures w14:val="standardContextual"/>
        </w:rPr>
      </w:pPr>
      <w:hyperlink w:anchor="_Toc161321747" w:history="1">
        <w:r w:rsidRPr="007B4EF3">
          <w:rPr>
            <w:rStyle w:val="Hyperlink"/>
          </w:rPr>
          <w:t>1.</w:t>
        </w:r>
        <w:r>
          <w:rPr>
            <w:kern w:val="2"/>
            <w:sz w:val="22"/>
            <w14:ligatures w14:val="standardContextual"/>
          </w:rPr>
          <w:tab/>
        </w:r>
        <w:r w:rsidRPr="007B4EF3">
          <w:rPr>
            <w:rStyle w:val="Hyperlink"/>
          </w:rPr>
          <w:t>Overview of infrastructure procurement</w:t>
        </w:r>
        <w:r>
          <w:rPr>
            <w:webHidden/>
          </w:rPr>
          <w:tab/>
        </w:r>
        <w:r>
          <w:rPr>
            <w:webHidden/>
          </w:rPr>
          <w:fldChar w:fldCharType="begin"/>
        </w:r>
        <w:r>
          <w:rPr>
            <w:webHidden/>
          </w:rPr>
          <w:instrText xml:space="preserve"> PAGEREF _Toc161321747 \h </w:instrText>
        </w:r>
        <w:r>
          <w:rPr>
            <w:webHidden/>
          </w:rPr>
        </w:r>
        <w:r>
          <w:rPr>
            <w:webHidden/>
          </w:rPr>
          <w:fldChar w:fldCharType="separate"/>
        </w:r>
        <w:r w:rsidR="00107556">
          <w:rPr>
            <w:webHidden/>
          </w:rPr>
          <w:t>4</w:t>
        </w:r>
        <w:r>
          <w:rPr>
            <w:webHidden/>
          </w:rPr>
          <w:fldChar w:fldCharType="end"/>
        </w:r>
      </w:hyperlink>
    </w:p>
    <w:p w14:paraId="782166FC" w14:textId="6E4730E0" w:rsidR="008A4B3E" w:rsidRDefault="008A4B3E">
      <w:pPr>
        <w:pStyle w:val="TOC3"/>
        <w:rPr>
          <w:kern w:val="2"/>
          <w:sz w:val="22"/>
          <w14:ligatures w14:val="standardContextual"/>
        </w:rPr>
      </w:pPr>
      <w:hyperlink w:anchor="_Toc161321748" w:history="1">
        <w:r w:rsidRPr="007B4EF3">
          <w:rPr>
            <w:rStyle w:val="Hyperlink"/>
          </w:rPr>
          <w:t>1.1</w:t>
        </w:r>
        <w:r>
          <w:rPr>
            <w:kern w:val="2"/>
            <w:sz w:val="22"/>
            <w14:ligatures w14:val="standardContextual"/>
          </w:rPr>
          <w:tab/>
        </w:r>
        <w:r w:rsidRPr="007B4EF3">
          <w:rPr>
            <w:rStyle w:val="Hyperlink"/>
          </w:rPr>
          <w:t>Government infrastructure procurement</w:t>
        </w:r>
        <w:r>
          <w:rPr>
            <w:webHidden/>
          </w:rPr>
          <w:tab/>
        </w:r>
        <w:r>
          <w:rPr>
            <w:webHidden/>
          </w:rPr>
          <w:fldChar w:fldCharType="begin"/>
        </w:r>
        <w:r>
          <w:rPr>
            <w:webHidden/>
          </w:rPr>
          <w:instrText xml:space="preserve"> PAGEREF _Toc161321748 \h </w:instrText>
        </w:r>
        <w:r>
          <w:rPr>
            <w:webHidden/>
          </w:rPr>
        </w:r>
        <w:r>
          <w:rPr>
            <w:webHidden/>
          </w:rPr>
          <w:fldChar w:fldCharType="separate"/>
        </w:r>
        <w:r w:rsidR="00107556">
          <w:rPr>
            <w:webHidden/>
          </w:rPr>
          <w:t>4</w:t>
        </w:r>
        <w:r>
          <w:rPr>
            <w:webHidden/>
          </w:rPr>
          <w:fldChar w:fldCharType="end"/>
        </w:r>
      </w:hyperlink>
    </w:p>
    <w:p w14:paraId="3478BF2B" w14:textId="58AEDF19" w:rsidR="008A4B3E" w:rsidRDefault="008A4B3E">
      <w:pPr>
        <w:pStyle w:val="TOC3"/>
        <w:rPr>
          <w:kern w:val="2"/>
          <w:sz w:val="22"/>
          <w14:ligatures w14:val="standardContextual"/>
        </w:rPr>
      </w:pPr>
      <w:hyperlink w:anchor="_Toc161321749" w:history="1">
        <w:r w:rsidRPr="007B4EF3">
          <w:rPr>
            <w:rStyle w:val="Hyperlink"/>
          </w:rPr>
          <w:t>1.2</w:t>
        </w:r>
        <w:r>
          <w:rPr>
            <w:kern w:val="2"/>
            <w:sz w:val="22"/>
            <w14:ligatures w14:val="standardContextual"/>
          </w:rPr>
          <w:tab/>
        </w:r>
        <w:r w:rsidRPr="007B4EF3">
          <w:rPr>
            <w:rStyle w:val="Hyperlink"/>
          </w:rPr>
          <w:t>Principles for government procurement</w:t>
        </w:r>
        <w:r>
          <w:rPr>
            <w:webHidden/>
          </w:rPr>
          <w:tab/>
        </w:r>
        <w:r>
          <w:rPr>
            <w:webHidden/>
          </w:rPr>
          <w:fldChar w:fldCharType="begin"/>
        </w:r>
        <w:r>
          <w:rPr>
            <w:webHidden/>
          </w:rPr>
          <w:instrText xml:space="preserve"> PAGEREF _Toc161321749 \h </w:instrText>
        </w:r>
        <w:r>
          <w:rPr>
            <w:webHidden/>
          </w:rPr>
        </w:r>
        <w:r>
          <w:rPr>
            <w:webHidden/>
          </w:rPr>
          <w:fldChar w:fldCharType="separate"/>
        </w:r>
        <w:r w:rsidR="00107556">
          <w:rPr>
            <w:webHidden/>
          </w:rPr>
          <w:t>5</w:t>
        </w:r>
        <w:r>
          <w:rPr>
            <w:webHidden/>
          </w:rPr>
          <w:fldChar w:fldCharType="end"/>
        </w:r>
      </w:hyperlink>
    </w:p>
    <w:p w14:paraId="174AA493" w14:textId="058C0954" w:rsidR="008A4B3E" w:rsidRDefault="008A4B3E">
      <w:pPr>
        <w:pStyle w:val="TOC3"/>
        <w:rPr>
          <w:kern w:val="2"/>
          <w:sz w:val="22"/>
          <w14:ligatures w14:val="standardContextual"/>
        </w:rPr>
      </w:pPr>
      <w:hyperlink w:anchor="_Toc161321750" w:history="1">
        <w:r w:rsidRPr="007B4EF3">
          <w:rPr>
            <w:rStyle w:val="Hyperlink"/>
          </w:rPr>
          <w:t>1.3</w:t>
        </w:r>
        <w:r>
          <w:rPr>
            <w:kern w:val="2"/>
            <w:sz w:val="22"/>
            <w14:ligatures w14:val="standardContextual"/>
          </w:rPr>
          <w:tab/>
        </w:r>
        <w:r w:rsidRPr="007B4EF3">
          <w:rPr>
            <w:rStyle w:val="Hyperlink"/>
          </w:rPr>
          <w:t>Procurement legislation and policy</w:t>
        </w:r>
        <w:r>
          <w:rPr>
            <w:webHidden/>
          </w:rPr>
          <w:tab/>
        </w:r>
        <w:r>
          <w:rPr>
            <w:webHidden/>
          </w:rPr>
          <w:fldChar w:fldCharType="begin"/>
        </w:r>
        <w:r>
          <w:rPr>
            <w:webHidden/>
          </w:rPr>
          <w:instrText xml:space="preserve"> PAGEREF _Toc161321750 \h </w:instrText>
        </w:r>
        <w:r>
          <w:rPr>
            <w:webHidden/>
          </w:rPr>
        </w:r>
        <w:r>
          <w:rPr>
            <w:webHidden/>
          </w:rPr>
          <w:fldChar w:fldCharType="separate"/>
        </w:r>
        <w:r w:rsidR="00107556">
          <w:rPr>
            <w:webHidden/>
          </w:rPr>
          <w:t>8</w:t>
        </w:r>
        <w:r>
          <w:rPr>
            <w:webHidden/>
          </w:rPr>
          <w:fldChar w:fldCharType="end"/>
        </w:r>
      </w:hyperlink>
    </w:p>
    <w:p w14:paraId="2598479D" w14:textId="2B90B843" w:rsidR="008A4B3E" w:rsidRDefault="008A4B3E">
      <w:pPr>
        <w:pStyle w:val="TOC3"/>
        <w:rPr>
          <w:kern w:val="2"/>
          <w:sz w:val="22"/>
          <w14:ligatures w14:val="standardContextual"/>
        </w:rPr>
      </w:pPr>
      <w:hyperlink w:anchor="_Toc161321751" w:history="1">
        <w:r w:rsidRPr="007B4EF3">
          <w:rPr>
            <w:rStyle w:val="Hyperlink"/>
          </w:rPr>
          <w:t>1.4</w:t>
        </w:r>
        <w:r>
          <w:rPr>
            <w:kern w:val="2"/>
            <w:sz w:val="22"/>
            <w14:ligatures w14:val="standardContextual"/>
          </w:rPr>
          <w:tab/>
        </w:r>
        <w:r w:rsidRPr="007B4EF3">
          <w:rPr>
            <w:rStyle w:val="Hyperlink"/>
          </w:rPr>
          <w:t>Project assurance</w:t>
        </w:r>
        <w:r>
          <w:rPr>
            <w:webHidden/>
          </w:rPr>
          <w:tab/>
        </w:r>
        <w:r>
          <w:rPr>
            <w:webHidden/>
          </w:rPr>
          <w:fldChar w:fldCharType="begin"/>
        </w:r>
        <w:r>
          <w:rPr>
            <w:webHidden/>
          </w:rPr>
          <w:instrText xml:space="preserve"> PAGEREF _Toc161321751 \h </w:instrText>
        </w:r>
        <w:r>
          <w:rPr>
            <w:webHidden/>
          </w:rPr>
        </w:r>
        <w:r>
          <w:rPr>
            <w:webHidden/>
          </w:rPr>
          <w:fldChar w:fldCharType="separate"/>
        </w:r>
        <w:r w:rsidR="00107556">
          <w:rPr>
            <w:webHidden/>
          </w:rPr>
          <w:t>11</w:t>
        </w:r>
        <w:r>
          <w:rPr>
            <w:webHidden/>
          </w:rPr>
          <w:fldChar w:fldCharType="end"/>
        </w:r>
      </w:hyperlink>
    </w:p>
    <w:p w14:paraId="5E000BF4" w14:textId="2ACF383E" w:rsidR="008A4B3E" w:rsidRDefault="008A4B3E">
      <w:pPr>
        <w:pStyle w:val="TOC1"/>
        <w:rPr>
          <w:noProof/>
          <w:color w:val="auto"/>
          <w:kern w:val="2"/>
          <w:sz w:val="22"/>
          <w:szCs w:val="22"/>
          <w14:ligatures w14:val="standardContextual"/>
        </w:rPr>
      </w:pPr>
      <w:hyperlink w:anchor="_Toc161321752" w:history="1">
        <w:r w:rsidRPr="007B4EF3">
          <w:rPr>
            <w:rStyle w:val="Hyperlink"/>
            <w:noProof/>
          </w:rPr>
          <w:t>Part 2: Developing the procurement strategy</w:t>
        </w:r>
        <w:r>
          <w:rPr>
            <w:noProof/>
            <w:webHidden/>
          </w:rPr>
          <w:tab/>
        </w:r>
        <w:r>
          <w:rPr>
            <w:noProof/>
            <w:webHidden/>
          </w:rPr>
          <w:fldChar w:fldCharType="begin"/>
        </w:r>
        <w:r>
          <w:rPr>
            <w:noProof/>
            <w:webHidden/>
          </w:rPr>
          <w:instrText xml:space="preserve"> PAGEREF _Toc161321752 \h </w:instrText>
        </w:r>
        <w:r>
          <w:rPr>
            <w:noProof/>
            <w:webHidden/>
          </w:rPr>
        </w:r>
        <w:r>
          <w:rPr>
            <w:noProof/>
            <w:webHidden/>
          </w:rPr>
          <w:fldChar w:fldCharType="separate"/>
        </w:r>
        <w:r w:rsidR="00107556">
          <w:rPr>
            <w:noProof/>
            <w:webHidden/>
          </w:rPr>
          <w:t>15</w:t>
        </w:r>
        <w:r>
          <w:rPr>
            <w:noProof/>
            <w:webHidden/>
          </w:rPr>
          <w:fldChar w:fldCharType="end"/>
        </w:r>
      </w:hyperlink>
    </w:p>
    <w:p w14:paraId="42D77924" w14:textId="179AE63C" w:rsidR="008A4B3E" w:rsidRDefault="008A4B3E">
      <w:pPr>
        <w:pStyle w:val="TOC2"/>
        <w:rPr>
          <w:kern w:val="2"/>
          <w:sz w:val="22"/>
          <w14:ligatures w14:val="standardContextual"/>
        </w:rPr>
      </w:pPr>
      <w:hyperlink w:anchor="_Toc161321753" w:history="1">
        <w:r w:rsidRPr="007B4EF3">
          <w:rPr>
            <w:rStyle w:val="Hyperlink"/>
          </w:rPr>
          <w:t>2.</w:t>
        </w:r>
        <w:r>
          <w:rPr>
            <w:kern w:val="2"/>
            <w:sz w:val="22"/>
            <w14:ligatures w14:val="standardContextual"/>
          </w:rPr>
          <w:tab/>
        </w:r>
        <w:r w:rsidRPr="007B4EF3">
          <w:rPr>
            <w:rStyle w:val="Hyperlink"/>
          </w:rPr>
          <w:t>Procurement strategy</w:t>
        </w:r>
        <w:r>
          <w:rPr>
            <w:webHidden/>
          </w:rPr>
          <w:tab/>
        </w:r>
        <w:r>
          <w:rPr>
            <w:webHidden/>
          </w:rPr>
          <w:fldChar w:fldCharType="begin"/>
        </w:r>
        <w:r>
          <w:rPr>
            <w:webHidden/>
          </w:rPr>
          <w:instrText xml:space="preserve"> PAGEREF _Toc161321753 \h </w:instrText>
        </w:r>
        <w:r>
          <w:rPr>
            <w:webHidden/>
          </w:rPr>
        </w:r>
        <w:r>
          <w:rPr>
            <w:webHidden/>
          </w:rPr>
          <w:fldChar w:fldCharType="separate"/>
        </w:r>
        <w:r w:rsidR="00107556">
          <w:rPr>
            <w:webHidden/>
          </w:rPr>
          <w:t>15</w:t>
        </w:r>
        <w:r>
          <w:rPr>
            <w:webHidden/>
          </w:rPr>
          <w:fldChar w:fldCharType="end"/>
        </w:r>
      </w:hyperlink>
    </w:p>
    <w:p w14:paraId="5F4F2A53" w14:textId="2982C867" w:rsidR="008A4B3E" w:rsidRDefault="008A4B3E">
      <w:pPr>
        <w:pStyle w:val="TOC3"/>
        <w:rPr>
          <w:kern w:val="2"/>
          <w:sz w:val="22"/>
          <w14:ligatures w14:val="standardContextual"/>
        </w:rPr>
      </w:pPr>
      <w:hyperlink w:anchor="_Toc161321754" w:history="1">
        <w:r w:rsidRPr="007B4EF3">
          <w:rPr>
            <w:rStyle w:val="Hyperlink"/>
          </w:rPr>
          <w:t>2.1</w:t>
        </w:r>
        <w:r>
          <w:rPr>
            <w:kern w:val="2"/>
            <w:sz w:val="22"/>
            <w14:ligatures w14:val="standardContextual"/>
          </w:rPr>
          <w:tab/>
        </w:r>
        <w:r w:rsidRPr="007B4EF3">
          <w:rPr>
            <w:rStyle w:val="Hyperlink"/>
          </w:rPr>
          <w:t>What is a procurement strategy?</w:t>
        </w:r>
        <w:r>
          <w:rPr>
            <w:webHidden/>
          </w:rPr>
          <w:tab/>
        </w:r>
        <w:r>
          <w:rPr>
            <w:webHidden/>
          </w:rPr>
          <w:fldChar w:fldCharType="begin"/>
        </w:r>
        <w:r>
          <w:rPr>
            <w:webHidden/>
          </w:rPr>
          <w:instrText xml:space="preserve"> PAGEREF _Toc161321754 \h </w:instrText>
        </w:r>
        <w:r>
          <w:rPr>
            <w:webHidden/>
          </w:rPr>
        </w:r>
        <w:r>
          <w:rPr>
            <w:webHidden/>
          </w:rPr>
          <w:fldChar w:fldCharType="separate"/>
        </w:r>
        <w:r w:rsidR="00107556">
          <w:rPr>
            <w:webHidden/>
          </w:rPr>
          <w:t>15</w:t>
        </w:r>
        <w:r>
          <w:rPr>
            <w:webHidden/>
          </w:rPr>
          <w:fldChar w:fldCharType="end"/>
        </w:r>
      </w:hyperlink>
    </w:p>
    <w:p w14:paraId="7B17A098" w14:textId="0425A72E" w:rsidR="008A4B3E" w:rsidRDefault="008A4B3E">
      <w:pPr>
        <w:pStyle w:val="TOC3"/>
        <w:rPr>
          <w:kern w:val="2"/>
          <w:sz w:val="22"/>
          <w14:ligatures w14:val="standardContextual"/>
        </w:rPr>
      </w:pPr>
      <w:hyperlink w:anchor="_Toc161321755" w:history="1">
        <w:r w:rsidRPr="007B4EF3">
          <w:rPr>
            <w:rStyle w:val="Hyperlink"/>
          </w:rPr>
          <w:t>2.2</w:t>
        </w:r>
        <w:r>
          <w:rPr>
            <w:kern w:val="2"/>
            <w:sz w:val="22"/>
            <w14:ligatures w14:val="standardContextual"/>
          </w:rPr>
          <w:tab/>
        </w:r>
        <w:r w:rsidRPr="007B4EF3">
          <w:rPr>
            <w:rStyle w:val="Hyperlink"/>
          </w:rPr>
          <w:t>Why is a robust procurement strategy necessary?</w:t>
        </w:r>
        <w:r>
          <w:rPr>
            <w:webHidden/>
          </w:rPr>
          <w:tab/>
        </w:r>
        <w:r>
          <w:rPr>
            <w:webHidden/>
          </w:rPr>
          <w:fldChar w:fldCharType="begin"/>
        </w:r>
        <w:r>
          <w:rPr>
            <w:webHidden/>
          </w:rPr>
          <w:instrText xml:space="preserve"> PAGEREF _Toc161321755 \h </w:instrText>
        </w:r>
        <w:r>
          <w:rPr>
            <w:webHidden/>
          </w:rPr>
        </w:r>
        <w:r>
          <w:rPr>
            <w:webHidden/>
          </w:rPr>
          <w:fldChar w:fldCharType="separate"/>
        </w:r>
        <w:r w:rsidR="00107556">
          <w:rPr>
            <w:webHidden/>
          </w:rPr>
          <w:t>16</w:t>
        </w:r>
        <w:r>
          <w:rPr>
            <w:webHidden/>
          </w:rPr>
          <w:fldChar w:fldCharType="end"/>
        </w:r>
      </w:hyperlink>
    </w:p>
    <w:p w14:paraId="5478DD61" w14:textId="7F2A8ACA" w:rsidR="008A4B3E" w:rsidRDefault="008A4B3E">
      <w:pPr>
        <w:pStyle w:val="TOC2"/>
        <w:rPr>
          <w:kern w:val="2"/>
          <w:sz w:val="22"/>
          <w14:ligatures w14:val="standardContextual"/>
        </w:rPr>
      </w:pPr>
      <w:hyperlink w:anchor="_Toc161321756" w:history="1">
        <w:r w:rsidRPr="007B4EF3">
          <w:rPr>
            <w:rStyle w:val="Hyperlink"/>
          </w:rPr>
          <w:t>3.</w:t>
        </w:r>
        <w:r>
          <w:rPr>
            <w:kern w:val="2"/>
            <w:sz w:val="22"/>
            <w14:ligatures w14:val="standardContextual"/>
          </w:rPr>
          <w:tab/>
        </w:r>
        <w:r w:rsidRPr="007B4EF3">
          <w:rPr>
            <w:rStyle w:val="Hyperlink"/>
          </w:rPr>
          <w:t>Process for developing a procurement strategy</w:t>
        </w:r>
        <w:r>
          <w:rPr>
            <w:webHidden/>
          </w:rPr>
          <w:tab/>
        </w:r>
        <w:r>
          <w:rPr>
            <w:webHidden/>
          </w:rPr>
          <w:fldChar w:fldCharType="begin"/>
        </w:r>
        <w:r>
          <w:rPr>
            <w:webHidden/>
          </w:rPr>
          <w:instrText xml:space="preserve"> PAGEREF _Toc161321756 \h </w:instrText>
        </w:r>
        <w:r>
          <w:rPr>
            <w:webHidden/>
          </w:rPr>
        </w:r>
        <w:r>
          <w:rPr>
            <w:webHidden/>
          </w:rPr>
          <w:fldChar w:fldCharType="separate"/>
        </w:r>
        <w:r w:rsidR="00107556">
          <w:rPr>
            <w:webHidden/>
          </w:rPr>
          <w:t>17</w:t>
        </w:r>
        <w:r>
          <w:rPr>
            <w:webHidden/>
          </w:rPr>
          <w:fldChar w:fldCharType="end"/>
        </w:r>
      </w:hyperlink>
    </w:p>
    <w:p w14:paraId="3BD1BD50" w14:textId="1B7EA162" w:rsidR="008A4B3E" w:rsidRDefault="008A4B3E">
      <w:pPr>
        <w:pStyle w:val="TOC3"/>
        <w:rPr>
          <w:kern w:val="2"/>
          <w:sz w:val="22"/>
          <w14:ligatures w14:val="standardContextual"/>
        </w:rPr>
      </w:pPr>
      <w:hyperlink w:anchor="_Toc161321757" w:history="1">
        <w:r w:rsidRPr="007B4EF3">
          <w:rPr>
            <w:rStyle w:val="Hyperlink"/>
          </w:rPr>
          <w:t>3.1</w:t>
        </w:r>
        <w:r>
          <w:rPr>
            <w:kern w:val="2"/>
            <w:sz w:val="22"/>
            <w14:ligatures w14:val="standardContextual"/>
          </w:rPr>
          <w:tab/>
        </w:r>
        <w:r w:rsidRPr="007B4EF3">
          <w:rPr>
            <w:rStyle w:val="Hyperlink"/>
          </w:rPr>
          <w:t>Step 1: Scope key project success factors and establish procurement objectives</w:t>
        </w:r>
        <w:r>
          <w:rPr>
            <w:webHidden/>
          </w:rPr>
          <w:tab/>
        </w:r>
        <w:r>
          <w:rPr>
            <w:webHidden/>
          </w:rPr>
          <w:fldChar w:fldCharType="begin"/>
        </w:r>
        <w:r>
          <w:rPr>
            <w:webHidden/>
          </w:rPr>
          <w:instrText xml:space="preserve"> PAGEREF _Toc161321757 \h </w:instrText>
        </w:r>
        <w:r>
          <w:rPr>
            <w:webHidden/>
          </w:rPr>
        </w:r>
        <w:r>
          <w:rPr>
            <w:webHidden/>
          </w:rPr>
          <w:fldChar w:fldCharType="separate"/>
        </w:r>
        <w:r w:rsidR="00107556">
          <w:rPr>
            <w:webHidden/>
          </w:rPr>
          <w:t>18</w:t>
        </w:r>
        <w:r>
          <w:rPr>
            <w:webHidden/>
          </w:rPr>
          <w:fldChar w:fldCharType="end"/>
        </w:r>
      </w:hyperlink>
    </w:p>
    <w:p w14:paraId="78586F30" w14:textId="39B8B183" w:rsidR="008A4B3E" w:rsidRDefault="008A4B3E">
      <w:pPr>
        <w:pStyle w:val="TOC3"/>
        <w:rPr>
          <w:kern w:val="2"/>
          <w:sz w:val="22"/>
          <w14:ligatures w14:val="standardContextual"/>
        </w:rPr>
      </w:pPr>
      <w:hyperlink w:anchor="_Toc161321758" w:history="1">
        <w:r w:rsidRPr="007B4EF3">
          <w:rPr>
            <w:rStyle w:val="Hyperlink"/>
          </w:rPr>
          <w:t>3.2</w:t>
        </w:r>
        <w:r>
          <w:rPr>
            <w:kern w:val="2"/>
            <w:sz w:val="22"/>
            <w14:ligatures w14:val="standardContextual"/>
          </w:rPr>
          <w:tab/>
        </w:r>
        <w:r w:rsidRPr="007B4EF3">
          <w:rPr>
            <w:rStyle w:val="Hyperlink"/>
          </w:rPr>
          <w:t>Step 2: Project structuring, bundling and packaging</w:t>
        </w:r>
        <w:r>
          <w:rPr>
            <w:webHidden/>
          </w:rPr>
          <w:tab/>
        </w:r>
        <w:r>
          <w:rPr>
            <w:webHidden/>
          </w:rPr>
          <w:fldChar w:fldCharType="begin"/>
        </w:r>
        <w:r>
          <w:rPr>
            <w:webHidden/>
          </w:rPr>
          <w:instrText xml:space="preserve"> PAGEREF _Toc161321758 \h </w:instrText>
        </w:r>
        <w:r>
          <w:rPr>
            <w:webHidden/>
          </w:rPr>
        </w:r>
        <w:r>
          <w:rPr>
            <w:webHidden/>
          </w:rPr>
          <w:fldChar w:fldCharType="separate"/>
        </w:r>
        <w:r w:rsidR="00107556">
          <w:rPr>
            <w:webHidden/>
          </w:rPr>
          <w:t>24</w:t>
        </w:r>
        <w:r>
          <w:rPr>
            <w:webHidden/>
          </w:rPr>
          <w:fldChar w:fldCharType="end"/>
        </w:r>
      </w:hyperlink>
    </w:p>
    <w:p w14:paraId="73AE8F6D" w14:textId="03325D44" w:rsidR="008A4B3E" w:rsidRDefault="008A4B3E">
      <w:pPr>
        <w:pStyle w:val="TOC3"/>
        <w:rPr>
          <w:kern w:val="2"/>
          <w:sz w:val="22"/>
          <w14:ligatures w14:val="standardContextual"/>
        </w:rPr>
      </w:pPr>
      <w:hyperlink w:anchor="_Toc161321759" w:history="1">
        <w:r w:rsidRPr="007B4EF3">
          <w:rPr>
            <w:rStyle w:val="Hyperlink"/>
          </w:rPr>
          <w:t>3.3</w:t>
        </w:r>
        <w:r>
          <w:rPr>
            <w:kern w:val="2"/>
            <w:sz w:val="22"/>
            <w14:ligatures w14:val="standardContextual"/>
          </w:rPr>
          <w:tab/>
        </w:r>
        <w:r w:rsidRPr="007B4EF3">
          <w:rPr>
            <w:rStyle w:val="Hyperlink"/>
          </w:rPr>
          <w:t>Step 3: Test procurement model fit and shortlist</w:t>
        </w:r>
        <w:r>
          <w:rPr>
            <w:webHidden/>
          </w:rPr>
          <w:tab/>
        </w:r>
        <w:r>
          <w:rPr>
            <w:webHidden/>
          </w:rPr>
          <w:fldChar w:fldCharType="begin"/>
        </w:r>
        <w:r>
          <w:rPr>
            <w:webHidden/>
          </w:rPr>
          <w:instrText xml:space="preserve"> PAGEREF _Toc161321759 \h </w:instrText>
        </w:r>
        <w:r>
          <w:rPr>
            <w:webHidden/>
          </w:rPr>
        </w:r>
        <w:r>
          <w:rPr>
            <w:webHidden/>
          </w:rPr>
          <w:fldChar w:fldCharType="separate"/>
        </w:r>
        <w:r w:rsidR="00107556">
          <w:rPr>
            <w:webHidden/>
          </w:rPr>
          <w:t>33</w:t>
        </w:r>
        <w:r>
          <w:rPr>
            <w:webHidden/>
          </w:rPr>
          <w:fldChar w:fldCharType="end"/>
        </w:r>
      </w:hyperlink>
    </w:p>
    <w:p w14:paraId="0AC146B5" w14:textId="6E5379A8" w:rsidR="008A4B3E" w:rsidRDefault="008A4B3E">
      <w:pPr>
        <w:pStyle w:val="TOC3"/>
        <w:rPr>
          <w:kern w:val="2"/>
          <w:sz w:val="22"/>
          <w14:ligatures w14:val="standardContextual"/>
        </w:rPr>
      </w:pPr>
      <w:hyperlink w:anchor="_Toc161321760" w:history="1">
        <w:r w:rsidRPr="007B4EF3">
          <w:rPr>
            <w:rStyle w:val="Hyperlink"/>
          </w:rPr>
          <w:t>3.4</w:t>
        </w:r>
        <w:r>
          <w:rPr>
            <w:kern w:val="2"/>
            <w:sz w:val="22"/>
            <w14:ligatures w14:val="standardContextual"/>
          </w:rPr>
          <w:tab/>
        </w:r>
        <w:r w:rsidRPr="007B4EF3">
          <w:rPr>
            <w:rStyle w:val="Hyperlink"/>
          </w:rPr>
          <w:t>Step 4: Analyse shortlist and justify procurement model selection</w:t>
        </w:r>
        <w:r>
          <w:rPr>
            <w:webHidden/>
          </w:rPr>
          <w:tab/>
        </w:r>
        <w:r>
          <w:rPr>
            <w:webHidden/>
          </w:rPr>
          <w:fldChar w:fldCharType="begin"/>
        </w:r>
        <w:r>
          <w:rPr>
            <w:webHidden/>
          </w:rPr>
          <w:instrText xml:space="preserve"> PAGEREF _Toc161321760 \h </w:instrText>
        </w:r>
        <w:r>
          <w:rPr>
            <w:webHidden/>
          </w:rPr>
        </w:r>
        <w:r>
          <w:rPr>
            <w:webHidden/>
          </w:rPr>
          <w:fldChar w:fldCharType="separate"/>
        </w:r>
        <w:r w:rsidR="00107556">
          <w:rPr>
            <w:webHidden/>
          </w:rPr>
          <w:t>36</w:t>
        </w:r>
        <w:r>
          <w:rPr>
            <w:webHidden/>
          </w:rPr>
          <w:fldChar w:fldCharType="end"/>
        </w:r>
      </w:hyperlink>
    </w:p>
    <w:p w14:paraId="33C235D7" w14:textId="26DDA7DD" w:rsidR="008A4B3E" w:rsidRDefault="008A4B3E">
      <w:pPr>
        <w:pStyle w:val="TOC3"/>
        <w:rPr>
          <w:kern w:val="2"/>
          <w:sz w:val="22"/>
          <w14:ligatures w14:val="standardContextual"/>
        </w:rPr>
      </w:pPr>
      <w:hyperlink w:anchor="_Toc161321761" w:history="1">
        <w:r w:rsidRPr="007B4EF3">
          <w:rPr>
            <w:rStyle w:val="Hyperlink"/>
          </w:rPr>
          <w:t>3.5</w:t>
        </w:r>
        <w:r>
          <w:rPr>
            <w:kern w:val="2"/>
            <w:sz w:val="22"/>
            <w14:ligatures w14:val="standardContextual"/>
          </w:rPr>
          <w:tab/>
        </w:r>
        <w:r w:rsidRPr="007B4EF3">
          <w:rPr>
            <w:rStyle w:val="Hyperlink"/>
          </w:rPr>
          <w:t>Step 5: Detail the preferred procurement model and feed impacts through the business case</w:t>
        </w:r>
        <w:r>
          <w:rPr>
            <w:webHidden/>
          </w:rPr>
          <w:tab/>
        </w:r>
        <w:r>
          <w:rPr>
            <w:webHidden/>
          </w:rPr>
          <w:fldChar w:fldCharType="begin"/>
        </w:r>
        <w:r>
          <w:rPr>
            <w:webHidden/>
          </w:rPr>
          <w:instrText xml:space="preserve"> PAGEREF _Toc161321761 \h </w:instrText>
        </w:r>
        <w:r>
          <w:rPr>
            <w:webHidden/>
          </w:rPr>
        </w:r>
        <w:r>
          <w:rPr>
            <w:webHidden/>
          </w:rPr>
          <w:fldChar w:fldCharType="separate"/>
        </w:r>
        <w:r w:rsidR="00107556">
          <w:rPr>
            <w:webHidden/>
          </w:rPr>
          <w:t>43</w:t>
        </w:r>
        <w:r>
          <w:rPr>
            <w:webHidden/>
          </w:rPr>
          <w:fldChar w:fldCharType="end"/>
        </w:r>
      </w:hyperlink>
    </w:p>
    <w:p w14:paraId="3C9859C3" w14:textId="0A7E2720" w:rsidR="008A4B3E" w:rsidRDefault="008A4B3E">
      <w:pPr>
        <w:pStyle w:val="TOC2"/>
        <w:rPr>
          <w:kern w:val="2"/>
          <w:sz w:val="22"/>
          <w14:ligatures w14:val="standardContextual"/>
        </w:rPr>
      </w:pPr>
      <w:hyperlink w:anchor="_Toc161321762" w:history="1">
        <w:r w:rsidRPr="007B4EF3">
          <w:rPr>
            <w:rStyle w:val="Hyperlink"/>
          </w:rPr>
          <w:t>4.</w:t>
        </w:r>
        <w:r>
          <w:rPr>
            <w:kern w:val="2"/>
            <w:sz w:val="22"/>
            <w14:ligatures w14:val="standardContextual"/>
          </w:rPr>
          <w:tab/>
        </w:r>
        <w:r w:rsidRPr="007B4EF3">
          <w:rPr>
            <w:rStyle w:val="Hyperlink"/>
          </w:rPr>
          <w:t>Overview of procurement models</w:t>
        </w:r>
        <w:r>
          <w:rPr>
            <w:webHidden/>
          </w:rPr>
          <w:tab/>
        </w:r>
        <w:r>
          <w:rPr>
            <w:webHidden/>
          </w:rPr>
          <w:fldChar w:fldCharType="begin"/>
        </w:r>
        <w:r>
          <w:rPr>
            <w:webHidden/>
          </w:rPr>
          <w:instrText xml:space="preserve"> PAGEREF _Toc161321762 \h </w:instrText>
        </w:r>
        <w:r>
          <w:rPr>
            <w:webHidden/>
          </w:rPr>
        </w:r>
        <w:r>
          <w:rPr>
            <w:webHidden/>
          </w:rPr>
          <w:fldChar w:fldCharType="separate"/>
        </w:r>
        <w:r w:rsidR="00107556">
          <w:rPr>
            <w:webHidden/>
          </w:rPr>
          <w:t>45</w:t>
        </w:r>
        <w:r>
          <w:rPr>
            <w:webHidden/>
          </w:rPr>
          <w:fldChar w:fldCharType="end"/>
        </w:r>
      </w:hyperlink>
    </w:p>
    <w:p w14:paraId="3BB873D1" w14:textId="034B4B8B" w:rsidR="008A4B3E" w:rsidRDefault="008A4B3E">
      <w:pPr>
        <w:pStyle w:val="TOC3"/>
        <w:rPr>
          <w:kern w:val="2"/>
          <w:sz w:val="22"/>
          <w14:ligatures w14:val="standardContextual"/>
        </w:rPr>
      </w:pPr>
      <w:hyperlink w:anchor="_Toc161321763" w:history="1">
        <w:r w:rsidRPr="007B4EF3">
          <w:rPr>
            <w:rStyle w:val="Hyperlink"/>
          </w:rPr>
          <w:t>4.1</w:t>
        </w:r>
        <w:r>
          <w:rPr>
            <w:kern w:val="2"/>
            <w:sz w:val="22"/>
            <w14:ligatures w14:val="standardContextual"/>
          </w:rPr>
          <w:tab/>
        </w:r>
        <w:r w:rsidRPr="007B4EF3">
          <w:rPr>
            <w:rStyle w:val="Hyperlink"/>
          </w:rPr>
          <w:t>Early contractor involvement</w:t>
        </w:r>
        <w:r>
          <w:rPr>
            <w:webHidden/>
          </w:rPr>
          <w:tab/>
        </w:r>
        <w:r>
          <w:rPr>
            <w:webHidden/>
          </w:rPr>
          <w:fldChar w:fldCharType="begin"/>
        </w:r>
        <w:r>
          <w:rPr>
            <w:webHidden/>
          </w:rPr>
          <w:instrText xml:space="preserve"> PAGEREF _Toc161321763 \h </w:instrText>
        </w:r>
        <w:r>
          <w:rPr>
            <w:webHidden/>
          </w:rPr>
        </w:r>
        <w:r>
          <w:rPr>
            <w:webHidden/>
          </w:rPr>
          <w:fldChar w:fldCharType="separate"/>
        </w:r>
        <w:r w:rsidR="00107556">
          <w:rPr>
            <w:webHidden/>
          </w:rPr>
          <w:t>46</w:t>
        </w:r>
        <w:r>
          <w:rPr>
            <w:webHidden/>
          </w:rPr>
          <w:fldChar w:fldCharType="end"/>
        </w:r>
      </w:hyperlink>
    </w:p>
    <w:p w14:paraId="2E3FFAEF" w14:textId="103AC367" w:rsidR="008A4B3E" w:rsidRDefault="008A4B3E">
      <w:pPr>
        <w:pStyle w:val="TOC3"/>
        <w:rPr>
          <w:kern w:val="2"/>
          <w:sz w:val="22"/>
          <w14:ligatures w14:val="standardContextual"/>
        </w:rPr>
      </w:pPr>
      <w:hyperlink w:anchor="_Toc161321764" w:history="1">
        <w:r w:rsidRPr="007B4EF3">
          <w:rPr>
            <w:rStyle w:val="Hyperlink"/>
            <w:rFonts w:eastAsia="Times New Roman"/>
          </w:rPr>
          <w:t>4.2</w:t>
        </w:r>
        <w:r>
          <w:rPr>
            <w:kern w:val="2"/>
            <w:sz w:val="22"/>
            <w14:ligatures w14:val="standardContextual"/>
          </w:rPr>
          <w:tab/>
        </w:r>
        <w:r w:rsidRPr="007B4EF3">
          <w:rPr>
            <w:rStyle w:val="Hyperlink"/>
            <w:rFonts w:eastAsia="Times New Roman"/>
          </w:rPr>
          <w:t>Lump sum procurement models</w:t>
        </w:r>
        <w:r>
          <w:rPr>
            <w:webHidden/>
          </w:rPr>
          <w:tab/>
        </w:r>
        <w:r>
          <w:rPr>
            <w:webHidden/>
          </w:rPr>
          <w:fldChar w:fldCharType="begin"/>
        </w:r>
        <w:r>
          <w:rPr>
            <w:webHidden/>
          </w:rPr>
          <w:instrText xml:space="preserve"> PAGEREF _Toc161321764 \h </w:instrText>
        </w:r>
        <w:r>
          <w:rPr>
            <w:webHidden/>
          </w:rPr>
        </w:r>
        <w:r>
          <w:rPr>
            <w:webHidden/>
          </w:rPr>
          <w:fldChar w:fldCharType="separate"/>
        </w:r>
        <w:r w:rsidR="00107556">
          <w:rPr>
            <w:webHidden/>
          </w:rPr>
          <w:t>46</w:t>
        </w:r>
        <w:r>
          <w:rPr>
            <w:webHidden/>
          </w:rPr>
          <w:fldChar w:fldCharType="end"/>
        </w:r>
      </w:hyperlink>
    </w:p>
    <w:p w14:paraId="678A6CC7" w14:textId="41F7708C" w:rsidR="008A4B3E" w:rsidRDefault="008A4B3E">
      <w:pPr>
        <w:pStyle w:val="TOC3"/>
        <w:rPr>
          <w:kern w:val="2"/>
          <w:sz w:val="22"/>
          <w14:ligatures w14:val="standardContextual"/>
        </w:rPr>
      </w:pPr>
      <w:hyperlink w:anchor="_Toc161321765" w:history="1">
        <w:r w:rsidRPr="007B4EF3">
          <w:rPr>
            <w:rStyle w:val="Hyperlink"/>
            <w:rFonts w:eastAsia="Times New Roman"/>
          </w:rPr>
          <w:t>4.3</w:t>
        </w:r>
        <w:r>
          <w:rPr>
            <w:kern w:val="2"/>
            <w:sz w:val="22"/>
            <w14:ligatures w14:val="standardContextual"/>
          </w:rPr>
          <w:tab/>
        </w:r>
        <w:r w:rsidRPr="007B4EF3">
          <w:rPr>
            <w:rStyle w:val="Hyperlink"/>
            <w:rFonts w:eastAsia="Times New Roman"/>
          </w:rPr>
          <w:t>Cost reimbursable models</w:t>
        </w:r>
        <w:r>
          <w:rPr>
            <w:webHidden/>
          </w:rPr>
          <w:tab/>
        </w:r>
        <w:r>
          <w:rPr>
            <w:webHidden/>
          </w:rPr>
          <w:fldChar w:fldCharType="begin"/>
        </w:r>
        <w:r>
          <w:rPr>
            <w:webHidden/>
          </w:rPr>
          <w:instrText xml:space="preserve"> PAGEREF _Toc161321765 \h </w:instrText>
        </w:r>
        <w:r>
          <w:rPr>
            <w:webHidden/>
          </w:rPr>
        </w:r>
        <w:r>
          <w:rPr>
            <w:webHidden/>
          </w:rPr>
          <w:fldChar w:fldCharType="separate"/>
        </w:r>
        <w:r w:rsidR="00107556">
          <w:rPr>
            <w:webHidden/>
          </w:rPr>
          <w:t>56</w:t>
        </w:r>
        <w:r>
          <w:rPr>
            <w:webHidden/>
          </w:rPr>
          <w:fldChar w:fldCharType="end"/>
        </w:r>
      </w:hyperlink>
    </w:p>
    <w:p w14:paraId="447BF2D9" w14:textId="06C942B8" w:rsidR="008A4B3E" w:rsidRDefault="008A4B3E">
      <w:pPr>
        <w:pStyle w:val="TOC3"/>
        <w:rPr>
          <w:kern w:val="2"/>
          <w:sz w:val="22"/>
          <w14:ligatures w14:val="standardContextual"/>
        </w:rPr>
      </w:pPr>
      <w:hyperlink w:anchor="_Toc161321766" w:history="1">
        <w:r w:rsidRPr="007B4EF3">
          <w:rPr>
            <w:rStyle w:val="Hyperlink"/>
            <w:rFonts w:eastAsia="Times New Roman"/>
          </w:rPr>
          <w:t>4.4</w:t>
        </w:r>
        <w:r>
          <w:rPr>
            <w:kern w:val="2"/>
            <w:sz w:val="22"/>
            <w14:ligatures w14:val="standardContextual"/>
          </w:rPr>
          <w:tab/>
        </w:r>
        <w:r w:rsidRPr="007B4EF3">
          <w:rPr>
            <w:rStyle w:val="Hyperlink"/>
            <w:rFonts w:eastAsia="Times New Roman"/>
          </w:rPr>
          <w:t>Whole-of-life models</w:t>
        </w:r>
        <w:r>
          <w:rPr>
            <w:webHidden/>
          </w:rPr>
          <w:tab/>
        </w:r>
        <w:r>
          <w:rPr>
            <w:webHidden/>
          </w:rPr>
          <w:fldChar w:fldCharType="begin"/>
        </w:r>
        <w:r>
          <w:rPr>
            <w:webHidden/>
          </w:rPr>
          <w:instrText xml:space="preserve"> PAGEREF _Toc161321766 \h </w:instrText>
        </w:r>
        <w:r>
          <w:rPr>
            <w:webHidden/>
          </w:rPr>
        </w:r>
        <w:r>
          <w:rPr>
            <w:webHidden/>
          </w:rPr>
          <w:fldChar w:fldCharType="separate"/>
        </w:r>
        <w:r w:rsidR="00107556">
          <w:rPr>
            <w:webHidden/>
          </w:rPr>
          <w:t>67</w:t>
        </w:r>
        <w:r>
          <w:rPr>
            <w:webHidden/>
          </w:rPr>
          <w:fldChar w:fldCharType="end"/>
        </w:r>
      </w:hyperlink>
    </w:p>
    <w:p w14:paraId="62203F87" w14:textId="194AED92" w:rsidR="008A4B3E" w:rsidRDefault="008A4B3E">
      <w:pPr>
        <w:pStyle w:val="TOC1"/>
        <w:rPr>
          <w:noProof/>
          <w:color w:val="auto"/>
          <w:kern w:val="2"/>
          <w:sz w:val="22"/>
          <w:szCs w:val="22"/>
          <w14:ligatures w14:val="standardContextual"/>
        </w:rPr>
      </w:pPr>
      <w:hyperlink w:anchor="_Toc161321767" w:history="1">
        <w:r w:rsidRPr="007B4EF3">
          <w:rPr>
            <w:rStyle w:val="Hyperlink"/>
            <w:noProof/>
          </w:rPr>
          <w:t>Part 3: Implementing the procurement strategy</w:t>
        </w:r>
        <w:r>
          <w:rPr>
            <w:noProof/>
            <w:webHidden/>
          </w:rPr>
          <w:tab/>
        </w:r>
        <w:r>
          <w:rPr>
            <w:noProof/>
            <w:webHidden/>
          </w:rPr>
          <w:fldChar w:fldCharType="begin"/>
        </w:r>
        <w:r>
          <w:rPr>
            <w:noProof/>
            <w:webHidden/>
          </w:rPr>
          <w:instrText xml:space="preserve"> PAGEREF _Toc161321767 \h </w:instrText>
        </w:r>
        <w:r>
          <w:rPr>
            <w:noProof/>
            <w:webHidden/>
          </w:rPr>
        </w:r>
        <w:r>
          <w:rPr>
            <w:noProof/>
            <w:webHidden/>
          </w:rPr>
          <w:fldChar w:fldCharType="separate"/>
        </w:r>
        <w:r w:rsidR="00107556">
          <w:rPr>
            <w:noProof/>
            <w:webHidden/>
          </w:rPr>
          <w:t>76</w:t>
        </w:r>
        <w:r>
          <w:rPr>
            <w:noProof/>
            <w:webHidden/>
          </w:rPr>
          <w:fldChar w:fldCharType="end"/>
        </w:r>
      </w:hyperlink>
    </w:p>
    <w:p w14:paraId="0A320FF0" w14:textId="18A3708F" w:rsidR="008A4B3E" w:rsidRDefault="008A4B3E">
      <w:pPr>
        <w:pStyle w:val="TOC2"/>
        <w:rPr>
          <w:kern w:val="2"/>
          <w:sz w:val="22"/>
          <w14:ligatures w14:val="standardContextual"/>
        </w:rPr>
      </w:pPr>
      <w:hyperlink w:anchor="_Toc161321768" w:history="1">
        <w:r w:rsidRPr="007B4EF3">
          <w:rPr>
            <w:rStyle w:val="Hyperlink"/>
          </w:rPr>
          <w:t>5.</w:t>
        </w:r>
        <w:r>
          <w:rPr>
            <w:kern w:val="2"/>
            <w:sz w:val="22"/>
            <w14:ligatures w14:val="standardContextual"/>
          </w:rPr>
          <w:tab/>
        </w:r>
        <w:r w:rsidRPr="007B4EF3">
          <w:rPr>
            <w:rStyle w:val="Hyperlink"/>
          </w:rPr>
          <w:t>Preparing for procurement</w:t>
        </w:r>
        <w:r>
          <w:rPr>
            <w:webHidden/>
          </w:rPr>
          <w:tab/>
        </w:r>
        <w:r>
          <w:rPr>
            <w:webHidden/>
          </w:rPr>
          <w:fldChar w:fldCharType="begin"/>
        </w:r>
        <w:r>
          <w:rPr>
            <w:webHidden/>
          </w:rPr>
          <w:instrText xml:space="preserve"> PAGEREF _Toc161321768 \h </w:instrText>
        </w:r>
        <w:r>
          <w:rPr>
            <w:webHidden/>
          </w:rPr>
        </w:r>
        <w:r>
          <w:rPr>
            <w:webHidden/>
          </w:rPr>
          <w:fldChar w:fldCharType="separate"/>
        </w:r>
        <w:r w:rsidR="00107556">
          <w:rPr>
            <w:webHidden/>
          </w:rPr>
          <w:t>76</w:t>
        </w:r>
        <w:r>
          <w:rPr>
            <w:webHidden/>
          </w:rPr>
          <w:fldChar w:fldCharType="end"/>
        </w:r>
      </w:hyperlink>
    </w:p>
    <w:p w14:paraId="3D9A2143" w14:textId="1AF8C26D" w:rsidR="008A4B3E" w:rsidRDefault="008A4B3E">
      <w:pPr>
        <w:pStyle w:val="TOC3"/>
        <w:rPr>
          <w:kern w:val="2"/>
          <w:sz w:val="22"/>
          <w14:ligatures w14:val="standardContextual"/>
        </w:rPr>
      </w:pPr>
      <w:hyperlink w:anchor="_Toc161321769" w:history="1">
        <w:r w:rsidRPr="007B4EF3">
          <w:rPr>
            <w:rStyle w:val="Hyperlink"/>
          </w:rPr>
          <w:t>5.1</w:t>
        </w:r>
        <w:r>
          <w:rPr>
            <w:kern w:val="2"/>
            <w:sz w:val="22"/>
            <w14:ligatures w14:val="standardContextual"/>
          </w:rPr>
          <w:tab/>
        </w:r>
        <w:r w:rsidRPr="007B4EF3">
          <w:rPr>
            <w:rStyle w:val="Hyperlink"/>
          </w:rPr>
          <w:t>Establishing governance and resourcing for the procurement phase</w:t>
        </w:r>
        <w:r>
          <w:rPr>
            <w:webHidden/>
          </w:rPr>
          <w:tab/>
        </w:r>
        <w:r>
          <w:rPr>
            <w:webHidden/>
          </w:rPr>
          <w:fldChar w:fldCharType="begin"/>
        </w:r>
        <w:r>
          <w:rPr>
            <w:webHidden/>
          </w:rPr>
          <w:instrText xml:space="preserve"> PAGEREF _Toc161321769 \h </w:instrText>
        </w:r>
        <w:r>
          <w:rPr>
            <w:webHidden/>
          </w:rPr>
        </w:r>
        <w:r>
          <w:rPr>
            <w:webHidden/>
          </w:rPr>
          <w:fldChar w:fldCharType="separate"/>
        </w:r>
        <w:r w:rsidR="00107556">
          <w:rPr>
            <w:webHidden/>
          </w:rPr>
          <w:t>77</w:t>
        </w:r>
        <w:r>
          <w:rPr>
            <w:webHidden/>
          </w:rPr>
          <w:fldChar w:fldCharType="end"/>
        </w:r>
      </w:hyperlink>
    </w:p>
    <w:p w14:paraId="5CFACE38" w14:textId="576DB6B6" w:rsidR="008A4B3E" w:rsidRDefault="008A4B3E">
      <w:pPr>
        <w:pStyle w:val="TOC3"/>
        <w:rPr>
          <w:kern w:val="2"/>
          <w:sz w:val="22"/>
          <w14:ligatures w14:val="standardContextual"/>
        </w:rPr>
      </w:pPr>
      <w:hyperlink w:anchor="_Toc161321770" w:history="1">
        <w:r w:rsidRPr="007B4EF3">
          <w:rPr>
            <w:rStyle w:val="Hyperlink"/>
          </w:rPr>
          <w:t>5.2</w:t>
        </w:r>
        <w:r>
          <w:rPr>
            <w:kern w:val="2"/>
            <w:sz w:val="22"/>
            <w14:ligatures w14:val="standardContextual"/>
          </w:rPr>
          <w:tab/>
        </w:r>
        <w:r w:rsidRPr="007B4EF3">
          <w:rPr>
            <w:rStyle w:val="Hyperlink"/>
          </w:rPr>
          <w:t>The procurement plan</w:t>
        </w:r>
        <w:r>
          <w:rPr>
            <w:webHidden/>
          </w:rPr>
          <w:tab/>
        </w:r>
        <w:r>
          <w:rPr>
            <w:webHidden/>
          </w:rPr>
          <w:fldChar w:fldCharType="begin"/>
        </w:r>
        <w:r>
          <w:rPr>
            <w:webHidden/>
          </w:rPr>
          <w:instrText xml:space="preserve"> PAGEREF _Toc161321770 \h </w:instrText>
        </w:r>
        <w:r>
          <w:rPr>
            <w:webHidden/>
          </w:rPr>
        </w:r>
        <w:r>
          <w:rPr>
            <w:webHidden/>
          </w:rPr>
          <w:fldChar w:fldCharType="separate"/>
        </w:r>
        <w:r w:rsidR="00107556">
          <w:rPr>
            <w:webHidden/>
          </w:rPr>
          <w:t>80</w:t>
        </w:r>
        <w:r>
          <w:rPr>
            <w:webHidden/>
          </w:rPr>
          <w:fldChar w:fldCharType="end"/>
        </w:r>
      </w:hyperlink>
    </w:p>
    <w:p w14:paraId="1CC6341B" w14:textId="5BACF401" w:rsidR="008A4B3E" w:rsidRDefault="008A4B3E">
      <w:pPr>
        <w:pStyle w:val="TOC3"/>
        <w:rPr>
          <w:kern w:val="2"/>
          <w:sz w:val="22"/>
          <w14:ligatures w14:val="standardContextual"/>
        </w:rPr>
      </w:pPr>
      <w:hyperlink w:anchor="_Toc161321771" w:history="1">
        <w:r w:rsidRPr="007B4EF3">
          <w:rPr>
            <w:rStyle w:val="Hyperlink"/>
          </w:rPr>
          <w:t>5.3</w:t>
        </w:r>
        <w:r>
          <w:rPr>
            <w:kern w:val="2"/>
            <w:sz w:val="22"/>
            <w14:ligatures w14:val="standardContextual"/>
          </w:rPr>
          <w:tab/>
        </w:r>
        <w:r w:rsidRPr="007B4EF3">
          <w:rPr>
            <w:rStyle w:val="Hyperlink"/>
          </w:rPr>
          <w:t>Risk management</w:t>
        </w:r>
        <w:r>
          <w:rPr>
            <w:webHidden/>
          </w:rPr>
          <w:tab/>
        </w:r>
        <w:r>
          <w:rPr>
            <w:webHidden/>
          </w:rPr>
          <w:fldChar w:fldCharType="begin"/>
        </w:r>
        <w:r>
          <w:rPr>
            <w:webHidden/>
          </w:rPr>
          <w:instrText xml:space="preserve"> PAGEREF _Toc161321771 \h </w:instrText>
        </w:r>
        <w:r>
          <w:rPr>
            <w:webHidden/>
          </w:rPr>
        </w:r>
        <w:r>
          <w:rPr>
            <w:webHidden/>
          </w:rPr>
          <w:fldChar w:fldCharType="separate"/>
        </w:r>
        <w:r w:rsidR="00107556">
          <w:rPr>
            <w:webHidden/>
          </w:rPr>
          <w:t>82</w:t>
        </w:r>
        <w:r>
          <w:rPr>
            <w:webHidden/>
          </w:rPr>
          <w:fldChar w:fldCharType="end"/>
        </w:r>
      </w:hyperlink>
    </w:p>
    <w:p w14:paraId="7AC9A9A6" w14:textId="134A35BD" w:rsidR="008A4B3E" w:rsidRDefault="008A4B3E">
      <w:pPr>
        <w:pStyle w:val="TOC3"/>
        <w:rPr>
          <w:kern w:val="2"/>
          <w:sz w:val="22"/>
          <w14:ligatures w14:val="standardContextual"/>
        </w:rPr>
      </w:pPr>
      <w:hyperlink w:anchor="_Toc161321772" w:history="1">
        <w:r w:rsidRPr="007B4EF3">
          <w:rPr>
            <w:rStyle w:val="Hyperlink"/>
          </w:rPr>
          <w:t>5.4</w:t>
        </w:r>
        <w:r>
          <w:rPr>
            <w:kern w:val="2"/>
            <w:sz w:val="22"/>
            <w14:ligatures w14:val="standardContextual"/>
          </w:rPr>
          <w:tab/>
        </w:r>
        <w:r w:rsidRPr="007B4EF3">
          <w:rPr>
            <w:rStyle w:val="Hyperlink"/>
          </w:rPr>
          <w:t>Probity management</w:t>
        </w:r>
        <w:r>
          <w:rPr>
            <w:webHidden/>
          </w:rPr>
          <w:tab/>
        </w:r>
        <w:r>
          <w:rPr>
            <w:webHidden/>
          </w:rPr>
          <w:fldChar w:fldCharType="begin"/>
        </w:r>
        <w:r>
          <w:rPr>
            <w:webHidden/>
          </w:rPr>
          <w:instrText xml:space="preserve"> PAGEREF _Toc161321772 \h </w:instrText>
        </w:r>
        <w:r>
          <w:rPr>
            <w:webHidden/>
          </w:rPr>
        </w:r>
        <w:r>
          <w:rPr>
            <w:webHidden/>
          </w:rPr>
          <w:fldChar w:fldCharType="separate"/>
        </w:r>
        <w:r w:rsidR="00107556">
          <w:rPr>
            <w:webHidden/>
          </w:rPr>
          <w:t>84</w:t>
        </w:r>
        <w:r>
          <w:rPr>
            <w:webHidden/>
          </w:rPr>
          <w:fldChar w:fldCharType="end"/>
        </w:r>
      </w:hyperlink>
    </w:p>
    <w:p w14:paraId="257E4E33" w14:textId="0AE58882" w:rsidR="008A4B3E" w:rsidRDefault="008A4B3E">
      <w:pPr>
        <w:pStyle w:val="TOC3"/>
        <w:rPr>
          <w:kern w:val="2"/>
          <w:sz w:val="22"/>
          <w14:ligatures w14:val="standardContextual"/>
        </w:rPr>
      </w:pPr>
      <w:hyperlink w:anchor="_Toc161321773" w:history="1">
        <w:r w:rsidRPr="007B4EF3">
          <w:rPr>
            <w:rStyle w:val="Hyperlink"/>
          </w:rPr>
          <w:t>5.5</w:t>
        </w:r>
        <w:r>
          <w:rPr>
            <w:kern w:val="2"/>
            <w:sz w:val="22"/>
            <w14:ligatures w14:val="standardContextual"/>
          </w:rPr>
          <w:tab/>
        </w:r>
        <w:r w:rsidRPr="007B4EF3">
          <w:rPr>
            <w:rStyle w:val="Hyperlink"/>
          </w:rPr>
          <w:t>Market consultation</w:t>
        </w:r>
        <w:r>
          <w:rPr>
            <w:webHidden/>
          </w:rPr>
          <w:tab/>
        </w:r>
        <w:r>
          <w:rPr>
            <w:webHidden/>
          </w:rPr>
          <w:fldChar w:fldCharType="begin"/>
        </w:r>
        <w:r>
          <w:rPr>
            <w:webHidden/>
          </w:rPr>
          <w:instrText xml:space="preserve"> PAGEREF _Toc161321773 \h </w:instrText>
        </w:r>
        <w:r>
          <w:rPr>
            <w:webHidden/>
          </w:rPr>
        </w:r>
        <w:r>
          <w:rPr>
            <w:webHidden/>
          </w:rPr>
          <w:fldChar w:fldCharType="separate"/>
        </w:r>
        <w:r w:rsidR="00107556">
          <w:rPr>
            <w:webHidden/>
          </w:rPr>
          <w:t>85</w:t>
        </w:r>
        <w:r>
          <w:rPr>
            <w:webHidden/>
          </w:rPr>
          <w:fldChar w:fldCharType="end"/>
        </w:r>
      </w:hyperlink>
    </w:p>
    <w:p w14:paraId="798ACEF8" w14:textId="3A0CB4E3" w:rsidR="008A4B3E" w:rsidRDefault="008A4B3E">
      <w:pPr>
        <w:pStyle w:val="TOC3"/>
        <w:rPr>
          <w:kern w:val="2"/>
          <w:sz w:val="22"/>
          <w14:ligatures w14:val="standardContextual"/>
        </w:rPr>
      </w:pPr>
      <w:hyperlink w:anchor="_Toc161321774" w:history="1">
        <w:r w:rsidRPr="007B4EF3">
          <w:rPr>
            <w:rStyle w:val="Hyperlink"/>
          </w:rPr>
          <w:t>5.6</w:t>
        </w:r>
        <w:r>
          <w:rPr>
            <w:kern w:val="2"/>
            <w:sz w:val="22"/>
            <w14:ligatures w14:val="standardContextual"/>
          </w:rPr>
          <w:tab/>
        </w:r>
        <w:r w:rsidRPr="007B4EF3">
          <w:rPr>
            <w:rStyle w:val="Hyperlink"/>
          </w:rPr>
          <w:t>Tender engagement strategy</w:t>
        </w:r>
        <w:r>
          <w:rPr>
            <w:webHidden/>
          </w:rPr>
          <w:tab/>
        </w:r>
        <w:r>
          <w:rPr>
            <w:webHidden/>
          </w:rPr>
          <w:fldChar w:fldCharType="begin"/>
        </w:r>
        <w:r>
          <w:rPr>
            <w:webHidden/>
          </w:rPr>
          <w:instrText xml:space="preserve"> PAGEREF _Toc161321774 \h </w:instrText>
        </w:r>
        <w:r>
          <w:rPr>
            <w:webHidden/>
          </w:rPr>
        </w:r>
        <w:r>
          <w:rPr>
            <w:webHidden/>
          </w:rPr>
          <w:fldChar w:fldCharType="separate"/>
        </w:r>
        <w:r w:rsidR="00107556">
          <w:rPr>
            <w:webHidden/>
          </w:rPr>
          <w:t>86</w:t>
        </w:r>
        <w:r>
          <w:rPr>
            <w:webHidden/>
          </w:rPr>
          <w:fldChar w:fldCharType="end"/>
        </w:r>
      </w:hyperlink>
    </w:p>
    <w:p w14:paraId="5D32F521" w14:textId="3243ACC0" w:rsidR="008A4B3E" w:rsidRDefault="008A4B3E">
      <w:pPr>
        <w:pStyle w:val="TOC3"/>
        <w:rPr>
          <w:kern w:val="2"/>
          <w:sz w:val="22"/>
          <w14:ligatures w14:val="standardContextual"/>
        </w:rPr>
      </w:pPr>
      <w:hyperlink w:anchor="_Toc161321775" w:history="1">
        <w:r w:rsidRPr="007B4EF3">
          <w:rPr>
            <w:rStyle w:val="Hyperlink"/>
          </w:rPr>
          <w:t>5.7</w:t>
        </w:r>
        <w:r>
          <w:rPr>
            <w:kern w:val="2"/>
            <w:sz w:val="22"/>
            <w14:ligatures w14:val="standardContextual"/>
          </w:rPr>
          <w:tab/>
        </w:r>
        <w:r w:rsidRPr="007B4EF3">
          <w:rPr>
            <w:rStyle w:val="Hyperlink"/>
          </w:rPr>
          <w:t>Preparing for procurement phase checklist</w:t>
        </w:r>
        <w:r>
          <w:rPr>
            <w:webHidden/>
          </w:rPr>
          <w:tab/>
        </w:r>
        <w:r>
          <w:rPr>
            <w:webHidden/>
          </w:rPr>
          <w:fldChar w:fldCharType="begin"/>
        </w:r>
        <w:r>
          <w:rPr>
            <w:webHidden/>
          </w:rPr>
          <w:instrText xml:space="preserve"> PAGEREF _Toc161321775 \h </w:instrText>
        </w:r>
        <w:r>
          <w:rPr>
            <w:webHidden/>
          </w:rPr>
        </w:r>
        <w:r>
          <w:rPr>
            <w:webHidden/>
          </w:rPr>
          <w:fldChar w:fldCharType="separate"/>
        </w:r>
        <w:r w:rsidR="00107556">
          <w:rPr>
            <w:webHidden/>
          </w:rPr>
          <w:t>88</w:t>
        </w:r>
        <w:r>
          <w:rPr>
            <w:webHidden/>
          </w:rPr>
          <w:fldChar w:fldCharType="end"/>
        </w:r>
      </w:hyperlink>
    </w:p>
    <w:p w14:paraId="06F2E8B4" w14:textId="64066F0C" w:rsidR="008A4B3E" w:rsidRDefault="008A4B3E" w:rsidP="008A4B3E">
      <w:pPr>
        <w:pStyle w:val="TOC2"/>
        <w:pageBreakBefore/>
        <w:rPr>
          <w:kern w:val="2"/>
          <w:sz w:val="22"/>
          <w14:ligatures w14:val="standardContextual"/>
        </w:rPr>
      </w:pPr>
      <w:hyperlink w:anchor="_Toc161321776" w:history="1">
        <w:r w:rsidRPr="007B4EF3">
          <w:rPr>
            <w:rStyle w:val="Hyperlink"/>
          </w:rPr>
          <w:t>6.</w:t>
        </w:r>
        <w:r>
          <w:rPr>
            <w:kern w:val="2"/>
            <w:sz w:val="22"/>
            <w14:ligatures w14:val="standardContextual"/>
          </w:rPr>
          <w:tab/>
        </w:r>
        <w:r w:rsidRPr="007B4EF3">
          <w:rPr>
            <w:rStyle w:val="Hyperlink"/>
          </w:rPr>
          <w:t>Pre-tender and tender documentation</w:t>
        </w:r>
        <w:r>
          <w:rPr>
            <w:webHidden/>
          </w:rPr>
          <w:tab/>
        </w:r>
        <w:r>
          <w:rPr>
            <w:webHidden/>
          </w:rPr>
          <w:fldChar w:fldCharType="begin"/>
        </w:r>
        <w:r>
          <w:rPr>
            <w:webHidden/>
          </w:rPr>
          <w:instrText xml:space="preserve"> PAGEREF _Toc161321776 \h </w:instrText>
        </w:r>
        <w:r>
          <w:rPr>
            <w:webHidden/>
          </w:rPr>
        </w:r>
        <w:r>
          <w:rPr>
            <w:webHidden/>
          </w:rPr>
          <w:fldChar w:fldCharType="separate"/>
        </w:r>
        <w:r w:rsidR="00107556">
          <w:rPr>
            <w:webHidden/>
          </w:rPr>
          <w:t>89</w:t>
        </w:r>
        <w:r>
          <w:rPr>
            <w:webHidden/>
          </w:rPr>
          <w:fldChar w:fldCharType="end"/>
        </w:r>
      </w:hyperlink>
    </w:p>
    <w:p w14:paraId="2FD60294" w14:textId="3AA5762D" w:rsidR="008A4B3E" w:rsidRDefault="008A4B3E">
      <w:pPr>
        <w:pStyle w:val="TOC3"/>
        <w:rPr>
          <w:kern w:val="2"/>
          <w:sz w:val="22"/>
          <w14:ligatures w14:val="standardContextual"/>
        </w:rPr>
      </w:pPr>
      <w:hyperlink w:anchor="_Toc161321777" w:history="1">
        <w:r w:rsidRPr="007B4EF3">
          <w:rPr>
            <w:rStyle w:val="Hyperlink"/>
          </w:rPr>
          <w:t>6.1</w:t>
        </w:r>
        <w:r>
          <w:rPr>
            <w:kern w:val="2"/>
            <w:sz w:val="22"/>
            <w14:ligatures w14:val="standardContextual"/>
          </w:rPr>
          <w:tab/>
        </w:r>
        <w:r w:rsidRPr="007B4EF3">
          <w:rPr>
            <w:rStyle w:val="Hyperlink"/>
          </w:rPr>
          <w:t>Due diligence</w:t>
        </w:r>
        <w:r>
          <w:rPr>
            <w:webHidden/>
          </w:rPr>
          <w:tab/>
        </w:r>
        <w:r>
          <w:rPr>
            <w:webHidden/>
          </w:rPr>
          <w:fldChar w:fldCharType="begin"/>
        </w:r>
        <w:r>
          <w:rPr>
            <w:webHidden/>
          </w:rPr>
          <w:instrText xml:space="preserve"> PAGEREF _Toc161321777 \h </w:instrText>
        </w:r>
        <w:r>
          <w:rPr>
            <w:webHidden/>
          </w:rPr>
        </w:r>
        <w:r>
          <w:rPr>
            <w:webHidden/>
          </w:rPr>
          <w:fldChar w:fldCharType="separate"/>
        </w:r>
        <w:r w:rsidR="00107556">
          <w:rPr>
            <w:webHidden/>
          </w:rPr>
          <w:t>89</w:t>
        </w:r>
        <w:r>
          <w:rPr>
            <w:webHidden/>
          </w:rPr>
          <w:fldChar w:fldCharType="end"/>
        </w:r>
      </w:hyperlink>
    </w:p>
    <w:p w14:paraId="402DC2A7" w14:textId="177964BC" w:rsidR="008A4B3E" w:rsidRDefault="008A4B3E">
      <w:pPr>
        <w:pStyle w:val="TOC3"/>
        <w:rPr>
          <w:kern w:val="2"/>
          <w:sz w:val="22"/>
          <w14:ligatures w14:val="standardContextual"/>
        </w:rPr>
      </w:pPr>
      <w:hyperlink w:anchor="_Toc161321778" w:history="1">
        <w:r w:rsidRPr="007B4EF3">
          <w:rPr>
            <w:rStyle w:val="Hyperlink"/>
          </w:rPr>
          <w:t>6.2</w:t>
        </w:r>
        <w:r>
          <w:rPr>
            <w:kern w:val="2"/>
            <w:sz w:val="22"/>
            <w14:ligatures w14:val="standardContextual"/>
          </w:rPr>
          <w:tab/>
        </w:r>
        <w:r w:rsidRPr="007B4EF3">
          <w:rPr>
            <w:rStyle w:val="Hyperlink"/>
          </w:rPr>
          <w:t>Pre-tender cost estimate</w:t>
        </w:r>
        <w:r>
          <w:rPr>
            <w:webHidden/>
          </w:rPr>
          <w:tab/>
        </w:r>
        <w:r>
          <w:rPr>
            <w:webHidden/>
          </w:rPr>
          <w:fldChar w:fldCharType="begin"/>
        </w:r>
        <w:r>
          <w:rPr>
            <w:webHidden/>
          </w:rPr>
          <w:instrText xml:space="preserve"> PAGEREF _Toc161321778 \h </w:instrText>
        </w:r>
        <w:r>
          <w:rPr>
            <w:webHidden/>
          </w:rPr>
        </w:r>
        <w:r>
          <w:rPr>
            <w:webHidden/>
          </w:rPr>
          <w:fldChar w:fldCharType="separate"/>
        </w:r>
        <w:r w:rsidR="00107556">
          <w:rPr>
            <w:webHidden/>
          </w:rPr>
          <w:t>90</w:t>
        </w:r>
        <w:r>
          <w:rPr>
            <w:webHidden/>
          </w:rPr>
          <w:fldChar w:fldCharType="end"/>
        </w:r>
      </w:hyperlink>
    </w:p>
    <w:p w14:paraId="3691672C" w14:textId="3341049A" w:rsidR="008A4B3E" w:rsidRDefault="008A4B3E">
      <w:pPr>
        <w:pStyle w:val="TOC3"/>
        <w:rPr>
          <w:kern w:val="2"/>
          <w:sz w:val="22"/>
          <w14:ligatures w14:val="standardContextual"/>
        </w:rPr>
      </w:pPr>
      <w:hyperlink w:anchor="_Toc161321779" w:history="1">
        <w:r w:rsidRPr="007B4EF3">
          <w:rPr>
            <w:rStyle w:val="Hyperlink"/>
          </w:rPr>
          <w:t>6.3</w:t>
        </w:r>
        <w:r>
          <w:rPr>
            <w:kern w:val="2"/>
            <w:sz w:val="22"/>
            <w14:ligatures w14:val="standardContextual"/>
          </w:rPr>
          <w:tab/>
        </w:r>
        <w:r w:rsidRPr="007B4EF3">
          <w:rPr>
            <w:rStyle w:val="Hyperlink"/>
          </w:rPr>
          <w:t>Tender documentation</w:t>
        </w:r>
        <w:r>
          <w:rPr>
            <w:webHidden/>
          </w:rPr>
          <w:tab/>
        </w:r>
        <w:r>
          <w:rPr>
            <w:webHidden/>
          </w:rPr>
          <w:fldChar w:fldCharType="begin"/>
        </w:r>
        <w:r>
          <w:rPr>
            <w:webHidden/>
          </w:rPr>
          <w:instrText xml:space="preserve"> PAGEREF _Toc161321779 \h </w:instrText>
        </w:r>
        <w:r>
          <w:rPr>
            <w:webHidden/>
          </w:rPr>
        </w:r>
        <w:r>
          <w:rPr>
            <w:webHidden/>
          </w:rPr>
          <w:fldChar w:fldCharType="separate"/>
        </w:r>
        <w:r w:rsidR="00107556">
          <w:rPr>
            <w:webHidden/>
          </w:rPr>
          <w:t>90</w:t>
        </w:r>
        <w:r>
          <w:rPr>
            <w:webHidden/>
          </w:rPr>
          <w:fldChar w:fldCharType="end"/>
        </w:r>
      </w:hyperlink>
    </w:p>
    <w:p w14:paraId="032FC90C" w14:textId="0654EE79" w:rsidR="008A4B3E" w:rsidRDefault="008A4B3E">
      <w:pPr>
        <w:pStyle w:val="TOC3"/>
        <w:rPr>
          <w:kern w:val="2"/>
          <w:sz w:val="22"/>
          <w14:ligatures w14:val="standardContextual"/>
        </w:rPr>
      </w:pPr>
      <w:hyperlink w:anchor="_Toc161321780" w:history="1">
        <w:r w:rsidRPr="007B4EF3">
          <w:rPr>
            <w:rStyle w:val="Hyperlink"/>
          </w:rPr>
          <w:t>6.4</w:t>
        </w:r>
        <w:r>
          <w:rPr>
            <w:kern w:val="2"/>
            <w:sz w:val="22"/>
            <w14:ligatures w14:val="standardContextual"/>
          </w:rPr>
          <w:tab/>
        </w:r>
        <w:r w:rsidRPr="007B4EF3">
          <w:rPr>
            <w:rStyle w:val="Hyperlink"/>
          </w:rPr>
          <w:t>Tender evaluation criteria and documentation</w:t>
        </w:r>
        <w:r>
          <w:rPr>
            <w:webHidden/>
          </w:rPr>
          <w:tab/>
        </w:r>
        <w:r>
          <w:rPr>
            <w:webHidden/>
          </w:rPr>
          <w:fldChar w:fldCharType="begin"/>
        </w:r>
        <w:r>
          <w:rPr>
            <w:webHidden/>
          </w:rPr>
          <w:instrText xml:space="preserve"> PAGEREF _Toc161321780 \h </w:instrText>
        </w:r>
        <w:r>
          <w:rPr>
            <w:webHidden/>
          </w:rPr>
        </w:r>
        <w:r>
          <w:rPr>
            <w:webHidden/>
          </w:rPr>
          <w:fldChar w:fldCharType="separate"/>
        </w:r>
        <w:r w:rsidR="00107556">
          <w:rPr>
            <w:webHidden/>
          </w:rPr>
          <w:t>92</w:t>
        </w:r>
        <w:r>
          <w:rPr>
            <w:webHidden/>
          </w:rPr>
          <w:fldChar w:fldCharType="end"/>
        </w:r>
      </w:hyperlink>
    </w:p>
    <w:p w14:paraId="5B407E77" w14:textId="45374B4F" w:rsidR="008A4B3E" w:rsidRDefault="008A4B3E">
      <w:pPr>
        <w:pStyle w:val="TOC3"/>
        <w:rPr>
          <w:kern w:val="2"/>
          <w:sz w:val="22"/>
          <w14:ligatures w14:val="standardContextual"/>
        </w:rPr>
      </w:pPr>
      <w:hyperlink w:anchor="_Toc161321781" w:history="1">
        <w:r w:rsidRPr="007B4EF3">
          <w:rPr>
            <w:rStyle w:val="Hyperlink"/>
          </w:rPr>
          <w:t>6.5</w:t>
        </w:r>
        <w:r>
          <w:rPr>
            <w:kern w:val="2"/>
            <w:sz w:val="22"/>
            <w14:ligatures w14:val="standardContextual"/>
          </w:rPr>
          <w:tab/>
        </w:r>
        <w:r w:rsidRPr="007B4EF3">
          <w:rPr>
            <w:rStyle w:val="Hyperlink"/>
          </w:rPr>
          <w:t>Contract documentation</w:t>
        </w:r>
        <w:r>
          <w:rPr>
            <w:webHidden/>
          </w:rPr>
          <w:tab/>
        </w:r>
        <w:r>
          <w:rPr>
            <w:webHidden/>
          </w:rPr>
          <w:fldChar w:fldCharType="begin"/>
        </w:r>
        <w:r>
          <w:rPr>
            <w:webHidden/>
          </w:rPr>
          <w:instrText xml:space="preserve"> PAGEREF _Toc161321781 \h </w:instrText>
        </w:r>
        <w:r>
          <w:rPr>
            <w:webHidden/>
          </w:rPr>
        </w:r>
        <w:r>
          <w:rPr>
            <w:webHidden/>
          </w:rPr>
          <w:fldChar w:fldCharType="separate"/>
        </w:r>
        <w:r w:rsidR="00107556">
          <w:rPr>
            <w:webHidden/>
          </w:rPr>
          <w:t>93</w:t>
        </w:r>
        <w:r>
          <w:rPr>
            <w:webHidden/>
          </w:rPr>
          <w:fldChar w:fldCharType="end"/>
        </w:r>
      </w:hyperlink>
    </w:p>
    <w:p w14:paraId="54408268" w14:textId="3E109DA7" w:rsidR="008A4B3E" w:rsidRDefault="008A4B3E">
      <w:pPr>
        <w:pStyle w:val="TOC3"/>
        <w:rPr>
          <w:kern w:val="2"/>
          <w:sz w:val="22"/>
          <w14:ligatures w14:val="standardContextual"/>
        </w:rPr>
      </w:pPr>
      <w:hyperlink w:anchor="_Toc161321782" w:history="1">
        <w:r w:rsidRPr="007B4EF3">
          <w:rPr>
            <w:rStyle w:val="Hyperlink"/>
          </w:rPr>
          <w:t>6.6</w:t>
        </w:r>
        <w:r>
          <w:rPr>
            <w:kern w:val="2"/>
            <w:sz w:val="22"/>
            <w14:ligatures w14:val="standardContextual"/>
          </w:rPr>
          <w:tab/>
        </w:r>
        <w:r w:rsidRPr="007B4EF3">
          <w:rPr>
            <w:rStyle w:val="Hyperlink"/>
          </w:rPr>
          <w:t>Pre-tender and tender documentation checklist</w:t>
        </w:r>
        <w:r>
          <w:rPr>
            <w:webHidden/>
          </w:rPr>
          <w:tab/>
        </w:r>
        <w:r>
          <w:rPr>
            <w:webHidden/>
          </w:rPr>
          <w:fldChar w:fldCharType="begin"/>
        </w:r>
        <w:r>
          <w:rPr>
            <w:webHidden/>
          </w:rPr>
          <w:instrText xml:space="preserve"> PAGEREF _Toc161321782 \h </w:instrText>
        </w:r>
        <w:r>
          <w:rPr>
            <w:webHidden/>
          </w:rPr>
        </w:r>
        <w:r>
          <w:rPr>
            <w:webHidden/>
          </w:rPr>
          <w:fldChar w:fldCharType="separate"/>
        </w:r>
        <w:r w:rsidR="00107556">
          <w:rPr>
            <w:webHidden/>
          </w:rPr>
          <w:t>94</w:t>
        </w:r>
        <w:r>
          <w:rPr>
            <w:webHidden/>
          </w:rPr>
          <w:fldChar w:fldCharType="end"/>
        </w:r>
      </w:hyperlink>
    </w:p>
    <w:p w14:paraId="49D7C532" w14:textId="371D08A9" w:rsidR="008A4B3E" w:rsidRDefault="008A4B3E">
      <w:pPr>
        <w:pStyle w:val="TOC2"/>
        <w:rPr>
          <w:kern w:val="2"/>
          <w:sz w:val="22"/>
          <w14:ligatures w14:val="standardContextual"/>
        </w:rPr>
      </w:pPr>
      <w:hyperlink w:anchor="_Toc161321783" w:history="1">
        <w:r w:rsidRPr="007B4EF3">
          <w:rPr>
            <w:rStyle w:val="Hyperlink"/>
          </w:rPr>
          <w:t>7.</w:t>
        </w:r>
        <w:r>
          <w:rPr>
            <w:kern w:val="2"/>
            <w:sz w:val="22"/>
            <w14:ligatures w14:val="standardContextual"/>
          </w:rPr>
          <w:tab/>
        </w:r>
        <w:r w:rsidRPr="007B4EF3">
          <w:rPr>
            <w:rStyle w:val="Hyperlink"/>
          </w:rPr>
          <w:t>Tendering</w:t>
        </w:r>
        <w:r>
          <w:rPr>
            <w:webHidden/>
          </w:rPr>
          <w:tab/>
        </w:r>
        <w:r>
          <w:rPr>
            <w:webHidden/>
          </w:rPr>
          <w:fldChar w:fldCharType="begin"/>
        </w:r>
        <w:r>
          <w:rPr>
            <w:webHidden/>
          </w:rPr>
          <w:instrText xml:space="preserve"> PAGEREF _Toc161321783 \h </w:instrText>
        </w:r>
        <w:r>
          <w:rPr>
            <w:webHidden/>
          </w:rPr>
        </w:r>
        <w:r>
          <w:rPr>
            <w:webHidden/>
          </w:rPr>
          <w:fldChar w:fldCharType="separate"/>
        </w:r>
        <w:r w:rsidR="00107556">
          <w:rPr>
            <w:webHidden/>
          </w:rPr>
          <w:t>94</w:t>
        </w:r>
        <w:r>
          <w:rPr>
            <w:webHidden/>
          </w:rPr>
          <w:fldChar w:fldCharType="end"/>
        </w:r>
      </w:hyperlink>
    </w:p>
    <w:p w14:paraId="75B4DAD7" w14:textId="4EBA3774" w:rsidR="008A4B3E" w:rsidRDefault="008A4B3E">
      <w:pPr>
        <w:pStyle w:val="TOC3"/>
        <w:rPr>
          <w:kern w:val="2"/>
          <w:sz w:val="22"/>
          <w14:ligatures w14:val="standardContextual"/>
        </w:rPr>
      </w:pPr>
      <w:hyperlink w:anchor="_Toc161321784" w:history="1">
        <w:r w:rsidRPr="007B4EF3">
          <w:rPr>
            <w:rStyle w:val="Hyperlink"/>
          </w:rPr>
          <w:t>7.1</w:t>
        </w:r>
        <w:r>
          <w:rPr>
            <w:kern w:val="2"/>
            <w:sz w:val="22"/>
            <w14:ligatures w14:val="standardContextual"/>
          </w:rPr>
          <w:tab/>
        </w:r>
        <w:r w:rsidRPr="007B4EF3">
          <w:rPr>
            <w:rStyle w:val="Hyperlink"/>
          </w:rPr>
          <w:t>Running an expression of interest process</w:t>
        </w:r>
        <w:r>
          <w:rPr>
            <w:webHidden/>
          </w:rPr>
          <w:tab/>
        </w:r>
        <w:r>
          <w:rPr>
            <w:webHidden/>
          </w:rPr>
          <w:fldChar w:fldCharType="begin"/>
        </w:r>
        <w:r>
          <w:rPr>
            <w:webHidden/>
          </w:rPr>
          <w:instrText xml:space="preserve"> PAGEREF _Toc161321784 \h </w:instrText>
        </w:r>
        <w:r>
          <w:rPr>
            <w:webHidden/>
          </w:rPr>
        </w:r>
        <w:r>
          <w:rPr>
            <w:webHidden/>
          </w:rPr>
          <w:fldChar w:fldCharType="separate"/>
        </w:r>
        <w:r w:rsidR="00107556">
          <w:rPr>
            <w:webHidden/>
          </w:rPr>
          <w:t>95</w:t>
        </w:r>
        <w:r>
          <w:rPr>
            <w:webHidden/>
          </w:rPr>
          <w:fldChar w:fldCharType="end"/>
        </w:r>
      </w:hyperlink>
    </w:p>
    <w:p w14:paraId="363C557B" w14:textId="44899AD3" w:rsidR="008A4B3E" w:rsidRDefault="008A4B3E">
      <w:pPr>
        <w:pStyle w:val="TOC3"/>
        <w:rPr>
          <w:kern w:val="2"/>
          <w:sz w:val="22"/>
          <w14:ligatures w14:val="standardContextual"/>
        </w:rPr>
      </w:pPr>
      <w:hyperlink w:anchor="_Toc161321785" w:history="1">
        <w:r w:rsidRPr="007B4EF3">
          <w:rPr>
            <w:rStyle w:val="Hyperlink"/>
          </w:rPr>
          <w:t>7.2</w:t>
        </w:r>
        <w:r>
          <w:rPr>
            <w:kern w:val="2"/>
            <w:sz w:val="22"/>
            <w14:ligatures w14:val="standardContextual"/>
          </w:rPr>
          <w:tab/>
        </w:r>
        <w:r w:rsidRPr="007B4EF3">
          <w:rPr>
            <w:rStyle w:val="Hyperlink"/>
          </w:rPr>
          <w:t>Commencing the tender process</w:t>
        </w:r>
        <w:r>
          <w:rPr>
            <w:webHidden/>
          </w:rPr>
          <w:tab/>
        </w:r>
        <w:r>
          <w:rPr>
            <w:webHidden/>
          </w:rPr>
          <w:fldChar w:fldCharType="begin"/>
        </w:r>
        <w:r>
          <w:rPr>
            <w:webHidden/>
          </w:rPr>
          <w:instrText xml:space="preserve"> PAGEREF _Toc161321785 \h </w:instrText>
        </w:r>
        <w:r>
          <w:rPr>
            <w:webHidden/>
          </w:rPr>
        </w:r>
        <w:r>
          <w:rPr>
            <w:webHidden/>
          </w:rPr>
          <w:fldChar w:fldCharType="separate"/>
        </w:r>
        <w:r w:rsidR="00107556">
          <w:rPr>
            <w:webHidden/>
          </w:rPr>
          <w:t>96</w:t>
        </w:r>
        <w:r>
          <w:rPr>
            <w:webHidden/>
          </w:rPr>
          <w:fldChar w:fldCharType="end"/>
        </w:r>
      </w:hyperlink>
    </w:p>
    <w:p w14:paraId="43A80E66" w14:textId="5E77909A" w:rsidR="008A4B3E" w:rsidRDefault="008A4B3E">
      <w:pPr>
        <w:pStyle w:val="TOC3"/>
        <w:rPr>
          <w:kern w:val="2"/>
          <w:sz w:val="22"/>
          <w14:ligatures w14:val="standardContextual"/>
        </w:rPr>
      </w:pPr>
      <w:hyperlink w:anchor="_Toc161321786" w:history="1">
        <w:r w:rsidRPr="007B4EF3">
          <w:rPr>
            <w:rStyle w:val="Hyperlink"/>
          </w:rPr>
          <w:t>7.3</w:t>
        </w:r>
        <w:r>
          <w:rPr>
            <w:kern w:val="2"/>
            <w:sz w:val="22"/>
            <w14:ligatures w14:val="standardContextual"/>
          </w:rPr>
          <w:tab/>
        </w:r>
        <w:r w:rsidRPr="007B4EF3">
          <w:rPr>
            <w:rStyle w:val="Hyperlink"/>
          </w:rPr>
          <w:t>The tender period</w:t>
        </w:r>
        <w:r>
          <w:rPr>
            <w:webHidden/>
          </w:rPr>
          <w:tab/>
        </w:r>
        <w:r>
          <w:rPr>
            <w:webHidden/>
          </w:rPr>
          <w:fldChar w:fldCharType="begin"/>
        </w:r>
        <w:r>
          <w:rPr>
            <w:webHidden/>
          </w:rPr>
          <w:instrText xml:space="preserve"> PAGEREF _Toc161321786 \h </w:instrText>
        </w:r>
        <w:r>
          <w:rPr>
            <w:webHidden/>
          </w:rPr>
        </w:r>
        <w:r>
          <w:rPr>
            <w:webHidden/>
          </w:rPr>
          <w:fldChar w:fldCharType="separate"/>
        </w:r>
        <w:r w:rsidR="00107556">
          <w:rPr>
            <w:webHidden/>
          </w:rPr>
          <w:t>96</w:t>
        </w:r>
        <w:r>
          <w:rPr>
            <w:webHidden/>
          </w:rPr>
          <w:fldChar w:fldCharType="end"/>
        </w:r>
      </w:hyperlink>
    </w:p>
    <w:p w14:paraId="213D3A2B" w14:textId="30BAF57B" w:rsidR="008A4B3E" w:rsidRDefault="008A4B3E">
      <w:pPr>
        <w:pStyle w:val="TOC3"/>
        <w:rPr>
          <w:kern w:val="2"/>
          <w:sz w:val="22"/>
          <w14:ligatures w14:val="standardContextual"/>
        </w:rPr>
      </w:pPr>
      <w:hyperlink w:anchor="_Toc161321787" w:history="1">
        <w:r w:rsidRPr="007B4EF3">
          <w:rPr>
            <w:rStyle w:val="Hyperlink"/>
          </w:rPr>
          <w:t>7.4</w:t>
        </w:r>
        <w:r>
          <w:rPr>
            <w:kern w:val="2"/>
            <w:sz w:val="22"/>
            <w14:ligatures w14:val="standardContextual"/>
          </w:rPr>
          <w:tab/>
        </w:r>
        <w:r w:rsidRPr="007B4EF3">
          <w:rPr>
            <w:rStyle w:val="Hyperlink"/>
          </w:rPr>
          <w:t>Communications during the tender period</w:t>
        </w:r>
        <w:r>
          <w:rPr>
            <w:webHidden/>
          </w:rPr>
          <w:tab/>
        </w:r>
        <w:r>
          <w:rPr>
            <w:webHidden/>
          </w:rPr>
          <w:fldChar w:fldCharType="begin"/>
        </w:r>
        <w:r>
          <w:rPr>
            <w:webHidden/>
          </w:rPr>
          <w:instrText xml:space="preserve"> PAGEREF _Toc161321787 \h </w:instrText>
        </w:r>
        <w:r>
          <w:rPr>
            <w:webHidden/>
          </w:rPr>
        </w:r>
        <w:r>
          <w:rPr>
            <w:webHidden/>
          </w:rPr>
          <w:fldChar w:fldCharType="separate"/>
        </w:r>
        <w:r w:rsidR="00107556">
          <w:rPr>
            <w:webHidden/>
          </w:rPr>
          <w:t>98</w:t>
        </w:r>
        <w:r>
          <w:rPr>
            <w:webHidden/>
          </w:rPr>
          <w:fldChar w:fldCharType="end"/>
        </w:r>
      </w:hyperlink>
    </w:p>
    <w:p w14:paraId="44ED58AA" w14:textId="2E55314D" w:rsidR="008A4B3E" w:rsidRDefault="008A4B3E">
      <w:pPr>
        <w:pStyle w:val="TOC3"/>
        <w:rPr>
          <w:kern w:val="2"/>
          <w:sz w:val="22"/>
          <w14:ligatures w14:val="standardContextual"/>
        </w:rPr>
      </w:pPr>
      <w:hyperlink w:anchor="_Toc161321788" w:history="1">
        <w:r w:rsidRPr="007B4EF3">
          <w:rPr>
            <w:rStyle w:val="Hyperlink"/>
          </w:rPr>
          <w:t>7.5</w:t>
        </w:r>
        <w:r>
          <w:rPr>
            <w:kern w:val="2"/>
            <w:sz w:val="22"/>
            <w14:ligatures w14:val="standardContextual"/>
          </w:rPr>
          <w:tab/>
        </w:r>
        <w:r w:rsidRPr="007B4EF3">
          <w:rPr>
            <w:rStyle w:val="Hyperlink"/>
          </w:rPr>
          <w:t>Closing and receiving tenders</w:t>
        </w:r>
        <w:r>
          <w:rPr>
            <w:webHidden/>
          </w:rPr>
          <w:tab/>
        </w:r>
        <w:r>
          <w:rPr>
            <w:webHidden/>
          </w:rPr>
          <w:fldChar w:fldCharType="begin"/>
        </w:r>
        <w:r>
          <w:rPr>
            <w:webHidden/>
          </w:rPr>
          <w:instrText xml:space="preserve"> PAGEREF _Toc161321788 \h </w:instrText>
        </w:r>
        <w:r>
          <w:rPr>
            <w:webHidden/>
          </w:rPr>
        </w:r>
        <w:r>
          <w:rPr>
            <w:webHidden/>
          </w:rPr>
          <w:fldChar w:fldCharType="separate"/>
        </w:r>
        <w:r w:rsidR="00107556">
          <w:rPr>
            <w:webHidden/>
          </w:rPr>
          <w:t>101</w:t>
        </w:r>
        <w:r>
          <w:rPr>
            <w:webHidden/>
          </w:rPr>
          <w:fldChar w:fldCharType="end"/>
        </w:r>
      </w:hyperlink>
    </w:p>
    <w:p w14:paraId="606F51D0" w14:textId="6662F1E3" w:rsidR="008A4B3E" w:rsidRDefault="008A4B3E">
      <w:pPr>
        <w:pStyle w:val="TOC3"/>
        <w:rPr>
          <w:kern w:val="2"/>
          <w:sz w:val="22"/>
          <w14:ligatures w14:val="standardContextual"/>
        </w:rPr>
      </w:pPr>
      <w:hyperlink w:anchor="_Toc161321789" w:history="1">
        <w:r w:rsidRPr="007B4EF3">
          <w:rPr>
            <w:rStyle w:val="Hyperlink"/>
          </w:rPr>
          <w:t>7.6</w:t>
        </w:r>
        <w:r>
          <w:rPr>
            <w:kern w:val="2"/>
            <w:sz w:val="22"/>
            <w14:ligatures w14:val="standardContextual"/>
          </w:rPr>
          <w:tab/>
        </w:r>
        <w:r w:rsidRPr="007B4EF3">
          <w:rPr>
            <w:rStyle w:val="Hyperlink"/>
          </w:rPr>
          <w:t>Tendering phase checklist</w:t>
        </w:r>
        <w:r>
          <w:rPr>
            <w:webHidden/>
          </w:rPr>
          <w:tab/>
        </w:r>
        <w:r>
          <w:rPr>
            <w:webHidden/>
          </w:rPr>
          <w:fldChar w:fldCharType="begin"/>
        </w:r>
        <w:r>
          <w:rPr>
            <w:webHidden/>
          </w:rPr>
          <w:instrText xml:space="preserve"> PAGEREF _Toc161321789 \h </w:instrText>
        </w:r>
        <w:r>
          <w:rPr>
            <w:webHidden/>
          </w:rPr>
        </w:r>
        <w:r>
          <w:rPr>
            <w:webHidden/>
          </w:rPr>
          <w:fldChar w:fldCharType="separate"/>
        </w:r>
        <w:r w:rsidR="00107556">
          <w:rPr>
            <w:webHidden/>
          </w:rPr>
          <w:t>104</w:t>
        </w:r>
        <w:r>
          <w:rPr>
            <w:webHidden/>
          </w:rPr>
          <w:fldChar w:fldCharType="end"/>
        </w:r>
      </w:hyperlink>
    </w:p>
    <w:p w14:paraId="29A29386" w14:textId="339A685D" w:rsidR="008A4B3E" w:rsidRDefault="008A4B3E">
      <w:pPr>
        <w:pStyle w:val="TOC2"/>
        <w:rPr>
          <w:kern w:val="2"/>
          <w:sz w:val="22"/>
          <w14:ligatures w14:val="standardContextual"/>
        </w:rPr>
      </w:pPr>
      <w:hyperlink w:anchor="_Toc161321790" w:history="1">
        <w:r w:rsidRPr="007B4EF3">
          <w:rPr>
            <w:rStyle w:val="Hyperlink"/>
          </w:rPr>
          <w:t>8.</w:t>
        </w:r>
        <w:r>
          <w:rPr>
            <w:kern w:val="2"/>
            <w:sz w:val="22"/>
            <w14:ligatures w14:val="standardContextual"/>
          </w:rPr>
          <w:tab/>
        </w:r>
        <w:r w:rsidRPr="007B4EF3">
          <w:rPr>
            <w:rStyle w:val="Hyperlink"/>
          </w:rPr>
          <w:t>Tender evaluation</w:t>
        </w:r>
        <w:r>
          <w:rPr>
            <w:webHidden/>
          </w:rPr>
          <w:tab/>
        </w:r>
        <w:r>
          <w:rPr>
            <w:webHidden/>
          </w:rPr>
          <w:fldChar w:fldCharType="begin"/>
        </w:r>
        <w:r>
          <w:rPr>
            <w:webHidden/>
          </w:rPr>
          <w:instrText xml:space="preserve"> PAGEREF _Toc161321790 \h </w:instrText>
        </w:r>
        <w:r>
          <w:rPr>
            <w:webHidden/>
          </w:rPr>
        </w:r>
        <w:r>
          <w:rPr>
            <w:webHidden/>
          </w:rPr>
          <w:fldChar w:fldCharType="separate"/>
        </w:r>
        <w:r w:rsidR="00107556">
          <w:rPr>
            <w:webHidden/>
          </w:rPr>
          <w:t>104</w:t>
        </w:r>
        <w:r>
          <w:rPr>
            <w:webHidden/>
          </w:rPr>
          <w:fldChar w:fldCharType="end"/>
        </w:r>
      </w:hyperlink>
    </w:p>
    <w:p w14:paraId="5D0231ED" w14:textId="085D7CF0" w:rsidR="008A4B3E" w:rsidRDefault="008A4B3E">
      <w:pPr>
        <w:pStyle w:val="TOC3"/>
        <w:rPr>
          <w:kern w:val="2"/>
          <w:sz w:val="22"/>
          <w14:ligatures w14:val="standardContextual"/>
        </w:rPr>
      </w:pPr>
      <w:hyperlink w:anchor="_Toc161321791" w:history="1">
        <w:r w:rsidRPr="007B4EF3">
          <w:rPr>
            <w:rStyle w:val="Hyperlink"/>
          </w:rPr>
          <w:t>8.1</w:t>
        </w:r>
        <w:r>
          <w:rPr>
            <w:kern w:val="2"/>
            <w:sz w:val="22"/>
            <w14:ligatures w14:val="standardContextual"/>
          </w:rPr>
          <w:tab/>
        </w:r>
        <w:r w:rsidRPr="007B4EF3">
          <w:rPr>
            <w:rStyle w:val="Hyperlink"/>
          </w:rPr>
          <w:t>Review the tender evaluation plan</w:t>
        </w:r>
        <w:r>
          <w:rPr>
            <w:webHidden/>
          </w:rPr>
          <w:tab/>
        </w:r>
        <w:r>
          <w:rPr>
            <w:webHidden/>
          </w:rPr>
          <w:fldChar w:fldCharType="begin"/>
        </w:r>
        <w:r>
          <w:rPr>
            <w:webHidden/>
          </w:rPr>
          <w:instrText xml:space="preserve"> PAGEREF _Toc161321791 \h </w:instrText>
        </w:r>
        <w:r>
          <w:rPr>
            <w:webHidden/>
          </w:rPr>
        </w:r>
        <w:r>
          <w:rPr>
            <w:webHidden/>
          </w:rPr>
          <w:fldChar w:fldCharType="separate"/>
        </w:r>
        <w:r w:rsidR="00107556">
          <w:rPr>
            <w:webHidden/>
          </w:rPr>
          <w:t>104</w:t>
        </w:r>
        <w:r>
          <w:rPr>
            <w:webHidden/>
          </w:rPr>
          <w:fldChar w:fldCharType="end"/>
        </w:r>
      </w:hyperlink>
    </w:p>
    <w:p w14:paraId="38423E6B" w14:textId="51750D3C" w:rsidR="008A4B3E" w:rsidRDefault="008A4B3E">
      <w:pPr>
        <w:pStyle w:val="TOC3"/>
        <w:rPr>
          <w:kern w:val="2"/>
          <w:sz w:val="22"/>
          <w14:ligatures w14:val="standardContextual"/>
        </w:rPr>
      </w:pPr>
      <w:hyperlink w:anchor="_Toc161321792" w:history="1">
        <w:r w:rsidRPr="007B4EF3">
          <w:rPr>
            <w:rStyle w:val="Hyperlink"/>
          </w:rPr>
          <w:t>8.2</w:t>
        </w:r>
        <w:r>
          <w:rPr>
            <w:kern w:val="2"/>
            <w:sz w:val="22"/>
            <w14:ligatures w14:val="standardContextual"/>
          </w:rPr>
          <w:tab/>
        </w:r>
        <w:r w:rsidRPr="007B4EF3">
          <w:rPr>
            <w:rStyle w:val="Hyperlink"/>
          </w:rPr>
          <w:t>Tender evaluation resources</w:t>
        </w:r>
        <w:r>
          <w:rPr>
            <w:webHidden/>
          </w:rPr>
          <w:tab/>
        </w:r>
        <w:r>
          <w:rPr>
            <w:webHidden/>
          </w:rPr>
          <w:fldChar w:fldCharType="begin"/>
        </w:r>
        <w:r>
          <w:rPr>
            <w:webHidden/>
          </w:rPr>
          <w:instrText xml:space="preserve"> PAGEREF _Toc161321792 \h </w:instrText>
        </w:r>
        <w:r>
          <w:rPr>
            <w:webHidden/>
          </w:rPr>
        </w:r>
        <w:r>
          <w:rPr>
            <w:webHidden/>
          </w:rPr>
          <w:fldChar w:fldCharType="separate"/>
        </w:r>
        <w:r w:rsidR="00107556">
          <w:rPr>
            <w:webHidden/>
          </w:rPr>
          <w:t>105</w:t>
        </w:r>
        <w:r>
          <w:rPr>
            <w:webHidden/>
          </w:rPr>
          <w:fldChar w:fldCharType="end"/>
        </w:r>
      </w:hyperlink>
    </w:p>
    <w:p w14:paraId="6061693C" w14:textId="45C5E920" w:rsidR="008A4B3E" w:rsidRDefault="008A4B3E">
      <w:pPr>
        <w:pStyle w:val="TOC3"/>
        <w:rPr>
          <w:kern w:val="2"/>
          <w:sz w:val="22"/>
          <w14:ligatures w14:val="standardContextual"/>
        </w:rPr>
      </w:pPr>
      <w:hyperlink w:anchor="_Toc161321793" w:history="1">
        <w:r w:rsidRPr="007B4EF3">
          <w:rPr>
            <w:rStyle w:val="Hyperlink"/>
          </w:rPr>
          <w:t>8.3</w:t>
        </w:r>
        <w:r>
          <w:rPr>
            <w:kern w:val="2"/>
            <w:sz w:val="22"/>
            <w14:ligatures w14:val="standardContextual"/>
          </w:rPr>
          <w:tab/>
        </w:r>
        <w:r w:rsidRPr="007B4EF3">
          <w:rPr>
            <w:rStyle w:val="Hyperlink"/>
          </w:rPr>
          <w:t>Probity in tender evaluation</w:t>
        </w:r>
        <w:r>
          <w:rPr>
            <w:webHidden/>
          </w:rPr>
          <w:tab/>
        </w:r>
        <w:r>
          <w:rPr>
            <w:webHidden/>
          </w:rPr>
          <w:fldChar w:fldCharType="begin"/>
        </w:r>
        <w:r>
          <w:rPr>
            <w:webHidden/>
          </w:rPr>
          <w:instrText xml:space="preserve"> PAGEREF _Toc161321793 \h </w:instrText>
        </w:r>
        <w:r>
          <w:rPr>
            <w:webHidden/>
          </w:rPr>
        </w:r>
        <w:r>
          <w:rPr>
            <w:webHidden/>
          </w:rPr>
          <w:fldChar w:fldCharType="separate"/>
        </w:r>
        <w:r w:rsidR="00107556">
          <w:rPr>
            <w:webHidden/>
          </w:rPr>
          <w:t>106</w:t>
        </w:r>
        <w:r>
          <w:rPr>
            <w:webHidden/>
          </w:rPr>
          <w:fldChar w:fldCharType="end"/>
        </w:r>
      </w:hyperlink>
    </w:p>
    <w:p w14:paraId="140EFEE3" w14:textId="4940E1FE" w:rsidR="008A4B3E" w:rsidRDefault="008A4B3E">
      <w:pPr>
        <w:pStyle w:val="TOC3"/>
        <w:rPr>
          <w:kern w:val="2"/>
          <w:sz w:val="22"/>
          <w14:ligatures w14:val="standardContextual"/>
        </w:rPr>
      </w:pPr>
      <w:hyperlink w:anchor="_Toc161321794" w:history="1">
        <w:r w:rsidRPr="007B4EF3">
          <w:rPr>
            <w:rStyle w:val="Hyperlink"/>
          </w:rPr>
          <w:t>8.4</w:t>
        </w:r>
        <w:r>
          <w:rPr>
            <w:kern w:val="2"/>
            <w:sz w:val="22"/>
            <w14:ligatures w14:val="standardContextual"/>
          </w:rPr>
          <w:tab/>
        </w:r>
        <w:r w:rsidRPr="007B4EF3">
          <w:rPr>
            <w:rStyle w:val="Hyperlink"/>
          </w:rPr>
          <w:t>Evaluation process</w:t>
        </w:r>
        <w:r>
          <w:rPr>
            <w:webHidden/>
          </w:rPr>
          <w:tab/>
        </w:r>
        <w:r>
          <w:rPr>
            <w:webHidden/>
          </w:rPr>
          <w:fldChar w:fldCharType="begin"/>
        </w:r>
        <w:r>
          <w:rPr>
            <w:webHidden/>
          </w:rPr>
          <w:instrText xml:space="preserve"> PAGEREF _Toc161321794 \h </w:instrText>
        </w:r>
        <w:r>
          <w:rPr>
            <w:webHidden/>
          </w:rPr>
        </w:r>
        <w:r>
          <w:rPr>
            <w:webHidden/>
          </w:rPr>
          <w:fldChar w:fldCharType="separate"/>
        </w:r>
        <w:r w:rsidR="00107556">
          <w:rPr>
            <w:webHidden/>
          </w:rPr>
          <w:t>107</w:t>
        </w:r>
        <w:r>
          <w:rPr>
            <w:webHidden/>
          </w:rPr>
          <w:fldChar w:fldCharType="end"/>
        </w:r>
      </w:hyperlink>
    </w:p>
    <w:p w14:paraId="1E550702" w14:textId="535CE096" w:rsidR="008A4B3E" w:rsidRDefault="008A4B3E">
      <w:pPr>
        <w:pStyle w:val="TOC3"/>
        <w:rPr>
          <w:kern w:val="2"/>
          <w:sz w:val="22"/>
          <w14:ligatures w14:val="standardContextual"/>
        </w:rPr>
      </w:pPr>
      <w:hyperlink w:anchor="_Toc161321795" w:history="1">
        <w:r w:rsidRPr="007B4EF3">
          <w:rPr>
            <w:rStyle w:val="Hyperlink"/>
          </w:rPr>
          <w:t>8.5</w:t>
        </w:r>
        <w:r>
          <w:rPr>
            <w:kern w:val="2"/>
            <w:sz w:val="22"/>
            <w14:ligatures w14:val="standardContextual"/>
          </w:rPr>
          <w:tab/>
        </w:r>
        <w:r w:rsidRPr="007B4EF3">
          <w:rPr>
            <w:rStyle w:val="Hyperlink"/>
          </w:rPr>
          <w:t>Tender evaluation phase checklist</w:t>
        </w:r>
        <w:r>
          <w:rPr>
            <w:webHidden/>
          </w:rPr>
          <w:tab/>
        </w:r>
        <w:r>
          <w:rPr>
            <w:webHidden/>
          </w:rPr>
          <w:fldChar w:fldCharType="begin"/>
        </w:r>
        <w:r>
          <w:rPr>
            <w:webHidden/>
          </w:rPr>
          <w:instrText xml:space="preserve"> PAGEREF _Toc161321795 \h </w:instrText>
        </w:r>
        <w:r>
          <w:rPr>
            <w:webHidden/>
          </w:rPr>
        </w:r>
        <w:r>
          <w:rPr>
            <w:webHidden/>
          </w:rPr>
          <w:fldChar w:fldCharType="separate"/>
        </w:r>
        <w:r w:rsidR="00107556">
          <w:rPr>
            <w:webHidden/>
          </w:rPr>
          <w:t>114</w:t>
        </w:r>
        <w:r>
          <w:rPr>
            <w:webHidden/>
          </w:rPr>
          <w:fldChar w:fldCharType="end"/>
        </w:r>
      </w:hyperlink>
    </w:p>
    <w:p w14:paraId="3EFAA893" w14:textId="5D3C9552" w:rsidR="008A4B3E" w:rsidRDefault="008A4B3E">
      <w:pPr>
        <w:pStyle w:val="TOC2"/>
        <w:rPr>
          <w:kern w:val="2"/>
          <w:sz w:val="22"/>
          <w14:ligatures w14:val="standardContextual"/>
        </w:rPr>
      </w:pPr>
      <w:hyperlink w:anchor="_Toc161321796" w:history="1">
        <w:r w:rsidRPr="007B4EF3">
          <w:rPr>
            <w:rStyle w:val="Hyperlink"/>
          </w:rPr>
          <w:t>9.</w:t>
        </w:r>
        <w:r>
          <w:rPr>
            <w:kern w:val="2"/>
            <w:sz w:val="22"/>
            <w14:ligatures w14:val="standardContextual"/>
          </w:rPr>
          <w:tab/>
        </w:r>
        <w:r w:rsidRPr="007B4EF3">
          <w:rPr>
            <w:rStyle w:val="Hyperlink"/>
          </w:rPr>
          <w:t>Contract negotiation</w:t>
        </w:r>
        <w:r>
          <w:rPr>
            <w:webHidden/>
          </w:rPr>
          <w:tab/>
        </w:r>
        <w:r>
          <w:rPr>
            <w:webHidden/>
          </w:rPr>
          <w:fldChar w:fldCharType="begin"/>
        </w:r>
        <w:r>
          <w:rPr>
            <w:webHidden/>
          </w:rPr>
          <w:instrText xml:space="preserve"> PAGEREF _Toc161321796 \h </w:instrText>
        </w:r>
        <w:r>
          <w:rPr>
            <w:webHidden/>
          </w:rPr>
        </w:r>
        <w:r>
          <w:rPr>
            <w:webHidden/>
          </w:rPr>
          <w:fldChar w:fldCharType="separate"/>
        </w:r>
        <w:r w:rsidR="00107556">
          <w:rPr>
            <w:webHidden/>
          </w:rPr>
          <w:t>114</w:t>
        </w:r>
        <w:r>
          <w:rPr>
            <w:webHidden/>
          </w:rPr>
          <w:fldChar w:fldCharType="end"/>
        </w:r>
      </w:hyperlink>
    </w:p>
    <w:p w14:paraId="3121E8DE" w14:textId="4C20F716" w:rsidR="008A4B3E" w:rsidRDefault="008A4B3E">
      <w:pPr>
        <w:pStyle w:val="TOC3"/>
        <w:rPr>
          <w:kern w:val="2"/>
          <w:sz w:val="22"/>
          <w14:ligatures w14:val="standardContextual"/>
        </w:rPr>
      </w:pPr>
      <w:hyperlink w:anchor="_Toc161321797" w:history="1">
        <w:r w:rsidRPr="007B4EF3">
          <w:rPr>
            <w:rStyle w:val="Hyperlink"/>
          </w:rPr>
          <w:t>9.1</w:t>
        </w:r>
        <w:r>
          <w:rPr>
            <w:kern w:val="2"/>
            <w:sz w:val="22"/>
            <w14:ligatures w14:val="standardContextual"/>
          </w:rPr>
          <w:tab/>
        </w:r>
        <w:r w:rsidRPr="007B4EF3">
          <w:rPr>
            <w:rStyle w:val="Hyperlink"/>
          </w:rPr>
          <w:t>Negotiating mutually successful outcomes</w:t>
        </w:r>
        <w:r>
          <w:rPr>
            <w:webHidden/>
          </w:rPr>
          <w:tab/>
        </w:r>
        <w:r>
          <w:rPr>
            <w:webHidden/>
          </w:rPr>
          <w:fldChar w:fldCharType="begin"/>
        </w:r>
        <w:r>
          <w:rPr>
            <w:webHidden/>
          </w:rPr>
          <w:instrText xml:space="preserve"> PAGEREF _Toc161321797 \h </w:instrText>
        </w:r>
        <w:r>
          <w:rPr>
            <w:webHidden/>
          </w:rPr>
        </w:r>
        <w:r>
          <w:rPr>
            <w:webHidden/>
          </w:rPr>
          <w:fldChar w:fldCharType="separate"/>
        </w:r>
        <w:r w:rsidR="00107556">
          <w:rPr>
            <w:webHidden/>
          </w:rPr>
          <w:t>115</w:t>
        </w:r>
        <w:r>
          <w:rPr>
            <w:webHidden/>
          </w:rPr>
          <w:fldChar w:fldCharType="end"/>
        </w:r>
      </w:hyperlink>
    </w:p>
    <w:p w14:paraId="7CEF61D7" w14:textId="3A24244B" w:rsidR="008A4B3E" w:rsidRDefault="008A4B3E">
      <w:pPr>
        <w:pStyle w:val="TOC3"/>
        <w:rPr>
          <w:kern w:val="2"/>
          <w:sz w:val="22"/>
          <w14:ligatures w14:val="standardContextual"/>
        </w:rPr>
      </w:pPr>
      <w:hyperlink w:anchor="_Toc161321798" w:history="1">
        <w:r w:rsidRPr="007B4EF3">
          <w:rPr>
            <w:rStyle w:val="Hyperlink"/>
          </w:rPr>
          <w:t>9.2</w:t>
        </w:r>
        <w:r>
          <w:rPr>
            <w:kern w:val="2"/>
            <w:sz w:val="22"/>
            <w14:ligatures w14:val="standardContextual"/>
          </w:rPr>
          <w:tab/>
        </w:r>
        <w:r w:rsidRPr="007B4EF3">
          <w:rPr>
            <w:rStyle w:val="Hyperlink"/>
          </w:rPr>
          <w:t>Developing a negotiation strategy</w:t>
        </w:r>
        <w:r>
          <w:rPr>
            <w:webHidden/>
          </w:rPr>
          <w:tab/>
        </w:r>
        <w:r>
          <w:rPr>
            <w:webHidden/>
          </w:rPr>
          <w:fldChar w:fldCharType="begin"/>
        </w:r>
        <w:r>
          <w:rPr>
            <w:webHidden/>
          </w:rPr>
          <w:instrText xml:space="preserve"> PAGEREF _Toc161321798 \h </w:instrText>
        </w:r>
        <w:r>
          <w:rPr>
            <w:webHidden/>
          </w:rPr>
        </w:r>
        <w:r>
          <w:rPr>
            <w:webHidden/>
          </w:rPr>
          <w:fldChar w:fldCharType="separate"/>
        </w:r>
        <w:r w:rsidR="00107556">
          <w:rPr>
            <w:webHidden/>
          </w:rPr>
          <w:t>115</w:t>
        </w:r>
        <w:r>
          <w:rPr>
            <w:webHidden/>
          </w:rPr>
          <w:fldChar w:fldCharType="end"/>
        </w:r>
      </w:hyperlink>
    </w:p>
    <w:p w14:paraId="0689631B" w14:textId="37347C68" w:rsidR="008A4B3E" w:rsidRDefault="008A4B3E">
      <w:pPr>
        <w:pStyle w:val="TOC3"/>
        <w:rPr>
          <w:kern w:val="2"/>
          <w:sz w:val="22"/>
          <w14:ligatures w14:val="standardContextual"/>
        </w:rPr>
      </w:pPr>
      <w:hyperlink w:anchor="_Toc161321799" w:history="1">
        <w:r w:rsidRPr="007B4EF3">
          <w:rPr>
            <w:rStyle w:val="Hyperlink"/>
          </w:rPr>
          <w:t>9.3</w:t>
        </w:r>
        <w:r>
          <w:rPr>
            <w:kern w:val="2"/>
            <w:sz w:val="22"/>
            <w14:ligatures w14:val="standardContextual"/>
          </w:rPr>
          <w:tab/>
        </w:r>
        <w:r w:rsidRPr="007B4EF3">
          <w:rPr>
            <w:rStyle w:val="Hyperlink"/>
          </w:rPr>
          <w:t>Establishing the negotiating team</w:t>
        </w:r>
        <w:r>
          <w:rPr>
            <w:webHidden/>
          </w:rPr>
          <w:tab/>
        </w:r>
        <w:r>
          <w:rPr>
            <w:webHidden/>
          </w:rPr>
          <w:fldChar w:fldCharType="begin"/>
        </w:r>
        <w:r>
          <w:rPr>
            <w:webHidden/>
          </w:rPr>
          <w:instrText xml:space="preserve"> PAGEREF _Toc161321799 \h </w:instrText>
        </w:r>
        <w:r>
          <w:rPr>
            <w:webHidden/>
          </w:rPr>
        </w:r>
        <w:r>
          <w:rPr>
            <w:webHidden/>
          </w:rPr>
          <w:fldChar w:fldCharType="separate"/>
        </w:r>
        <w:r w:rsidR="00107556">
          <w:rPr>
            <w:webHidden/>
          </w:rPr>
          <w:t>116</w:t>
        </w:r>
        <w:r>
          <w:rPr>
            <w:webHidden/>
          </w:rPr>
          <w:fldChar w:fldCharType="end"/>
        </w:r>
      </w:hyperlink>
    </w:p>
    <w:p w14:paraId="5FABA8CC" w14:textId="4766E36F" w:rsidR="008A4B3E" w:rsidRDefault="008A4B3E">
      <w:pPr>
        <w:pStyle w:val="TOC3"/>
        <w:rPr>
          <w:kern w:val="2"/>
          <w:sz w:val="22"/>
          <w14:ligatures w14:val="standardContextual"/>
        </w:rPr>
      </w:pPr>
      <w:hyperlink w:anchor="_Toc161321800" w:history="1">
        <w:r w:rsidRPr="007B4EF3">
          <w:rPr>
            <w:rStyle w:val="Hyperlink"/>
          </w:rPr>
          <w:t>9.4</w:t>
        </w:r>
        <w:r>
          <w:rPr>
            <w:kern w:val="2"/>
            <w:sz w:val="22"/>
            <w14:ligatures w14:val="standardContextual"/>
          </w:rPr>
          <w:tab/>
        </w:r>
        <w:r w:rsidRPr="007B4EF3">
          <w:rPr>
            <w:rStyle w:val="Hyperlink"/>
          </w:rPr>
          <w:t>Preparing for negotiations</w:t>
        </w:r>
        <w:r>
          <w:rPr>
            <w:webHidden/>
          </w:rPr>
          <w:tab/>
        </w:r>
        <w:r>
          <w:rPr>
            <w:webHidden/>
          </w:rPr>
          <w:fldChar w:fldCharType="begin"/>
        </w:r>
        <w:r>
          <w:rPr>
            <w:webHidden/>
          </w:rPr>
          <w:instrText xml:space="preserve"> PAGEREF _Toc161321800 \h </w:instrText>
        </w:r>
        <w:r>
          <w:rPr>
            <w:webHidden/>
          </w:rPr>
        </w:r>
        <w:r>
          <w:rPr>
            <w:webHidden/>
          </w:rPr>
          <w:fldChar w:fldCharType="separate"/>
        </w:r>
        <w:r w:rsidR="00107556">
          <w:rPr>
            <w:webHidden/>
          </w:rPr>
          <w:t>117</w:t>
        </w:r>
        <w:r>
          <w:rPr>
            <w:webHidden/>
          </w:rPr>
          <w:fldChar w:fldCharType="end"/>
        </w:r>
      </w:hyperlink>
    </w:p>
    <w:p w14:paraId="57777778" w14:textId="3A2B45ED" w:rsidR="008A4B3E" w:rsidRDefault="008A4B3E">
      <w:pPr>
        <w:pStyle w:val="TOC3"/>
        <w:rPr>
          <w:kern w:val="2"/>
          <w:sz w:val="22"/>
          <w14:ligatures w14:val="standardContextual"/>
        </w:rPr>
      </w:pPr>
      <w:hyperlink w:anchor="_Toc161321801" w:history="1">
        <w:r w:rsidRPr="007B4EF3">
          <w:rPr>
            <w:rStyle w:val="Hyperlink"/>
          </w:rPr>
          <w:t>9.5</w:t>
        </w:r>
        <w:r>
          <w:rPr>
            <w:kern w:val="2"/>
            <w:sz w:val="22"/>
            <w14:ligatures w14:val="standardContextual"/>
          </w:rPr>
          <w:tab/>
        </w:r>
        <w:r w:rsidRPr="007B4EF3">
          <w:rPr>
            <w:rStyle w:val="Hyperlink"/>
          </w:rPr>
          <w:t>Agreeing the negotiating framework and protocols</w:t>
        </w:r>
        <w:r>
          <w:rPr>
            <w:webHidden/>
          </w:rPr>
          <w:tab/>
        </w:r>
        <w:r>
          <w:rPr>
            <w:webHidden/>
          </w:rPr>
          <w:fldChar w:fldCharType="begin"/>
        </w:r>
        <w:r>
          <w:rPr>
            <w:webHidden/>
          </w:rPr>
          <w:instrText xml:space="preserve"> PAGEREF _Toc161321801 \h </w:instrText>
        </w:r>
        <w:r>
          <w:rPr>
            <w:webHidden/>
          </w:rPr>
        </w:r>
        <w:r>
          <w:rPr>
            <w:webHidden/>
          </w:rPr>
          <w:fldChar w:fldCharType="separate"/>
        </w:r>
        <w:r w:rsidR="00107556">
          <w:rPr>
            <w:webHidden/>
          </w:rPr>
          <w:t>117</w:t>
        </w:r>
        <w:r>
          <w:rPr>
            <w:webHidden/>
          </w:rPr>
          <w:fldChar w:fldCharType="end"/>
        </w:r>
      </w:hyperlink>
    </w:p>
    <w:p w14:paraId="1D2F1CE0" w14:textId="42DC7A76" w:rsidR="008A4B3E" w:rsidRDefault="008A4B3E">
      <w:pPr>
        <w:pStyle w:val="TOC3"/>
        <w:rPr>
          <w:kern w:val="2"/>
          <w:sz w:val="22"/>
          <w14:ligatures w14:val="standardContextual"/>
        </w:rPr>
      </w:pPr>
      <w:hyperlink w:anchor="_Toc161321802" w:history="1">
        <w:r w:rsidRPr="007B4EF3">
          <w:rPr>
            <w:rStyle w:val="Hyperlink"/>
          </w:rPr>
          <w:t>9.6</w:t>
        </w:r>
        <w:r>
          <w:rPr>
            <w:kern w:val="2"/>
            <w:sz w:val="22"/>
            <w14:ligatures w14:val="standardContextual"/>
          </w:rPr>
          <w:tab/>
        </w:r>
        <w:r w:rsidRPr="007B4EF3">
          <w:rPr>
            <w:rStyle w:val="Hyperlink"/>
          </w:rPr>
          <w:t>Recommended negotiation practices</w:t>
        </w:r>
        <w:r>
          <w:rPr>
            <w:webHidden/>
          </w:rPr>
          <w:tab/>
        </w:r>
        <w:r>
          <w:rPr>
            <w:webHidden/>
          </w:rPr>
          <w:fldChar w:fldCharType="begin"/>
        </w:r>
        <w:r>
          <w:rPr>
            <w:webHidden/>
          </w:rPr>
          <w:instrText xml:space="preserve"> PAGEREF _Toc161321802 \h </w:instrText>
        </w:r>
        <w:r>
          <w:rPr>
            <w:webHidden/>
          </w:rPr>
        </w:r>
        <w:r>
          <w:rPr>
            <w:webHidden/>
          </w:rPr>
          <w:fldChar w:fldCharType="separate"/>
        </w:r>
        <w:r w:rsidR="00107556">
          <w:rPr>
            <w:webHidden/>
          </w:rPr>
          <w:t>118</w:t>
        </w:r>
        <w:r>
          <w:rPr>
            <w:webHidden/>
          </w:rPr>
          <w:fldChar w:fldCharType="end"/>
        </w:r>
      </w:hyperlink>
    </w:p>
    <w:p w14:paraId="33736E87" w14:textId="4A8B8D2E" w:rsidR="008A4B3E" w:rsidRDefault="008A4B3E">
      <w:pPr>
        <w:pStyle w:val="TOC3"/>
        <w:rPr>
          <w:kern w:val="2"/>
          <w:sz w:val="22"/>
          <w14:ligatures w14:val="standardContextual"/>
        </w:rPr>
      </w:pPr>
      <w:hyperlink w:anchor="_Toc161321803" w:history="1">
        <w:r w:rsidRPr="007B4EF3">
          <w:rPr>
            <w:rStyle w:val="Hyperlink"/>
          </w:rPr>
          <w:t>9.7</w:t>
        </w:r>
        <w:r>
          <w:rPr>
            <w:kern w:val="2"/>
            <w:sz w:val="22"/>
            <w14:ligatures w14:val="standardContextual"/>
          </w:rPr>
          <w:tab/>
        </w:r>
        <w:r w:rsidRPr="007B4EF3">
          <w:rPr>
            <w:rStyle w:val="Hyperlink"/>
          </w:rPr>
          <w:t>Re-calling tenders</w:t>
        </w:r>
        <w:r>
          <w:rPr>
            <w:webHidden/>
          </w:rPr>
          <w:tab/>
        </w:r>
        <w:r>
          <w:rPr>
            <w:webHidden/>
          </w:rPr>
          <w:fldChar w:fldCharType="begin"/>
        </w:r>
        <w:r>
          <w:rPr>
            <w:webHidden/>
          </w:rPr>
          <w:instrText xml:space="preserve"> PAGEREF _Toc161321803 \h </w:instrText>
        </w:r>
        <w:r>
          <w:rPr>
            <w:webHidden/>
          </w:rPr>
        </w:r>
        <w:r>
          <w:rPr>
            <w:webHidden/>
          </w:rPr>
          <w:fldChar w:fldCharType="separate"/>
        </w:r>
        <w:r w:rsidR="00107556">
          <w:rPr>
            <w:webHidden/>
          </w:rPr>
          <w:t>119</w:t>
        </w:r>
        <w:r>
          <w:rPr>
            <w:webHidden/>
          </w:rPr>
          <w:fldChar w:fldCharType="end"/>
        </w:r>
      </w:hyperlink>
    </w:p>
    <w:p w14:paraId="6E6410E0" w14:textId="241DCC03" w:rsidR="008A4B3E" w:rsidRDefault="008A4B3E">
      <w:pPr>
        <w:pStyle w:val="TOC3"/>
        <w:rPr>
          <w:kern w:val="2"/>
          <w:sz w:val="22"/>
          <w14:ligatures w14:val="standardContextual"/>
        </w:rPr>
      </w:pPr>
      <w:hyperlink w:anchor="_Toc161321804" w:history="1">
        <w:r w:rsidRPr="007B4EF3">
          <w:rPr>
            <w:rStyle w:val="Hyperlink"/>
          </w:rPr>
          <w:t>9.8</w:t>
        </w:r>
        <w:r>
          <w:rPr>
            <w:kern w:val="2"/>
            <w:sz w:val="22"/>
            <w14:ligatures w14:val="standardContextual"/>
          </w:rPr>
          <w:tab/>
        </w:r>
        <w:r w:rsidRPr="007B4EF3">
          <w:rPr>
            <w:rStyle w:val="Hyperlink"/>
          </w:rPr>
          <w:t>Negotiation phase checklist</w:t>
        </w:r>
        <w:r>
          <w:rPr>
            <w:webHidden/>
          </w:rPr>
          <w:tab/>
        </w:r>
        <w:r>
          <w:rPr>
            <w:webHidden/>
          </w:rPr>
          <w:fldChar w:fldCharType="begin"/>
        </w:r>
        <w:r>
          <w:rPr>
            <w:webHidden/>
          </w:rPr>
          <w:instrText xml:space="preserve"> PAGEREF _Toc161321804 \h </w:instrText>
        </w:r>
        <w:r>
          <w:rPr>
            <w:webHidden/>
          </w:rPr>
        </w:r>
        <w:r>
          <w:rPr>
            <w:webHidden/>
          </w:rPr>
          <w:fldChar w:fldCharType="separate"/>
        </w:r>
        <w:r w:rsidR="00107556">
          <w:rPr>
            <w:webHidden/>
          </w:rPr>
          <w:t>119</w:t>
        </w:r>
        <w:r>
          <w:rPr>
            <w:webHidden/>
          </w:rPr>
          <w:fldChar w:fldCharType="end"/>
        </w:r>
      </w:hyperlink>
    </w:p>
    <w:p w14:paraId="0FE8476E" w14:textId="76684E7A" w:rsidR="008A4B3E" w:rsidRDefault="008A4B3E">
      <w:pPr>
        <w:pStyle w:val="TOC2"/>
        <w:rPr>
          <w:kern w:val="2"/>
          <w:sz w:val="22"/>
          <w14:ligatures w14:val="standardContextual"/>
        </w:rPr>
      </w:pPr>
      <w:hyperlink w:anchor="_Toc161321805" w:history="1">
        <w:r w:rsidRPr="007B4EF3">
          <w:rPr>
            <w:rStyle w:val="Hyperlink"/>
          </w:rPr>
          <w:t>10.</w:t>
        </w:r>
        <w:r>
          <w:rPr>
            <w:kern w:val="2"/>
            <w:sz w:val="22"/>
            <w14:ligatures w14:val="standardContextual"/>
          </w:rPr>
          <w:tab/>
        </w:r>
        <w:r w:rsidRPr="007B4EF3">
          <w:rPr>
            <w:rStyle w:val="Hyperlink"/>
          </w:rPr>
          <w:t>Approvals and contract award</w:t>
        </w:r>
        <w:r>
          <w:rPr>
            <w:webHidden/>
          </w:rPr>
          <w:tab/>
        </w:r>
        <w:r>
          <w:rPr>
            <w:webHidden/>
          </w:rPr>
          <w:fldChar w:fldCharType="begin"/>
        </w:r>
        <w:r>
          <w:rPr>
            <w:webHidden/>
          </w:rPr>
          <w:instrText xml:space="preserve"> PAGEREF _Toc161321805 \h </w:instrText>
        </w:r>
        <w:r>
          <w:rPr>
            <w:webHidden/>
          </w:rPr>
        </w:r>
        <w:r>
          <w:rPr>
            <w:webHidden/>
          </w:rPr>
          <w:fldChar w:fldCharType="separate"/>
        </w:r>
        <w:r w:rsidR="00107556">
          <w:rPr>
            <w:webHidden/>
          </w:rPr>
          <w:t>119</w:t>
        </w:r>
        <w:r>
          <w:rPr>
            <w:webHidden/>
          </w:rPr>
          <w:fldChar w:fldCharType="end"/>
        </w:r>
      </w:hyperlink>
    </w:p>
    <w:p w14:paraId="5D0909B8" w14:textId="4342281A" w:rsidR="008A4B3E" w:rsidRDefault="008A4B3E">
      <w:pPr>
        <w:pStyle w:val="TOC3"/>
        <w:rPr>
          <w:kern w:val="2"/>
          <w:sz w:val="22"/>
          <w14:ligatures w14:val="standardContextual"/>
        </w:rPr>
      </w:pPr>
      <w:hyperlink w:anchor="_Toc161321806" w:history="1">
        <w:r w:rsidRPr="007B4EF3">
          <w:rPr>
            <w:rStyle w:val="Hyperlink"/>
          </w:rPr>
          <w:t>10.1</w:t>
        </w:r>
        <w:r>
          <w:rPr>
            <w:kern w:val="2"/>
            <w:sz w:val="22"/>
            <w14:ligatures w14:val="standardContextual"/>
          </w:rPr>
          <w:tab/>
        </w:r>
        <w:r w:rsidRPr="007B4EF3">
          <w:rPr>
            <w:rStyle w:val="Hyperlink"/>
          </w:rPr>
          <w:t>Awarding and executing the contract</w:t>
        </w:r>
        <w:r>
          <w:rPr>
            <w:webHidden/>
          </w:rPr>
          <w:tab/>
        </w:r>
        <w:r>
          <w:rPr>
            <w:webHidden/>
          </w:rPr>
          <w:fldChar w:fldCharType="begin"/>
        </w:r>
        <w:r>
          <w:rPr>
            <w:webHidden/>
          </w:rPr>
          <w:instrText xml:space="preserve"> PAGEREF _Toc161321806 \h </w:instrText>
        </w:r>
        <w:r>
          <w:rPr>
            <w:webHidden/>
          </w:rPr>
        </w:r>
        <w:r>
          <w:rPr>
            <w:webHidden/>
          </w:rPr>
          <w:fldChar w:fldCharType="separate"/>
        </w:r>
        <w:r w:rsidR="00107556">
          <w:rPr>
            <w:webHidden/>
          </w:rPr>
          <w:t>121</w:t>
        </w:r>
        <w:r>
          <w:rPr>
            <w:webHidden/>
          </w:rPr>
          <w:fldChar w:fldCharType="end"/>
        </w:r>
      </w:hyperlink>
    </w:p>
    <w:p w14:paraId="3EC6D1FA" w14:textId="6BE962B7" w:rsidR="008A4B3E" w:rsidRDefault="008A4B3E">
      <w:pPr>
        <w:pStyle w:val="TOC3"/>
        <w:rPr>
          <w:kern w:val="2"/>
          <w:sz w:val="22"/>
          <w14:ligatures w14:val="standardContextual"/>
        </w:rPr>
      </w:pPr>
      <w:hyperlink w:anchor="_Toc161321807" w:history="1">
        <w:r w:rsidRPr="007B4EF3">
          <w:rPr>
            <w:rStyle w:val="Hyperlink"/>
          </w:rPr>
          <w:t>10.2</w:t>
        </w:r>
        <w:r>
          <w:rPr>
            <w:kern w:val="2"/>
            <w:sz w:val="22"/>
            <w14:ligatures w14:val="standardContextual"/>
          </w:rPr>
          <w:tab/>
        </w:r>
        <w:r w:rsidRPr="007B4EF3">
          <w:rPr>
            <w:rStyle w:val="Hyperlink"/>
          </w:rPr>
          <w:t>Informing unsuccessful tenderers of the outcome</w:t>
        </w:r>
        <w:r>
          <w:rPr>
            <w:webHidden/>
          </w:rPr>
          <w:tab/>
        </w:r>
        <w:r>
          <w:rPr>
            <w:webHidden/>
          </w:rPr>
          <w:fldChar w:fldCharType="begin"/>
        </w:r>
        <w:r>
          <w:rPr>
            <w:webHidden/>
          </w:rPr>
          <w:instrText xml:space="preserve"> PAGEREF _Toc161321807 \h </w:instrText>
        </w:r>
        <w:r>
          <w:rPr>
            <w:webHidden/>
          </w:rPr>
        </w:r>
        <w:r>
          <w:rPr>
            <w:webHidden/>
          </w:rPr>
          <w:fldChar w:fldCharType="separate"/>
        </w:r>
        <w:r w:rsidR="00107556">
          <w:rPr>
            <w:webHidden/>
          </w:rPr>
          <w:t>122</w:t>
        </w:r>
        <w:r>
          <w:rPr>
            <w:webHidden/>
          </w:rPr>
          <w:fldChar w:fldCharType="end"/>
        </w:r>
      </w:hyperlink>
    </w:p>
    <w:p w14:paraId="6C724081" w14:textId="1A5D089A" w:rsidR="008A4B3E" w:rsidRDefault="008A4B3E">
      <w:pPr>
        <w:pStyle w:val="TOC3"/>
        <w:rPr>
          <w:kern w:val="2"/>
          <w:sz w:val="22"/>
          <w14:ligatures w14:val="standardContextual"/>
        </w:rPr>
      </w:pPr>
      <w:hyperlink w:anchor="_Toc161321808" w:history="1">
        <w:r w:rsidRPr="007B4EF3">
          <w:rPr>
            <w:rStyle w:val="Hyperlink"/>
          </w:rPr>
          <w:t>10.3</w:t>
        </w:r>
        <w:r>
          <w:rPr>
            <w:kern w:val="2"/>
            <w:sz w:val="22"/>
            <w14:ligatures w14:val="standardContextual"/>
          </w:rPr>
          <w:tab/>
        </w:r>
        <w:r w:rsidRPr="007B4EF3">
          <w:rPr>
            <w:rStyle w:val="Hyperlink"/>
          </w:rPr>
          <w:t>Approvals and contract award phase checklist</w:t>
        </w:r>
        <w:r>
          <w:rPr>
            <w:webHidden/>
          </w:rPr>
          <w:tab/>
        </w:r>
        <w:r>
          <w:rPr>
            <w:webHidden/>
          </w:rPr>
          <w:fldChar w:fldCharType="begin"/>
        </w:r>
        <w:r>
          <w:rPr>
            <w:webHidden/>
          </w:rPr>
          <w:instrText xml:space="preserve"> PAGEREF _Toc161321808 \h </w:instrText>
        </w:r>
        <w:r>
          <w:rPr>
            <w:webHidden/>
          </w:rPr>
        </w:r>
        <w:r>
          <w:rPr>
            <w:webHidden/>
          </w:rPr>
          <w:fldChar w:fldCharType="separate"/>
        </w:r>
        <w:r w:rsidR="00107556">
          <w:rPr>
            <w:webHidden/>
          </w:rPr>
          <w:t>123</w:t>
        </w:r>
        <w:r>
          <w:rPr>
            <w:webHidden/>
          </w:rPr>
          <w:fldChar w:fldCharType="end"/>
        </w:r>
      </w:hyperlink>
    </w:p>
    <w:p w14:paraId="76218926" w14:textId="23D56EAA" w:rsidR="008A4B3E" w:rsidRDefault="008A4B3E">
      <w:pPr>
        <w:pStyle w:val="TOC1"/>
        <w:rPr>
          <w:noProof/>
          <w:color w:val="auto"/>
          <w:kern w:val="2"/>
          <w:sz w:val="22"/>
          <w:szCs w:val="22"/>
          <w14:ligatures w14:val="standardContextual"/>
        </w:rPr>
      </w:pPr>
      <w:hyperlink w:anchor="_Toc161321809" w:history="1">
        <w:r w:rsidRPr="007B4EF3">
          <w:rPr>
            <w:rStyle w:val="Hyperlink"/>
            <w:noProof/>
          </w:rPr>
          <w:t>Appendices</w:t>
        </w:r>
        <w:r>
          <w:rPr>
            <w:noProof/>
            <w:webHidden/>
          </w:rPr>
          <w:tab/>
        </w:r>
        <w:r>
          <w:rPr>
            <w:noProof/>
            <w:webHidden/>
          </w:rPr>
          <w:fldChar w:fldCharType="begin"/>
        </w:r>
        <w:r>
          <w:rPr>
            <w:noProof/>
            <w:webHidden/>
          </w:rPr>
          <w:instrText xml:space="preserve"> PAGEREF _Toc161321809 \h </w:instrText>
        </w:r>
        <w:r>
          <w:rPr>
            <w:noProof/>
            <w:webHidden/>
          </w:rPr>
        </w:r>
        <w:r>
          <w:rPr>
            <w:noProof/>
            <w:webHidden/>
          </w:rPr>
          <w:fldChar w:fldCharType="separate"/>
        </w:r>
        <w:r w:rsidR="00107556">
          <w:rPr>
            <w:noProof/>
            <w:webHidden/>
          </w:rPr>
          <w:t>124</w:t>
        </w:r>
        <w:r>
          <w:rPr>
            <w:noProof/>
            <w:webHidden/>
          </w:rPr>
          <w:fldChar w:fldCharType="end"/>
        </w:r>
      </w:hyperlink>
    </w:p>
    <w:p w14:paraId="7F977368" w14:textId="69BC02D8" w:rsidR="008A4B3E" w:rsidRDefault="008A4B3E">
      <w:pPr>
        <w:pStyle w:val="TOC5"/>
        <w:rPr>
          <w:kern w:val="2"/>
          <w:sz w:val="22"/>
          <w14:ligatures w14:val="standardContextual"/>
        </w:rPr>
      </w:pPr>
      <w:hyperlink w:anchor="_Toc161321810" w:history="1">
        <w:r w:rsidRPr="007B4EF3">
          <w:rPr>
            <w:rStyle w:val="Hyperlink"/>
          </w:rPr>
          <w:t>Appendix A – Legislation and policy</w:t>
        </w:r>
        <w:r>
          <w:rPr>
            <w:webHidden/>
          </w:rPr>
          <w:tab/>
        </w:r>
        <w:r>
          <w:rPr>
            <w:webHidden/>
          </w:rPr>
          <w:fldChar w:fldCharType="begin"/>
        </w:r>
        <w:r>
          <w:rPr>
            <w:webHidden/>
          </w:rPr>
          <w:instrText xml:space="preserve"> PAGEREF _Toc161321810 \h </w:instrText>
        </w:r>
        <w:r>
          <w:rPr>
            <w:webHidden/>
          </w:rPr>
        </w:r>
        <w:r>
          <w:rPr>
            <w:webHidden/>
          </w:rPr>
          <w:fldChar w:fldCharType="separate"/>
        </w:r>
        <w:r w:rsidR="00107556">
          <w:rPr>
            <w:webHidden/>
          </w:rPr>
          <w:t>124</w:t>
        </w:r>
        <w:r>
          <w:rPr>
            <w:webHidden/>
          </w:rPr>
          <w:fldChar w:fldCharType="end"/>
        </w:r>
      </w:hyperlink>
    </w:p>
    <w:p w14:paraId="70335FAE" w14:textId="06909174" w:rsidR="008A4B3E" w:rsidRDefault="008A4B3E">
      <w:pPr>
        <w:pStyle w:val="TOC5"/>
        <w:rPr>
          <w:kern w:val="2"/>
          <w:sz w:val="22"/>
          <w14:ligatures w14:val="standardContextual"/>
        </w:rPr>
      </w:pPr>
      <w:hyperlink w:anchor="_Toc161321811" w:history="1">
        <w:r w:rsidRPr="007B4EF3">
          <w:rPr>
            <w:rStyle w:val="Hyperlink"/>
          </w:rPr>
          <w:t>Appendix B – Issues influencing project delivery performance and success</w:t>
        </w:r>
        <w:r>
          <w:rPr>
            <w:webHidden/>
          </w:rPr>
          <w:tab/>
        </w:r>
        <w:r>
          <w:rPr>
            <w:webHidden/>
          </w:rPr>
          <w:fldChar w:fldCharType="begin"/>
        </w:r>
        <w:r>
          <w:rPr>
            <w:webHidden/>
          </w:rPr>
          <w:instrText xml:space="preserve"> PAGEREF _Toc161321811 \h </w:instrText>
        </w:r>
        <w:r>
          <w:rPr>
            <w:webHidden/>
          </w:rPr>
        </w:r>
        <w:r>
          <w:rPr>
            <w:webHidden/>
          </w:rPr>
          <w:fldChar w:fldCharType="separate"/>
        </w:r>
        <w:r w:rsidR="00107556">
          <w:rPr>
            <w:webHidden/>
          </w:rPr>
          <w:t>146</w:t>
        </w:r>
        <w:r>
          <w:rPr>
            <w:webHidden/>
          </w:rPr>
          <w:fldChar w:fldCharType="end"/>
        </w:r>
      </w:hyperlink>
    </w:p>
    <w:p w14:paraId="7DEA7CA2" w14:textId="7E1AF4EE" w:rsidR="008A4B3E" w:rsidRDefault="008A4B3E">
      <w:pPr>
        <w:pStyle w:val="TOC5"/>
        <w:rPr>
          <w:kern w:val="2"/>
          <w:sz w:val="22"/>
          <w14:ligatures w14:val="standardContextual"/>
        </w:rPr>
      </w:pPr>
      <w:hyperlink w:anchor="_Toc161321812" w:history="1">
        <w:r w:rsidRPr="007B4EF3">
          <w:rPr>
            <w:rStyle w:val="Hyperlink"/>
          </w:rPr>
          <w:t>Appendix C – Preferred DTF two-stage managing contractor approach</w:t>
        </w:r>
        <w:r>
          <w:rPr>
            <w:webHidden/>
          </w:rPr>
          <w:tab/>
        </w:r>
        <w:r>
          <w:rPr>
            <w:webHidden/>
          </w:rPr>
          <w:fldChar w:fldCharType="begin"/>
        </w:r>
        <w:r>
          <w:rPr>
            <w:webHidden/>
          </w:rPr>
          <w:instrText xml:space="preserve"> PAGEREF _Toc161321812 \h </w:instrText>
        </w:r>
        <w:r>
          <w:rPr>
            <w:webHidden/>
          </w:rPr>
        </w:r>
        <w:r>
          <w:rPr>
            <w:webHidden/>
          </w:rPr>
          <w:fldChar w:fldCharType="separate"/>
        </w:r>
        <w:r w:rsidR="00107556">
          <w:rPr>
            <w:webHidden/>
          </w:rPr>
          <w:t>150</w:t>
        </w:r>
        <w:r>
          <w:rPr>
            <w:webHidden/>
          </w:rPr>
          <w:fldChar w:fldCharType="end"/>
        </w:r>
      </w:hyperlink>
    </w:p>
    <w:p w14:paraId="27BC5EBF" w14:textId="27CE3EFE" w:rsidR="008A4B3E" w:rsidRDefault="008A4B3E">
      <w:pPr>
        <w:pStyle w:val="TOC5"/>
        <w:rPr>
          <w:kern w:val="2"/>
          <w:sz w:val="22"/>
          <w14:ligatures w14:val="standardContextual"/>
        </w:rPr>
      </w:pPr>
      <w:hyperlink w:anchor="_Toc161321813" w:history="1">
        <w:r w:rsidRPr="007B4EF3">
          <w:rPr>
            <w:rStyle w:val="Hyperlink"/>
          </w:rPr>
          <w:t>Appendix D – Common elements and considerations of the procurement plan</w:t>
        </w:r>
        <w:r>
          <w:rPr>
            <w:webHidden/>
          </w:rPr>
          <w:tab/>
        </w:r>
        <w:r>
          <w:rPr>
            <w:webHidden/>
          </w:rPr>
          <w:fldChar w:fldCharType="begin"/>
        </w:r>
        <w:r>
          <w:rPr>
            <w:webHidden/>
          </w:rPr>
          <w:instrText xml:space="preserve"> PAGEREF _Toc161321813 \h </w:instrText>
        </w:r>
        <w:r>
          <w:rPr>
            <w:webHidden/>
          </w:rPr>
        </w:r>
        <w:r>
          <w:rPr>
            <w:webHidden/>
          </w:rPr>
          <w:fldChar w:fldCharType="separate"/>
        </w:r>
        <w:r w:rsidR="00107556">
          <w:rPr>
            <w:webHidden/>
          </w:rPr>
          <w:t>152</w:t>
        </w:r>
        <w:r>
          <w:rPr>
            <w:webHidden/>
          </w:rPr>
          <w:fldChar w:fldCharType="end"/>
        </w:r>
      </w:hyperlink>
    </w:p>
    <w:p w14:paraId="008B7DA9" w14:textId="50127073" w:rsidR="008A4B3E" w:rsidRDefault="008A4B3E">
      <w:pPr>
        <w:pStyle w:val="TOC5"/>
        <w:rPr>
          <w:kern w:val="2"/>
          <w:sz w:val="22"/>
          <w14:ligatures w14:val="standardContextual"/>
        </w:rPr>
      </w:pPr>
      <w:hyperlink w:anchor="_Toc161321814" w:history="1">
        <w:r w:rsidRPr="007B4EF3">
          <w:rPr>
            <w:rStyle w:val="Hyperlink"/>
          </w:rPr>
          <w:t>Appendix E – Form of invitation to tender</w:t>
        </w:r>
        <w:r>
          <w:rPr>
            <w:webHidden/>
          </w:rPr>
          <w:tab/>
        </w:r>
        <w:r>
          <w:rPr>
            <w:webHidden/>
          </w:rPr>
          <w:fldChar w:fldCharType="begin"/>
        </w:r>
        <w:r>
          <w:rPr>
            <w:webHidden/>
          </w:rPr>
          <w:instrText xml:space="preserve"> PAGEREF _Toc161321814 \h </w:instrText>
        </w:r>
        <w:r>
          <w:rPr>
            <w:webHidden/>
          </w:rPr>
        </w:r>
        <w:r>
          <w:rPr>
            <w:webHidden/>
          </w:rPr>
          <w:fldChar w:fldCharType="separate"/>
        </w:r>
        <w:r w:rsidR="00107556">
          <w:rPr>
            <w:webHidden/>
          </w:rPr>
          <w:t>154</w:t>
        </w:r>
        <w:r>
          <w:rPr>
            <w:webHidden/>
          </w:rPr>
          <w:fldChar w:fldCharType="end"/>
        </w:r>
      </w:hyperlink>
    </w:p>
    <w:p w14:paraId="3E3EF030" w14:textId="02607FAF" w:rsidR="00301FA9" w:rsidRDefault="00A937FD" w:rsidP="004F7954">
      <w:r>
        <w:fldChar w:fldCharType="end"/>
      </w:r>
    </w:p>
    <w:p w14:paraId="3D880108" w14:textId="77777777" w:rsidR="00B52DAC" w:rsidRDefault="00B52DAC" w:rsidP="00B52DAC">
      <w:pPr>
        <w:pStyle w:val="TOCHeading"/>
        <w:rPr>
          <w:noProof/>
          <w:lang w:eastAsia="en-US"/>
        </w:rPr>
      </w:pPr>
      <w:r>
        <w:rPr>
          <w:noProof/>
          <w:lang w:eastAsia="en-US"/>
        </w:rPr>
        <w:t>List of tables</w:t>
      </w:r>
    </w:p>
    <w:p w14:paraId="1DFEA5A7" w14:textId="7E475C05" w:rsidR="00B52DAC" w:rsidRDefault="00B52DAC">
      <w:pPr>
        <w:pStyle w:val="TableofFigures"/>
        <w:tabs>
          <w:tab w:val="right" w:pos="9016"/>
        </w:tabs>
        <w:rPr>
          <w:noProof/>
          <w:color w:val="auto"/>
          <w:sz w:val="22"/>
          <w:szCs w:val="22"/>
        </w:rPr>
      </w:pPr>
      <w:r>
        <w:rPr>
          <w:noProof/>
          <w:lang w:eastAsia="en-US"/>
        </w:rPr>
        <w:fldChar w:fldCharType="begin"/>
      </w:r>
      <w:r>
        <w:rPr>
          <w:noProof/>
          <w:lang w:eastAsia="en-US"/>
        </w:rPr>
        <w:instrText xml:space="preserve"> TOC \h \z \c "Table" </w:instrText>
      </w:r>
      <w:r>
        <w:rPr>
          <w:noProof/>
          <w:lang w:eastAsia="en-US"/>
        </w:rPr>
        <w:fldChar w:fldCharType="separate"/>
      </w:r>
      <w:hyperlink w:anchor="_Toc146097243" w:history="1">
        <w:r w:rsidRPr="00C25239">
          <w:rPr>
            <w:rStyle w:val="Hyperlink"/>
            <w:noProof/>
          </w:rPr>
          <w:t>Table 1 – Public construction procurement principles</w:t>
        </w:r>
        <w:r>
          <w:rPr>
            <w:noProof/>
            <w:webHidden/>
          </w:rPr>
          <w:tab/>
        </w:r>
        <w:r>
          <w:rPr>
            <w:noProof/>
            <w:webHidden/>
          </w:rPr>
          <w:fldChar w:fldCharType="begin"/>
        </w:r>
        <w:r>
          <w:rPr>
            <w:noProof/>
            <w:webHidden/>
          </w:rPr>
          <w:instrText xml:space="preserve"> PAGEREF _Toc146097243 \h </w:instrText>
        </w:r>
        <w:r>
          <w:rPr>
            <w:noProof/>
            <w:webHidden/>
          </w:rPr>
        </w:r>
        <w:r>
          <w:rPr>
            <w:noProof/>
            <w:webHidden/>
          </w:rPr>
          <w:fldChar w:fldCharType="separate"/>
        </w:r>
        <w:r w:rsidR="008A4B3E">
          <w:rPr>
            <w:noProof/>
            <w:webHidden/>
          </w:rPr>
          <w:t>6</w:t>
        </w:r>
        <w:r>
          <w:rPr>
            <w:noProof/>
            <w:webHidden/>
          </w:rPr>
          <w:fldChar w:fldCharType="end"/>
        </w:r>
      </w:hyperlink>
    </w:p>
    <w:p w14:paraId="4D25B209" w14:textId="745F980A" w:rsidR="00B52DAC" w:rsidRDefault="00894832">
      <w:pPr>
        <w:pStyle w:val="TableofFigures"/>
        <w:tabs>
          <w:tab w:val="right" w:pos="9016"/>
        </w:tabs>
        <w:rPr>
          <w:noProof/>
          <w:color w:val="auto"/>
          <w:sz w:val="22"/>
          <w:szCs w:val="22"/>
        </w:rPr>
      </w:pPr>
      <w:hyperlink w:anchor="_Toc146097244" w:history="1">
        <w:r w:rsidR="00B52DAC" w:rsidRPr="00C25239">
          <w:rPr>
            <w:rStyle w:val="Hyperlink"/>
            <w:noProof/>
          </w:rPr>
          <w:t>Table 2 – Subordinate legislation and policy that governs infrastructure procurement</w:t>
        </w:r>
        <w:r w:rsidR="00B52DAC">
          <w:rPr>
            <w:noProof/>
            <w:webHidden/>
          </w:rPr>
          <w:tab/>
        </w:r>
        <w:r w:rsidR="00B52DAC">
          <w:rPr>
            <w:noProof/>
            <w:webHidden/>
          </w:rPr>
          <w:fldChar w:fldCharType="begin"/>
        </w:r>
        <w:r w:rsidR="00B52DAC">
          <w:rPr>
            <w:noProof/>
            <w:webHidden/>
          </w:rPr>
          <w:instrText xml:space="preserve"> PAGEREF _Toc146097244 \h </w:instrText>
        </w:r>
        <w:r w:rsidR="00B52DAC">
          <w:rPr>
            <w:noProof/>
            <w:webHidden/>
          </w:rPr>
        </w:r>
        <w:r w:rsidR="00B52DAC">
          <w:rPr>
            <w:noProof/>
            <w:webHidden/>
          </w:rPr>
          <w:fldChar w:fldCharType="separate"/>
        </w:r>
        <w:r w:rsidR="008A4B3E">
          <w:rPr>
            <w:noProof/>
            <w:webHidden/>
          </w:rPr>
          <w:t>10</w:t>
        </w:r>
        <w:r w:rsidR="00B52DAC">
          <w:rPr>
            <w:noProof/>
            <w:webHidden/>
          </w:rPr>
          <w:fldChar w:fldCharType="end"/>
        </w:r>
      </w:hyperlink>
    </w:p>
    <w:p w14:paraId="3A2BF037" w14:textId="6D30257D" w:rsidR="00B52DAC" w:rsidRDefault="00894832">
      <w:pPr>
        <w:pStyle w:val="TableofFigures"/>
        <w:tabs>
          <w:tab w:val="right" w:pos="9016"/>
        </w:tabs>
        <w:rPr>
          <w:noProof/>
          <w:color w:val="auto"/>
          <w:sz w:val="22"/>
          <w:szCs w:val="22"/>
        </w:rPr>
      </w:pPr>
      <w:hyperlink w:anchor="_Toc146097245" w:history="1">
        <w:r w:rsidR="00B52DAC" w:rsidRPr="00C25239">
          <w:rPr>
            <w:rStyle w:val="Hyperlink"/>
            <w:noProof/>
          </w:rPr>
          <w:t>Table 3 – Project assurance requirements by project value</w:t>
        </w:r>
        <w:r w:rsidR="00B52DAC">
          <w:rPr>
            <w:noProof/>
            <w:webHidden/>
          </w:rPr>
          <w:tab/>
        </w:r>
        <w:r w:rsidR="00B52DAC">
          <w:rPr>
            <w:noProof/>
            <w:webHidden/>
          </w:rPr>
          <w:fldChar w:fldCharType="begin"/>
        </w:r>
        <w:r w:rsidR="00B52DAC">
          <w:rPr>
            <w:noProof/>
            <w:webHidden/>
          </w:rPr>
          <w:instrText xml:space="preserve"> PAGEREF _Toc146097245 \h </w:instrText>
        </w:r>
        <w:r w:rsidR="00B52DAC">
          <w:rPr>
            <w:noProof/>
            <w:webHidden/>
          </w:rPr>
        </w:r>
        <w:r w:rsidR="00B52DAC">
          <w:rPr>
            <w:noProof/>
            <w:webHidden/>
          </w:rPr>
          <w:fldChar w:fldCharType="separate"/>
        </w:r>
        <w:r w:rsidR="008A4B3E">
          <w:rPr>
            <w:noProof/>
            <w:webHidden/>
          </w:rPr>
          <w:t>12</w:t>
        </w:r>
        <w:r w:rsidR="00B52DAC">
          <w:rPr>
            <w:noProof/>
            <w:webHidden/>
          </w:rPr>
          <w:fldChar w:fldCharType="end"/>
        </w:r>
      </w:hyperlink>
    </w:p>
    <w:p w14:paraId="42AB4BDE" w14:textId="0ABC89AF" w:rsidR="00B52DAC" w:rsidRDefault="00894832">
      <w:pPr>
        <w:pStyle w:val="TableofFigures"/>
        <w:tabs>
          <w:tab w:val="right" w:pos="9016"/>
        </w:tabs>
        <w:rPr>
          <w:noProof/>
          <w:color w:val="auto"/>
          <w:sz w:val="22"/>
          <w:szCs w:val="22"/>
        </w:rPr>
      </w:pPr>
      <w:hyperlink w:anchor="_Toc146097246" w:history="1">
        <w:r w:rsidR="00B52DAC" w:rsidRPr="00C25239">
          <w:rPr>
            <w:rStyle w:val="Hyperlink"/>
            <w:noProof/>
          </w:rPr>
          <w:t>Table 4 – The HVHR framework</w:t>
        </w:r>
        <w:r w:rsidR="00B52DAC">
          <w:rPr>
            <w:noProof/>
            <w:webHidden/>
          </w:rPr>
          <w:tab/>
        </w:r>
        <w:r w:rsidR="00B52DAC">
          <w:rPr>
            <w:noProof/>
            <w:webHidden/>
          </w:rPr>
          <w:fldChar w:fldCharType="begin"/>
        </w:r>
        <w:r w:rsidR="00B52DAC">
          <w:rPr>
            <w:noProof/>
            <w:webHidden/>
          </w:rPr>
          <w:instrText xml:space="preserve"> PAGEREF _Toc146097246 \h </w:instrText>
        </w:r>
        <w:r w:rsidR="00B52DAC">
          <w:rPr>
            <w:noProof/>
            <w:webHidden/>
          </w:rPr>
        </w:r>
        <w:r w:rsidR="00B52DAC">
          <w:rPr>
            <w:noProof/>
            <w:webHidden/>
          </w:rPr>
          <w:fldChar w:fldCharType="separate"/>
        </w:r>
        <w:r w:rsidR="008A4B3E">
          <w:rPr>
            <w:noProof/>
            <w:webHidden/>
          </w:rPr>
          <w:t>13</w:t>
        </w:r>
        <w:r w:rsidR="00B52DAC">
          <w:rPr>
            <w:noProof/>
            <w:webHidden/>
          </w:rPr>
          <w:fldChar w:fldCharType="end"/>
        </w:r>
      </w:hyperlink>
    </w:p>
    <w:p w14:paraId="408A4DFA" w14:textId="138805AD" w:rsidR="00B52DAC" w:rsidRDefault="00894832">
      <w:pPr>
        <w:pStyle w:val="TableofFigures"/>
        <w:tabs>
          <w:tab w:val="right" w:pos="9016"/>
        </w:tabs>
        <w:rPr>
          <w:noProof/>
          <w:color w:val="auto"/>
          <w:sz w:val="22"/>
          <w:szCs w:val="22"/>
        </w:rPr>
      </w:pPr>
      <w:hyperlink w:anchor="_Toc146097247" w:history="1">
        <w:r w:rsidR="00B52DAC" w:rsidRPr="00C25239">
          <w:rPr>
            <w:rStyle w:val="Hyperlink"/>
            <w:noProof/>
          </w:rPr>
          <w:t>Table 5 – Types of issues influencing project delivery performance and success</w:t>
        </w:r>
        <w:r w:rsidR="00B52DAC">
          <w:rPr>
            <w:noProof/>
            <w:webHidden/>
          </w:rPr>
          <w:tab/>
        </w:r>
        <w:r w:rsidR="00B52DAC">
          <w:rPr>
            <w:noProof/>
            <w:webHidden/>
          </w:rPr>
          <w:fldChar w:fldCharType="begin"/>
        </w:r>
        <w:r w:rsidR="00B52DAC">
          <w:rPr>
            <w:noProof/>
            <w:webHidden/>
          </w:rPr>
          <w:instrText xml:space="preserve"> PAGEREF _Toc146097247 \h </w:instrText>
        </w:r>
        <w:r w:rsidR="00B52DAC">
          <w:rPr>
            <w:noProof/>
            <w:webHidden/>
          </w:rPr>
        </w:r>
        <w:r w:rsidR="00B52DAC">
          <w:rPr>
            <w:noProof/>
            <w:webHidden/>
          </w:rPr>
          <w:fldChar w:fldCharType="separate"/>
        </w:r>
        <w:r w:rsidR="008A4B3E">
          <w:rPr>
            <w:noProof/>
            <w:webHidden/>
          </w:rPr>
          <w:t>21</w:t>
        </w:r>
        <w:r w:rsidR="00B52DAC">
          <w:rPr>
            <w:noProof/>
            <w:webHidden/>
          </w:rPr>
          <w:fldChar w:fldCharType="end"/>
        </w:r>
      </w:hyperlink>
    </w:p>
    <w:p w14:paraId="14DE50DB" w14:textId="32413919" w:rsidR="00B52DAC" w:rsidRDefault="00894832" w:rsidP="00B52DAC">
      <w:pPr>
        <w:pStyle w:val="TableofFigures"/>
        <w:tabs>
          <w:tab w:val="right" w:pos="9016"/>
        </w:tabs>
        <w:rPr>
          <w:noProof/>
          <w:color w:val="auto"/>
          <w:sz w:val="22"/>
          <w:szCs w:val="22"/>
        </w:rPr>
      </w:pPr>
      <w:hyperlink w:anchor="_Toc146097248" w:history="1">
        <w:r w:rsidR="00B52DAC" w:rsidRPr="00C25239">
          <w:rPr>
            <w:rStyle w:val="Hyperlink"/>
            <w:noProof/>
          </w:rPr>
          <w:t>Table 6 – Common procurement objectives and how they can apply in developing the procurement strategy</w:t>
        </w:r>
        <w:r w:rsidR="00B52DAC">
          <w:rPr>
            <w:noProof/>
            <w:webHidden/>
          </w:rPr>
          <w:tab/>
        </w:r>
        <w:r w:rsidR="00B52DAC">
          <w:rPr>
            <w:noProof/>
            <w:webHidden/>
          </w:rPr>
          <w:fldChar w:fldCharType="begin"/>
        </w:r>
        <w:r w:rsidR="00B52DAC">
          <w:rPr>
            <w:noProof/>
            <w:webHidden/>
          </w:rPr>
          <w:instrText xml:space="preserve"> PAGEREF _Toc146097248 \h </w:instrText>
        </w:r>
        <w:r w:rsidR="00B52DAC">
          <w:rPr>
            <w:noProof/>
            <w:webHidden/>
          </w:rPr>
        </w:r>
        <w:r w:rsidR="00B52DAC">
          <w:rPr>
            <w:noProof/>
            <w:webHidden/>
          </w:rPr>
          <w:fldChar w:fldCharType="separate"/>
        </w:r>
        <w:r w:rsidR="008A4B3E">
          <w:rPr>
            <w:noProof/>
            <w:webHidden/>
          </w:rPr>
          <w:t>24</w:t>
        </w:r>
        <w:r w:rsidR="00B52DAC">
          <w:rPr>
            <w:noProof/>
            <w:webHidden/>
          </w:rPr>
          <w:fldChar w:fldCharType="end"/>
        </w:r>
      </w:hyperlink>
    </w:p>
    <w:p w14:paraId="2FD09DA7" w14:textId="09BBEC4A" w:rsidR="00B52DAC" w:rsidRDefault="00894832">
      <w:pPr>
        <w:pStyle w:val="TableofFigures"/>
        <w:tabs>
          <w:tab w:val="right" w:pos="9016"/>
        </w:tabs>
        <w:rPr>
          <w:noProof/>
          <w:color w:val="auto"/>
          <w:sz w:val="22"/>
          <w:szCs w:val="22"/>
        </w:rPr>
      </w:pPr>
      <w:hyperlink w:anchor="_Toc146097249" w:history="1">
        <w:r w:rsidR="00B52DAC" w:rsidRPr="00C25239">
          <w:rPr>
            <w:rStyle w:val="Hyperlink"/>
            <w:noProof/>
          </w:rPr>
          <w:t>Table 7 – Packaging strategies</w:t>
        </w:r>
        <w:r w:rsidR="00B52DAC">
          <w:rPr>
            <w:noProof/>
            <w:webHidden/>
          </w:rPr>
          <w:tab/>
        </w:r>
        <w:r w:rsidR="00B52DAC">
          <w:rPr>
            <w:noProof/>
            <w:webHidden/>
          </w:rPr>
          <w:fldChar w:fldCharType="begin"/>
        </w:r>
        <w:r w:rsidR="00B52DAC">
          <w:rPr>
            <w:noProof/>
            <w:webHidden/>
          </w:rPr>
          <w:instrText xml:space="preserve"> PAGEREF _Toc146097249 \h </w:instrText>
        </w:r>
        <w:r w:rsidR="00B52DAC">
          <w:rPr>
            <w:noProof/>
            <w:webHidden/>
          </w:rPr>
        </w:r>
        <w:r w:rsidR="00B52DAC">
          <w:rPr>
            <w:noProof/>
            <w:webHidden/>
          </w:rPr>
          <w:fldChar w:fldCharType="separate"/>
        </w:r>
        <w:r w:rsidR="008A4B3E">
          <w:rPr>
            <w:noProof/>
            <w:webHidden/>
          </w:rPr>
          <w:t>32</w:t>
        </w:r>
        <w:r w:rsidR="00B52DAC">
          <w:rPr>
            <w:noProof/>
            <w:webHidden/>
          </w:rPr>
          <w:fldChar w:fldCharType="end"/>
        </w:r>
      </w:hyperlink>
    </w:p>
    <w:p w14:paraId="713CDD11" w14:textId="71B9BB20" w:rsidR="00B52DAC" w:rsidRDefault="00894832">
      <w:pPr>
        <w:pStyle w:val="TableofFigures"/>
        <w:tabs>
          <w:tab w:val="right" w:pos="9016"/>
        </w:tabs>
        <w:rPr>
          <w:noProof/>
          <w:color w:val="auto"/>
          <w:sz w:val="22"/>
          <w:szCs w:val="22"/>
        </w:rPr>
      </w:pPr>
      <w:hyperlink w:anchor="_Toc146097250" w:history="1">
        <w:r w:rsidR="00B52DAC" w:rsidRPr="00C25239">
          <w:rPr>
            <w:rStyle w:val="Hyperlink"/>
            <w:noProof/>
          </w:rPr>
          <w:t>Table 8 – Indicative procurement model alignment to project characteristics</w:t>
        </w:r>
        <w:r w:rsidR="00B52DAC">
          <w:rPr>
            <w:noProof/>
            <w:webHidden/>
          </w:rPr>
          <w:tab/>
        </w:r>
        <w:r w:rsidR="00B52DAC">
          <w:rPr>
            <w:noProof/>
            <w:webHidden/>
          </w:rPr>
          <w:fldChar w:fldCharType="begin"/>
        </w:r>
        <w:r w:rsidR="00B52DAC">
          <w:rPr>
            <w:noProof/>
            <w:webHidden/>
          </w:rPr>
          <w:instrText xml:space="preserve"> PAGEREF _Toc146097250 \h </w:instrText>
        </w:r>
        <w:r w:rsidR="00B52DAC">
          <w:rPr>
            <w:noProof/>
            <w:webHidden/>
          </w:rPr>
        </w:r>
        <w:r w:rsidR="00B52DAC">
          <w:rPr>
            <w:noProof/>
            <w:webHidden/>
          </w:rPr>
          <w:fldChar w:fldCharType="separate"/>
        </w:r>
        <w:r w:rsidR="008A4B3E">
          <w:rPr>
            <w:noProof/>
            <w:webHidden/>
          </w:rPr>
          <w:t>35</w:t>
        </w:r>
        <w:r w:rsidR="00B52DAC">
          <w:rPr>
            <w:noProof/>
            <w:webHidden/>
          </w:rPr>
          <w:fldChar w:fldCharType="end"/>
        </w:r>
      </w:hyperlink>
    </w:p>
    <w:p w14:paraId="46F9C75E" w14:textId="00219160" w:rsidR="00B52DAC" w:rsidRDefault="00894832">
      <w:pPr>
        <w:pStyle w:val="TableofFigures"/>
        <w:tabs>
          <w:tab w:val="right" w:pos="9016"/>
        </w:tabs>
        <w:rPr>
          <w:noProof/>
          <w:color w:val="auto"/>
          <w:sz w:val="22"/>
          <w:szCs w:val="22"/>
        </w:rPr>
      </w:pPr>
      <w:hyperlink w:anchor="_Toc146097251" w:history="1">
        <w:r w:rsidR="00B52DAC" w:rsidRPr="00C25239">
          <w:rPr>
            <w:rStyle w:val="Hyperlink"/>
            <w:noProof/>
          </w:rPr>
          <w:t>Table 9 – Standard procurement model selection criteria (SC)</w:t>
        </w:r>
        <w:r w:rsidR="00B52DAC">
          <w:rPr>
            <w:noProof/>
            <w:webHidden/>
          </w:rPr>
          <w:tab/>
        </w:r>
        <w:r w:rsidR="00B52DAC">
          <w:rPr>
            <w:noProof/>
            <w:webHidden/>
          </w:rPr>
          <w:fldChar w:fldCharType="begin"/>
        </w:r>
        <w:r w:rsidR="00B52DAC">
          <w:rPr>
            <w:noProof/>
            <w:webHidden/>
          </w:rPr>
          <w:instrText xml:space="preserve"> PAGEREF _Toc146097251 \h </w:instrText>
        </w:r>
        <w:r w:rsidR="00B52DAC">
          <w:rPr>
            <w:noProof/>
            <w:webHidden/>
          </w:rPr>
        </w:r>
        <w:r w:rsidR="00B52DAC">
          <w:rPr>
            <w:noProof/>
            <w:webHidden/>
          </w:rPr>
          <w:fldChar w:fldCharType="separate"/>
        </w:r>
        <w:r w:rsidR="008A4B3E">
          <w:rPr>
            <w:noProof/>
            <w:webHidden/>
          </w:rPr>
          <w:t>37</w:t>
        </w:r>
        <w:r w:rsidR="00B52DAC">
          <w:rPr>
            <w:noProof/>
            <w:webHidden/>
          </w:rPr>
          <w:fldChar w:fldCharType="end"/>
        </w:r>
      </w:hyperlink>
    </w:p>
    <w:p w14:paraId="77623417" w14:textId="0A0D6BD7" w:rsidR="00B52DAC" w:rsidRDefault="00894832">
      <w:pPr>
        <w:pStyle w:val="TableofFigures"/>
        <w:tabs>
          <w:tab w:val="right" w:pos="9016"/>
        </w:tabs>
        <w:rPr>
          <w:noProof/>
          <w:color w:val="auto"/>
          <w:sz w:val="22"/>
          <w:szCs w:val="22"/>
        </w:rPr>
      </w:pPr>
      <w:hyperlink w:anchor="_Toc146097252" w:history="1">
        <w:r w:rsidR="00B52DAC" w:rsidRPr="00C25239">
          <w:rPr>
            <w:rStyle w:val="Hyperlink"/>
            <w:noProof/>
          </w:rPr>
          <w:t>Table 10 – Key team governance requirements</w:t>
        </w:r>
        <w:r w:rsidR="00B52DAC">
          <w:rPr>
            <w:noProof/>
            <w:webHidden/>
          </w:rPr>
          <w:tab/>
        </w:r>
        <w:r w:rsidR="00B52DAC">
          <w:rPr>
            <w:noProof/>
            <w:webHidden/>
          </w:rPr>
          <w:fldChar w:fldCharType="begin"/>
        </w:r>
        <w:r w:rsidR="00B52DAC">
          <w:rPr>
            <w:noProof/>
            <w:webHidden/>
          </w:rPr>
          <w:instrText xml:space="preserve"> PAGEREF _Toc146097252 \h </w:instrText>
        </w:r>
        <w:r w:rsidR="00B52DAC">
          <w:rPr>
            <w:noProof/>
            <w:webHidden/>
          </w:rPr>
        </w:r>
        <w:r w:rsidR="00B52DAC">
          <w:rPr>
            <w:noProof/>
            <w:webHidden/>
          </w:rPr>
          <w:fldChar w:fldCharType="separate"/>
        </w:r>
        <w:r w:rsidR="008A4B3E">
          <w:rPr>
            <w:noProof/>
            <w:webHidden/>
          </w:rPr>
          <w:t>78</w:t>
        </w:r>
        <w:r w:rsidR="00B52DAC">
          <w:rPr>
            <w:noProof/>
            <w:webHidden/>
          </w:rPr>
          <w:fldChar w:fldCharType="end"/>
        </w:r>
      </w:hyperlink>
    </w:p>
    <w:p w14:paraId="0D75597C" w14:textId="45579964" w:rsidR="00B52DAC" w:rsidRDefault="00894832">
      <w:pPr>
        <w:pStyle w:val="TableofFigures"/>
        <w:tabs>
          <w:tab w:val="right" w:pos="9016"/>
        </w:tabs>
        <w:rPr>
          <w:noProof/>
          <w:color w:val="auto"/>
          <w:sz w:val="22"/>
          <w:szCs w:val="22"/>
        </w:rPr>
      </w:pPr>
      <w:hyperlink w:anchor="_Toc146097253" w:history="1">
        <w:r w:rsidR="00B52DAC" w:rsidRPr="00C25239">
          <w:rPr>
            <w:rStyle w:val="Hyperlink"/>
            <w:noProof/>
          </w:rPr>
          <w:t>Table 11 – Preparing for procurement phase checklist</w:t>
        </w:r>
        <w:r w:rsidR="00B52DAC">
          <w:rPr>
            <w:noProof/>
            <w:webHidden/>
          </w:rPr>
          <w:tab/>
        </w:r>
        <w:r w:rsidR="00B52DAC">
          <w:rPr>
            <w:noProof/>
            <w:webHidden/>
          </w:rPr>
          <w:fldChar w:fldCharType="begin"/>
        </w:r>
        <w:r w:rsidR="00B52DAC">
          <w:rPr>
            <w:noProof/>
            <w:webHidden/>
          </w:rPr>
          <w:instrText xml:space="preserve"> PAGEREF _Toc146097253 \h </w:instrText>
        </w:r>
        <w:r w:rsidR="00B52DAC">
          <w:rPr>
            <w:noProof/>
            <w:webHidden/>
          </w:rPr>
        </w:r>
        <w:r w:rsidR="00B52DAC">
          <w:rPr>
            <w:noProof/>
            <w:webHidden/>
          </w:rPr>
          <w:fldChar w:fldCharType="separate"/>
        </w:r>
        <w:r w:rsidR="008A4B3E">
          <w:rPr>
            <w:noProof/>
            <w:webHidden/>
          </w:rPr>
          <w:t>89</w:t>
        </w:r>
        <w:r w:rsidR="00B52DAC">
          <w:rPr>
            <w:noProof/>
            <w:webHidden/>
          </w:rPr>
          <w:fldChar w:fldCharType="end"/>
        </w:r>
      </w:hyperlink>
    </w:p>
    <w:p w14:paraId="69F698BA" w14:textId="585FFCEF" w:rsidR="00B52DAC" w:rsidRDefault="00894832">
      <w:pPr>
        <w:pStyle w:val="TableofFigures"/>
        <w:tabs>
          <w:tab w:val="right" w:pos="9016"/>
        </w:tabs>
        <w:rPr>
          <w:noProof/>
          <w:color w:val="auto"/>
          <w:sz w:val="22"/>
          <w:szCs w:val="22"/>
        </w:rPr>
      </w:pPr>
      <w:hyperlink w:anchor="_Toc146097254" w:history="1">
        <w:r w:rsidR="00B52DAC" w:rsidRPr="00C25239">
          <w:rPr>
            <w:rStyle w:val="Hyperlink"/>
            <w:noProof/>
          </w:rPr>
          <w:t>Table 12 – Typical components of tender documents</w:t>
        </w:r>
        <w:r w:rsidR="00B52DAC">
          <w:rPr>
            <w:noProof/>
            <w:webHidden/>
          </w:rPr>
          <w:tab/>
        </w:r>
        <w:r w:rsidR="00B52DAC">
          <w:rPr>
            <w:noProof/>
            <w:webHidden/>
          </w:rPr>
          <w:fldChar w:fldCharType="begin"/>
        </w:r>
        <w:r w:rsidR="00B52DAC">
          <w:rPr>
            <w:noProof/>
            <w:webHidden/>
          </w:rPr>
          <w:instrText xml:space="preserve"> PAGEREF _Toc146097254 \h </w:instrText>
        </w:r>
        <w:r w:rsidR="00B52DAC">
          <w:rPr>
            <w:noProof/>
            <w:webHidden/>
          </w:rPr>
        </w:r>
        <w:r w:rsidR="00B52DAC">
          <w:rPr>
            <w:noProof/>
            <w:webHidden/>
          </w:rPr>
          <w:fldChar w:fldCharType="separate"/>
        </w:r>
        <w:r w:rsidR="008A4B3E">
          <w:rPr>
            <w:noProof/>
            <w:webHidden/>
          </w:rPr>
          <w:t>92</w:t>
        </w:r>
        <w:r w:rsidR="00B52DAC">
          <w:rPr>
            <w:noProof/>
            <w:webHidden/>
          </w:rPr>
          <w:fldChar w:fldCharType="end"/>
        </w:r>
      </w:hyperlink>
    </w:p>
    <w:p w14:paraId="344DF7A1" w14:textId="7A2561AB" w:rsidR="00B52DAC" w:rsidRDefault="00894832">
      <w:pPr>
        <w:pStyle w:val="TableofFigures"/>
        <w:tabs>
          <w:tab w:val="right" w:pos="9016"/>
        </w:tabs>
        <w:rPr>
          <w:noProof/>
          <w:color w:val="auto"/>
          <w:sz w:val="22"/>
          <w:szCs w:val="22"/>
        </w:rPr>
      </w:pPr>
      <w:hyperlink w:anchor="_Toc146097255" w:history="1">
        <w:r w:rsidR="00B52DAC" w:rsidRPr="00C25239">
          <w:rPr>
            <w:rStyle w:val="Hyperlink"/>
            <w:noProof/>
          </w:rPr>
          <w:t>Table 13 – Pre-tender and tender documentation phase checklist</w:t>
        </w:r>
        <w:r w:rsidR="00B52DAC">
          <w:rPr>
            <w:noProof/>
            <w:webHidden/>
          </w:rPr>
          <w:tab/>
        </w:r>
        <w:r w:rsidR="00B52DAC">
          <w:rPr>
            <w:noProof/>
            <w:webHidden/>
          </w:rPr>
          <w:fldChar w:fldCharType="begin"/>
        </w:r>
        <w:r w:rsidR="00B52DAC">
          <w:rPr>
            <w:noProof/>
            <w:webHidden/>
          </w:rPr>
          <w:instrText xml:space="preserve"> PAGEREF _Toc146097255 \h </w:instrText>
        </w:r>
        <w:r w:rsidR="00B52DAC">
          <w:rPr>
            <w:noProof/>
            <w:webHidden/>
          </w:rPr>
        </w:r>
        <w:r w:rsidR="00B52DAC">
          <w:rPr>
            <w:noProof/>
            <w:webHidden/>
          </w:rPr>
          <w:fldChar w:fldCharType="separate"/>
        </w:r>
        <w:r w:rsidR="008A4B3E">
          <w:rPr>
            <w:noProof/>
            <w:webHidden/>
          </w:rPr>
          <w:t>95</w:t>
        </w:r>
        <w:r w:rsidR="00B52DAC">
          <w:rPr>
            <w:noProof/>
            <w:webHidden/>
          </w:rPr>
          <w:fldChar w:fldCharType="end"/>
        </w:r>
      </w:hyperlink>
    </w:p>
    <w:p w14:paraId="2E21B015" w14:textId="103CA8E8" w:rsidR="00B52DAC" w:rsidRDefault="00894832">
      <w:pPr>
        <w:pStyle w:val="TableofFigures"/>
        <w:tabs>
          <w:tab w:val="right" w:pos="9016"/>
        </w:tabs>
        <w:rPr>
          <w:noProof/>
          <w:color w:val="auto"/>
          <w:sz w:val="22"/>
          <w:szCs w:val="22"/>
        </w:rPr>
      </w:pPr>
      <w:hyperlink w:anchor="_Toc146097256" w:history="1">
        <w:r w:rsidR="00B52DAC" w:rsidRPr="00C25239">
          <w:rPr>
            <w:rStyle w:val="Hyperlink"/>
            <w:noProof/>
          </w:rPr>
          <w:t>Table 14 – Tender phase checklist</w:t>
        </w:r>
        <w:r w:rsidR="00B52DAC">
          <w:rPr>
            <w:noProof/>
            <w:webHidden/>
          </w:rPr>
          <w:tab/>
        </w:r>
        <w:r w:rsidR="00B52DAC">
          <w:rPr>
            <w:noProof/>
            <w:webHidden/>
          </w:rPr>
          <w:fldChar w:fldCharType="begin"/>
        </w:r>
        <w:r w:rsidR="00B52DAC">
          <w:rPr>
            <w:noProof/>
            <w:webHidden/>
          </w:rPr>
          <w:instrText xml:space="preserve"> PAGEREF _Toc146097256 \h </w:instrText>
        </w:r>
        <w:r w:rsidR="00B52DAC">
          <w:rPr>
            <w:noProof/>
            <w:webHidden/>
          </w:rPr>
        </w:r>
        <w:r w:rsidR="00B52DAC">
          <w:rPr>
            <w:noProof/>
            <w:webHidden/>
          </w:rPr>
          <w:fldChar w:fldCharType="separate"/>
        </w:r>
        <w:r w:rsidR="008A4B3E">
          <w:rPr>
            <w:noProof/>
            <w:webHidden/>
          </w:rPr>
          <w:t>105</w:t>
        </w:r>
        <w:r w:rsidR="00B52DAC">
          <w:rPr>
            <w:noProof/>
            <w:webHidden/>
          </w:rPr>
          <w:fldChar w:fldCharType="end"/>
        </w:r>
      </w:hyperlink>
    </w:p>
    <w:p w14:paraId="5D6CF23D" w14:textId="67412111" w:rsidR="00B52DAC" w:rsidRDefault="00894832">
      <w:pPr>
        <w:pStyle w:val="TableofFigures"/>
        <w:tabs>
          <w:tab w:val="right" w:pos="9016"/>
        </w:tabs>
        <w:rPr>
          <w:noProof/>
          <w:color w:val="auto"/>
          <w:sz w:val="22"/>
          <w:szCs w:val="22"/>
        </w:rPr>
      </w:pPr>
      <w:hyperlink w:anchor="_Toc146097257" w:history="1">
        <w:r w:rsidR="00B52DAC" w:rsidRPr="00C25239">
          <w:rPr>
            <w:rStyle w:val="Hyperlink"/>
            <w:noProof/>
          </w:rPr>
          <w:t>Table 15 – Tender evaluation phase checklist</w:t>
        </w:r>
        <w:r w:rsidR="00B52DAC">
          <w:rPr>
            <w:noProof/>
            <w:webHidden/>
          </w:rPr>
          <w:tab/>
        </w:r>
        <w:r w:rsidR="00B52DAC">
          <w:rPr>
            <w:noProof/>
            <w:webHidden/>
          </w:rPr>
          <w:fldChar w:fldCharType="begin"/>
        </w:r>
        <w:r w:rsidR="00B52DAC">
          <w:rPr>
            <w:noProof/>
            <w:webHidden/>
          </w:rPr>
          <w:instrText xml:space="preserve"> PAGEREF _Toc146097257 \h </w:instrText>
        </w:r>
        <w:r w:rsidR="00B52DAC">
          <w:rPr>
            <w:noProof/>
            <w:webHidden/>
          </w:rPr>
        </w:r>
        <w:r w:rsidR="00B52DAC">
          <w:rPr>
            <w:noProof/>
            <w:webHidden/>
          </w:rPr>
          <w:fldChar w:fldCharType="separate"/>
        </w:r>
        <w:r w:rsidR="008A4B3E">
          <w:rPr>
            <w:noProof/>
            <w:webHidden/>
          </w:rPr>
          <w:t>115</w:t>
        </w:r>
        <w:r w:rsidR="00B52DAC">
          <w:rPr>
            <w:noProof/>
            <w:webHidden/>
          </w:rPr>
          <w:fldChar w:fldCharType="end"/>
        </w:r>
      </w:hyperlink>
    </w:p>
    <w:p w14:paraId="3795FB7B" w14:textId="04B01AED" w:rsidR="00B52DAC" w:rsidRDefault="00894832">
      <w:pPr>
        <w:pStyle w:val="TableofFigures"/>
        <w:tabs>
          <w:tab w:val="right" w:pos="9016"/>
        </w:tabs>
        <w:rPr>
          <w:noProof/>
          <w:color w:val="auto"/>
          <w:sz w:val="22"/>
          <w:szCs w:val="22"/>
        </w:rPr>
      </w:pPr>
      <w:hyperlink w:anchor="_Toc146097258" w:history="1">
        <w:r w:rsidR="00B52DAC" w:rsidRPr="00C25239">
          <w:rPr>
            <w:rStyle w:val="Hyperlink"/>
            <w:noProof/>
          </w:rPr>
          <w:t>Table 16 – Negotiation phase checklist</w:t>
        </w:r>
        <w:r w:rsidR="00B52DAC">
          <w:rPr>
            <w:noProof/>
            <w:webHidden/>
          </w:rPr>
          <w:tab/>
        </w:r>
        <w:r w:rsidR="00B52DAC">
          <w:rPr>
            <w:noProof/>
            <w:webHidden/>
          </w:rPr>
          <w:fldChar w:fldCharType="begin"/>
        </w:r>
        <w:r w:rsidR="00B52DAC">
          <w:rPr>
            <w:noProof/>
            <w:webHidden/>
          </w:rPr>
          <w:instrText xml:space="preserve"> PAGEREF _Toc146097258 \h </w:instrText>
        </w:r>
        <w:r w:rsidR="00B52DAC">
          <w:rPr>
            <w:noProof/>
            <w:webHidden/>
          </w:rPr>
        </w:r>
        <w:r w:rsidR="00B52DAC">
          <w:rPr>
            <w:noProof/>
            <w:webHidden/>
          </w:rPr>
          <w:fldChar w:fldCharType="separate"/>
        </w:r>
        <w:r w:rsidR="008A4B3E">
          <w:rPr>
            <w:noProof/>
            <w:webHidden/>
          </w:rPr>
          <w:t>120</w:t>
        </w:r>
        <w:r w:rsidR="00B52DAC">
          <w:rPr>
            <w:noProof/>
            <w:webHidden/>
          </w:rPr>
          <w:fldChar w:fldCharType="end"/>
        </w:r>
      </w:hyperlink>
    </w:p>
    <w:p w14:paraId="0FDD780D" w14:textId="3BBFF8A5" w:rsidR="00B52DAC" w:rsidRDefault="00894832">
      <w:pPr>
        <w:pStyle w:val="TableofFigures"/>
        <w:tabs>
          <w:tab w:val="right" w:pos="9016"/>
        </w:tabs>
        <w:rPr>
          <w:noProof/>
          <w:color w:val="auto"/>
          <w:sz w:val="22"/>
          <w:szCs w:val="22"/>
        </w:rPr>
      </w:pPr>
      <w:hyperlink w:anchor="_Toc146097259" w:history="1">
        <w:r w:rsidR="00B52DAC" w:rsidRPr="00C25239">
          <w:rPr>
            <w:rStyle w:val="Hyperlink"/>
            <w:noProof/>
          </w:rPr>
          <w:t>Table 17 – Approvals and contract award phase checklist</w:t>
        </w:r>
        <w:r w:rsidR="00B52DAC">
          <w:rPr>
            <w:noProof/>
            <w:webHidden/>
          </w:rPr>
          <w:tab/>
        </w:r>
        <w:r w:rsidR="00B52DAC">
          <w:rPr>
            <w:noProof/>
            <w:webHidden/>
          </w:rPr>
          <w:fldChar w:fldCharType="begin"/>
        </w:r>
        <w:r w:rsidR="00B52DAC">
          <w:rPr>
            <w:noProof/>
            <w:webHidden/>
          </w:rPr>
          <w:instrText xml:space="preserve"> PAGEREF _Toc146097259 \h </w:instrText>
        </w:r>
        <w:r w:rsidR="00B52DAC">
          <w:rPr>
            <w:noProof/>
            <w:webHidden/>
          </w:rPr>
        </w:r>
        <w:r w:rsidR="00B52DAC">
          <w:rPr>
            <w:noProof/>
            <w:webHidden/>
          </w:rPr>
          <w:fldChar w:fldCharType="separate"/>
        </w:r>
        <w:r w:rsidR="008A4B3E">
          <w:rPr>
            <w:noProof/>
            <w:webHidden/>
          </w:rPr>
          <w:t>124</w:t>
        </w:r>
        <w:r w:rsidR="00B52DAC">
          <w:rPr>
            <w:noProof/>
            <w:webHidden/>
          </w:rPr>
          <w:fldChar w:fldCharType="end"/>
        </w:r>
      </w:hyperlink>
    </w:p>
    <w:p w14:paraId="3E534072" w14:textId="34728BFD" w:rsidR="00B52DAC" w:rsidRDefault="00894832">
      <w:pPr>
        <w:pStyle w:val="TableofFigures"/>
        <w:tabs>
          <w:tab w:val="right" w:pos="9016"/>
        </w:tabs>
        <w:rPr>
          <w:noProof/>
          <w:color w:val="auto"/>
          <w:sz w:val="22"/>
          <w:szCs w:val="22"/>
        </w:rPr>
      </w:pPr>
      <w:hyperlink w:anchor="_Toc146097260" w:history="1">
        <w:r w:rsidR="00B52DAC" w:rsidRPr="00C25239">
          <w:rPr>
            <w:rStyle w:val="Hyperlink"/>
            <w:noProof/>
          </w:rPr>
          <w:t>Table 18 – Common elements of the procurement plan</w:t>
        </w:r>
        <w:r w:rsidR="00B52DAC">
          <w:rPr>
            <w:noProof/>
            <w:webHidden/>
          </w:rPr>
          <w:tab/>
        </w:r>
        <w:r w:rsidR="00B52DAC">
          <w:rPr>
            <w:noProof/>
            <w:webHidden/>
          </w:rPr>
          <w:fldChar w:fldCharType="begin"/>
        </w:r>
        <w:r w:rsidR="00B52DAC">
          <w:rPr>
            <w:noProof/>
            <w:webHidden/>
          </w:rPr>
          <w:instrText xml:space="preserve"> PAGEREF _Toc146097260 \h </w:instrText>
        </w:r>
        <w:r w:rsidR="00B52DAC">
          <w:rPr>
            <w:noProof/>
            <w:webHidden/>
          </w:rPr>
        </w:r>
        <w:r w:rsidR="00B52DAC">
          <w:rPr>
            <w:noProof/>
            <w:webHidden/>
          </w:rPr>
          <w:fldChar w:fldCharType="separate"/>
        </w:r>
        <w:r w:rsidR="008A4B3E">
          <w:rPr>
            <w:noProof/>
            <w:webHidden/>
          </w:rPr>
          <w:t>153</w:t>
        </w:r>
        <w:r w:rsidR="00B52DAC">
          <w:rPr>
            <w:noProof/>
            <w:webHidden/>
          </w:rPr>
          <w:fldChar w:fldCharType="end"/>
        </w:r>
      </w:hyperlink>
    </w:p>
    <w:p w14:paraId="1ADC3852" w14:textId="77D2E029" w:rsidR="00B52DAC" w:rsidRDefault="00894832">
      <w:pPr>
        <w:pStyle w:val="TableofFigures"/>
        <w:tabs>
          <w:tab w:val="right" w:pos="9016"/>
        </w:tabs>
        <w:rPr>
          <w:noProof/>
          <w:color w:val="auto"/>
          <w:sz w:val="22"/>
          <w:szCs w:val="22"/>
        </w:rPr>
      </w:pPr>
      <w:hyperlink w:anchor="_Toc146097261" w:history="1">
        <w:r w:rsidR="00B52DAC" w:rsidRPr="00C25239">
          <w:rPr>
            <w:rStyle w:val="Hyperlink"/>
            <w:noProof/>
          </w:rPr>
          <w:t>Table 19 – Types of invitations to tender</w:t>
        </w:r>
        <w:r w:rsidR="00B52DAC">
          <w:rPr>
            <w:noProof/>
            <w:webHidden/>
          </w:rPr>
          <w:tab/>
        </w:r>
        <w:r w:rsidR="00B52DAC">
          <w:rPr>
            <w:noProof/>
            <w:webHidden/>
          </w:rPr>
          <w:fldChar w:fldCharType="begin"/>
        </w:r>
        <w:r w:rsidR="00B52DAC">
          <w:rPr>
            <w:noProof/>
            <w:webHidden/>
          </w:rPr>
          <w:instrText xml:space="preserve"> PAGEREF _Toc146097261 \h </w:instrText>
        </w:r>
        <w:r w:rsidR="00B52DAC">
          <w:rPr>
            <w:noProof/>
            <w:webHidden/>
          </w:rPr>
        </w:r>
        <w:r w:rsidR="00B52DAC">
          <w:rPr>
            <w:noProof/>
            <w:webHidden/>
          </w:rPr>
          <w:fldChar w:fldCharType="separate"/>
        </w:r>
        <w:r w:rsidR="008A4B3E">
          <w:rPr>
            <w:noProof/>
            <w:webHidden/>
          </w:rPr>
          <w:t>155</w:t>
        </w:r>
        <w:r w:rsidR="00B52DAC">
          <w:rPr>
            <w:noProof/>
            <w:webHidden/>
          </w:rPr>
          <w:fldChar w:fldCharType="end"/>
        </w:r>
      </w:hyperlink>
    </w:p>
    <w:p w14:paraId="7F4890A2" w14:textId="0D6972A4" w:rsidR="00B52DAC" w:rsidRDefault="00B52DAC" w:rsidP="00B52DAC">
      <w:pPr>
        <w:rPr>
          <w:noProof/>
          <w:lang w:eastAsia="en-US"/>
        </w:rPr>
      </w:pPr>
      <w:r>
        <w:rPr>
          <w:noProof/>
          <w:lang w:eastAsia="en-US"/>
        </w:rPr>
        <w:fldChar w:fldCharType="end"/>
      </w:r>
    </w:p>
    <w:p w14:paraId="1DE19F99" w14:textId="77777777" w:rsidR="00B52DAC" w:rsidRDefault="00B52DAC" w:rsidP="00B52DAC">
      <w:pPr>
        <w:pStyle w:val="TOCHeading"/>
        <w:pageBreakBefore/>
        <w:rPr>
          <w:noProof/>
          <w:lang w:eastAsia="en-US"/>
        </w:rPr>
      </w:pPr>
      <w:r>
        <w:rPr>
          <w:noProof/>
          <w:lang w:eastAsia="en-US"/>
        </w:rPr>
        <w:t>List of figures</w:t>
      </w:r>
    </w:p>
    <w:p w14:paraId="19755F57" w14:textId="2DCDD250" w:rsidR="00383589" w:rsidRDefault="00B52DAC">
      <w:pPr>
        <w:pStyle w:val="TableofFigures"/>
        <w:tabs>
          <w:tab w:val="right" w:pos="9016"/>
        </w:tabs>
        <w:rPr>
          <w:noProof/>
          <w:color w:val="auto"/>
          <w:kern w:val="2"/>
          <w:sz w:val="22"/>
          <w:szCs w:val="22"/>
          <w14:ligatures w14:val="standardContextual"/>
        </w:rPr>
      </w:pPr>
      <w:r>
        <w:rPr>
          <w:noProof/>
          <w:lang w:eastAsia="en-US"/>
        </w:rPr>
        <w:fldChar w:fldCharType="begin"/>
      </w:r>
      <w:r>
        <w:rPr>
          <w:noProof/>
          <w:lang w:eastAsia="en-US"/>
        </w:rPr>
        <w:instrText xml:space="preserve"> TOC \h \z \c "Figure" </w:instrText>
      </w:r>
      <w:r>
        <w:rPr>
          <w:noProof/>
          <w:lang w:eastAsia="en-US"/>
        </w:rPr>
        <w:fldChar w:fldCharType="separate"/>
      </w:r>
      <w:hyperlink w:anchor="_Toc160457770" w:history="1">
        <w:r w:rsidR="00383589" w:rsidRPr="003233EE">
          <w:rPr>
            <w:rStyle w:val="Hyperlink"/>
            <w:noProof/>
          </w:rPr>
          <w:t>Figure 1 – Document overview</w:t>
        </w:r>
        <w:r w:rsidR="00383589">
          <w:rPr>
            <w:noProof/>
            <w:webHidden/>
          </w:rPr>
          <w:tab/>
        </w:r>
        <w:r w:rsidR="00383589">
          <w:rPr>
            <w:noProof/>
            <w:webHidden/>
          </w:rPr>
          <w:fldChar w:fldCharType="begin"/>
        </w:r>
        <w:r w:rsidR="00383589">
          <w:rPr>
            <w:noProof/>
            <w:webHidden/>
          </w:rPr>
          <w:instrText xml:space="preserve"> PAGEREF _Toc160457770 \h </w:instrText>
        </w:r>
        <w:r w:rsidR="00383589">
          <w:rPr>
            <w:noProof/>
            <w:webHidden/>
          </w:rPr>
        </w:r>
        <w:r w:rsidR="00383589">
          <w:rPr>
            <w:noProof/>
            <w:webHidden/>
          </w:rPr>
          <w:fldChar w:fldCharType="separate"/>
        </w:r>
        <w:r w:rsidR="008A4B3E">
          <w:rPr>
            <w:noProof/>
            <w:webHidden/>
          </w:rPr>
          <w:t>1</w:t>
        </w:r>
        <w:r w:rsidR="00383589">
          <w:rPr>
            <w:noProof/>
            <w:webHidden/>
          </w:rPr>
          <w:fldChar w:fldCharType="end"/>
        </w:r>
      </w:hyperlink>
    </w:p>
    <w:p w14:paraId="46D752BD" w14:textId="377B3F2F" w:rsidR="00383589" w:rsidRDefault="00894832">
      <w:pPr>
        <w:pStyle w:val="TableofFigures"/>
        <w:tabs>
          <w:tab w:val="right" w:pos="9016"/>
        </w:tabs>
        <w:rPr>
          <w:noProof/>
          <w:color w:val="auto"/>
          <w:kern w:val="2"/>
          <w:sz w:val="22"/>
          <w:szCs w:val="22"/>
          <w14:ligatures w14:val="standardContextual"/>
        </w:rPr>
      </w:pPr>
      <w:hyperlink w:anchor="_Toc160457771" w:history="1">
        <w:r w:rsidR="00383589" w:rsidRPr="003233EE">
          <w:rPr>
            <w:rStyle w:val="Hyperlink"/>
            <w:noProof/>
          </w:rPr>
          <w:t>Figure 2 – The investment lifecycle</w:t>
        </w:r>
        <w:r w:rsidR="00383589">
          <w:rPr>
            <w:noProof/>
            <w:webHidden/>
          </w:rPr>
          <w:tab/>
        </w:r>
        <w:r w:rsidR="00383589">
          <w:rPr>
            <w:noProof/>
            <w:webHidden/>
          </w:rPr>
          <w:fldChar w:fldCharType="begin"/>
        </w:r>
        <w:r w:rsidR="00383589">
          <w:rPr>
            <w:noProof/>
            <w:webHidden/>
          </w:rPr>
          <w:instrText xml:space="preserve"> PAGEREF _Toc160457771 \h </w:instrText>
        </w:r>
        <w:r w:rsidR="00383589">
          <w:rPr>
            <w:noProof/>
            <w:webHidden/>
          </w:rPr>
        </w:r>
        <w:r w:rsidR="00383589">
          <w:rPr>
            <w:noProof/>
            <w:webHidden/>
          </w:rPr>
          <w:fldChar w:fldCharType="separate"/>
        </w:r>
        <w:r w:rsidR="008A4B3E">
          <w:rPr>
            <w:noProof/>
            <w:webHidden/>
          </w:rPr>
          <w:t>2</w:t>
        </w:r>
        <w:r w:rsidR="00383589">
          <w:rPr>
            <w:noProof/>
            <w:webHidden/>
          </w:rPr>
          <w:fldChar w:fldCharType="end"/>
        </w:r>
      </w:hyperlink>
    </w:p>
    <w:p w14:paraId="4D8DF719" w14:textId="70C60D7E" w:rsidR="00383589" w:rsidRDefault="00894832">
      <w:pPr>
        <w:pStyle w:val="TableofFigures"/>
        <w:tabs>
          <w:tab w:val="right" w:pos="9016"/>
        </w:tabs>
        <w:rPr>
          <w:noProof/>
          <w:color w:val="auto"/>
          <w:kern w:val="2"/>
          <w:sz w:val="22"/>
          <w:szCs w:val="22"/>
          <w14:ligatures w14:val="standardContextual"/>
        </w:rPr>
      </w:pPr>
      <w:hyperlink w:anchor="_Toc160457772" w:history="1">
        <w:r w:rsidR="00383589" w:rsidRPr="003233EE">
          <w:rPr>
            <w:rStyle w:val="Hyperlink"/>
            <w:noProof/>
          </w:rPr>
          <w:t>Figure 3 – Infrastructure procurement framework</w:t>
        </w:r>
        <w:r w:rsidR="00383589">
          <w:rPr>
            <w:noProof/>
            <w:webHidden/>
          </w:rPr>
          <w:tab/>
        </w:r>
        <w:r w:rsidR="00383589">
          <w:rPr>
            <w:noProof/>
            <w:webHidden/>
          </w:rPr>
          <w:fldChar w:fldCharType="begin"/>
        </w:r>
        <w:r w:rsidR="00383589">
          <w:rPr>
            <w:noProof/>
            <w:webHidden/>
          </w:rPr>
          <w:instrText xml:space="preserve"> PAGEREF _Toc160457772 \h </w:instrText>
        </w:r>
        <w:r w:rsidR="00383589">
          <w:rPr>
            <w:noProof/>
            <w:webHidden/>
          </w:rPr>
        </w:r>
        <w:r w:rsidR="00383589">
          <w:rPr>
            <w:noProof/>
            <w:webHidden/>
          </w:rPr>
          <w:fldChar w:fldCharType="separate"/>
        </w:r>
        <w:r w:rsidR="008A4B3E">
          <w:rPr>
            <w:noProof/>
            <w:webHidden/>
          </w:rPr>
          <w:t>3</w:t>
        </w:r>
        <w:r w:rsidR="00383589">
          <w:rPr>
            <w:noProof/>
            <w:webHidden/>
          </w:rPr>
          <w:fldChar w:fldCharType="end"/>
        </w:r>
      </w:hyperlink>
    </w:p>
    <w:p w14:paraId="5A4D5D23" w14:textId="23E7E15E" w:rsidR="00383589" w:rsidRDefault="00894832">
      <w:pPr>
        <w:pStyle w:val="TableofFigures"/>
        <w:tabs>
          <w:tab w:val="right" w:pos="9016"/>
        </w:tabs>
        <w:rPr>
          <w:noProof/>
          <w:color w:val="auto"/>
          <w:kern w:val="2"/>
          <w:sz w:val="22"/>
          <w:szCs w:val="22"/>
          <w14:ligatures w14:val="standardContextual"/>
        </w:rPr>
      </w:pPr>
      <w:hyperlink w:anchor="_Toc160457773" w:history="1">
        <w:r w:rsidR="00383589" w:rsidRPr="003233EE">
          <w:rPr>
            <w:rStyle w:val="Hyperlink"/>
            <w:noProof/>
          </w:rPr>
          <w:t>Figure 4 – Chapter 1 overview</w:t>
        </w:r>
        <w:r w:rsidR="00383589">
          <w:rPr>
            <w:noProof/>
            <w:webHidden/>
          </w:rPr>
          <w:tab/>
        </w:r>
        <w:r w:rsidR="00383589">
          <w:rPr>
            <w:noProof/>
            <w:webHidden/>
          </w:rPr>
          <w:fldChar w:fldCharType="begin"/>
        </w:r>
        <w:r w:rsidR="00383589">
          <w:rPr>
            <w:noProof/>
            <w:webHidden/>
          </w:rPr>
          <w:instrText xml:space="preserve"> PAGEREF _Toc160457773 \h </w:instrText>
        </w:r>
        <w:r w:rsidR="00383589">
          <w:rPr>
            <w:noProof/>
            <w:webHidden/>
          </w:rPr>
        </w:r>
        <w:r w:rsidR="00383589">
          <w:rPr>
            <w:noProof/>
            <w:webHidden/>
          </w:rPr>
          <w:fldChar w:fldCharType="separate"/>
        </w:r>
        <w:r w:rsidR="008A4B3E">
          <w:rPr>
            <w:noProof/>
            <w:webHidden/>
          </w:rPr>
          <w:t>4</w:t>
        </w:r>
        <w:r w:rsidR="00383589">
          <w:rPr>
            <w:noProof/>
            <w:webHidden/>
          </w:rPr>
          <w:fldChar w:fldCharType="end"/>
        </w:r>
      </w:hyperlink>
    </w:p>
    <w:p w14:paraId="64FAE67F" w14:textId="312CDF6A" w:rsidR="00383589" w:rsidRDefault="00894832">
      <w:pPr>
        <w:pStyle w:val="TableofFigures"/>
        <w:tabs>
          <w:tab w:val="right" w:pos="9016"/>
        </w:tabs>
        <w:rPr>
          <w:noProof/>
          <w:color w:val="auto"/>
          <w:kern w:val="2"/>
          <w:sz w:val="22"/>
          <w:szCs w:val="22"/>
          <w14:ligatures w14:val="standardContextual"/>
        </w:rPr>
      </w:pPr>
      <w:hyperlink w:anchor="_Toc160457774" w:history="1">
        <w:r w:rsidR="00383589" w:rsidRPr="003233EE">
          <w:rPr>
            <w:rStyle w:val="Hyperlink"/>
            <w:noProof/>
          </w:rPr>
          <w:t>Figure 5 – Primary legislation for infrastructure procurement</w:t>
        </w:r>
        <w:r w:rsidR="00383589">
          <w:rPr>
            <w:noProof/>
            <w:webHidden/>
          </w:rPr>
          <w:tab/>
        </w:r>
        <w:r w:rsidR="00383589">
          <w:rPr>
            <w:noProof/>
            <w:webHidden/>
          </w:rPr>
          <w:fldChar w:fldCharType="begin"/>
        </w:r>
        <w:r w:rsidR="00383589">
          <w:rPr>
            <w:noProof/>
            <w:webHidden/>
          </w:rPr>
          <w:instrText xml:space="preserve"> PAGEREF _Toc160457774 \h </w:instrText>
        </w:r>
        <w:r w:rsidR="00383589">
          <w:rPr>
            <w:noProof/>
            <w:webHidden/>
          </w:rPr>
        </w:r>
        <w:r w:rsidR="00383589">
          <w:rPr>
            <w:noProof/>
            <w:webHidden/>
          </w:rPr>
          <w:fldChar w:fldCharType="separate"/>
        </w:r>
        <w:r w:rsidR="008A4B3E">
          <w:rPr>
            <w:noProof/>
            <w:webHidden/>
          </w:rPr>
          <w:t>10</w:t>
        </w:r>
        <w:r w:rsidR="00383589">
          <w:rPr>
            <w:noProof/>
            <w:webHidden/>
          </w:rPr>
          <w:fldChar w:fldCharType="end"/>
        </w:r>
      </w:hyperlink>
    </w:p>
    <w:p w14:paraId="08698DBA" w14:textId="56BDC617" w:rsidR="00383589" w:rsidRDefault="00894832">
      <w:pPr>
        <w:pStyle w:val="TableofFigures"/>
        <w:tabs>
          <w:tab w:val="right" w:pos="9016"/>
        </w:tabs>
        <w:rPr>
          <w:noProof/>
          <w:color w:val="auto"/>
          <w:kern w:val="2"/>
          <w:sz w:val="22"/>
          <w:szCs w:val="22"/>
          <w14:ligatures w14:val="standardContextual"/>
        </w:rPr>
      </w:pPr>
      <w:hyperlink w:anchor="_Toc160457775" w:history="1">
        <w:r w:rsidR="00383589" w:rsidRPr="003233EE">
          <w:rPr>
            <w:rStyle w:val="Hyperlink"/>
            <w:noProof/>
          </w:rPr>
          <w:t>Figure 6 – Project lifecycle and HVHR project assurance process</w:t>
        </w:r>
        <w:r w:rsidR="00383589">
          <w:rPr>
            <w:noProof/>
            <w:webHidden/>
          </w:rPr>
          <w:tab/>
        </w:r>
        <w:r w:rsidR="00383589">
          <w:rPr>
            <w:noProof/>
            <w:webHidden/>
          </w:rPr>
          <w:fldChar w:fldCharType="begin"/>
        </w:r>
        <w:r w:rsidR="00383589">
          <w:rPr>
            <w:noProof/>
            <w:webHidden/>
          </w:rPr>
          <w:instrText xml:space="preserve"> PAGEREF _Toc160457775 \h </w:instrText>
        </w:r>
        <w:r w:rsidR="00383589">
          <w:rPr>
            <w:noProof/>
            <w:webHidden/>
          </w:rPr>
        </w:r>
        <w:r w:rsidR="00383589">
          <w:rPr>
            <w:noProof/>
            <w:webHidden/>
          </w:rPr>
          <w:fldChar w:fldCharType="separate"/>
        </w:r>
        <w:r w:rsidR="008A4B3E">
          <w:rPr>
            <w:noProof/>
            <w:webHidden/>
          </w:rPr>
          <w:t>14</w:t>
        </w:r>
        <w:r w:rsidR="00383589">
          <w:rPr>
            <w:noProof/>
            <w:webHidden/>
          </w:rPr>
          <w:fldChar w:fldCharType="end"/>
        </w:r>
      </w:hyperlink>
    </w:p>
    <w:p w14:paraId="546EC826" w14:textId="4AEC680B" w:rsidR="00383589" w:rsidRDefault="00894832">
      <w:pPr>
        <w:pStyle w:val="TableofFigures"/>
        <w:tabs>
          <w:tab w:val="right" w:pos="9016"/>
        </w:tabs>
        <w:rPr>
          <w:noProof/>
          <w:color w:val="auto"/>
          <w:kern w:val="2"/>
          <w:sz w:val="22"/>
          <w:szCs w:val="22"/>
          <w14:ligatures w14:val="standardContextual"/>
        </w:rPr>
      </w:pPr>
      <w:hyperlink w:anchor="_Toc160457776" w:history="1">
        <w:r w:rsidR="00383589" w:rsidRPr="003233EE">
          <w:rPr>
            <w:rStyle w:val="Hyperlink"/>
            <w:noProof/>
          </w:rPr>
          <w:t>Figure 7 – Chapter 2 overview</w:t>
        </w:r>
        <w:r w:rsidR="00383589">
          <w:rPr>
            <w:noProof/>
            <w:webHidden/>
          </w:rPr>
          <w:tab/>
        </w:r>
        <w:r w:rsidR="00383589">
          <w:rPr>
            <w:noProof/>
            <w:webHidden/>
          </w:rPr>
          <w:fldChar w:fldCharType="begin"/>
        </w:r>
        <w:r w:rsidR="00383589">
          <w:rPr>
            <w:noProof/>
            <w:webHidden/>
          </w:rPr>
          <w:instrText xml:space="preserve"> PAGEREF _Toc160457776 \h </w:instrText>
        </w:r>
        <w:r w:rsidR="00383589">
          <w:rPr>
            <w:noProof/>
            <w:webHidden/>
          </w:rPr>
        </w:r>
        <w:r w:rsidR="00383589">
          <w:rPr>
            <w:noProof/>
            <w:webHidden/>
          </w:rPr>
          <w:fldChar w:fldCharType="separate"/>
        </w:r>
        <w:r w:rsidR="008A4B3E">
          <w:rPr>
            <w:noProof/>
            <w:webHidden/>
          </w:rPr>
          <w:t>15</w:t>
        </w:r>
        <w:r w:rsidR="00383589">
          <w:rPr>
            <w:noProof/>
            <w:webHidden/>
          </w:rPr>
          <w:fldChar w:fldCharType="end"/>
        </w:r>
      </w:hyperlink>
    </w:p>
    <w:p w14:paraId="390140C2" w14:textId="0B8564D9" w:rsidR="00383589" w:rsidRDefault="00894832">
      <w:pPr>
        <w:pStyle w:val="TableofFigures"/>
        <w:tabs>
          <w:tab w:val="right" w:pos="9016"/>
        </w:tabs>
        <w:rPr>
          <w:noProof/>
          <w:color w:val="auto"/>
          <w:kern w:val="2"/>
          <w:sz w:val="22"/>
          <w:szCs w:val="22"/>
          <w14:ligatures w14:val="standardContextual"/>
        </w:rPr>
      </w:pPr>
      <w:hyperlink w:anchor="_Toc160457777" w:history="1">
        <w:r w:rsidR="00383589" w:rsidRPr="003233EE">
          <w:rPr>
            <w:rStyle w:val="Hyperlink"/>
            <w:noProof/>
          </w:rPr>
          <w:t>Figure 8 – Chapter 3 overview</w:t>
        </w:r>
        <w:r w:rsidR="00383589">
          <w:rPr>
            <w:noProof/>
            <w:webHidden/>
          </w:rPr>
          <w:tab/>
        </w:r>
        <w:r w:rsidR="00383589">
          <w:rPr>
            <w:noProof/>
            <w:webHidden/>
          </w:rPr>
          <w:fldChar w:fldCharType="begin"/>
        </w:r>
        <w:r w:rsidR="00383589">
          <w:rPr>
            <w:noProof/>
            <w:webHidden/>
          </w:rPr>
          <w:instrText xml:space="preserve"> PAGEREF _Toc160457777 \h </w:instrText>
        </w:r>
        <w:r w:rsidR="00383589">
          <w:rPr>
            <w:noProof/>
            <w:webHidden/>
          </w:rPr>
        </w:r>
        <w:r w:rsidR="00383589">
          <w:rPr>
            <w:noProof/>
            <w:webHidden/>
          </w:rPr>
          <w:fldChar w:fldCharType="separate"/>
        </w:r>
        <w:r w:rsidR="008A4B3E">
          <w:rPr>
            <w:noProof/>
            <w:webHidden/>
          </w:rPr>
          <w:t>17</w:t>
        </w:r>
        <w:r w:rsidR="00383589">
          <w:rPr>
            <w:noProof/>
            <w:webHidden/>
          </w:rPr>
          <w:fldChar w:fldCharType="end"/>
        </w:r>
      </w:hyperlink>
    </w:p>
    <w:p w14:paraId="001E1BFC" w14:textId="539F01C9" w:rsidR="00383589" w:rsidRDefault="00894832">
      <w:pPr>
        <w:pStyle w:val="TableofFigures"/>
        <w:tabs>
          <w:tab w:val="right" w:pos="9016"/>
        </w:tabs>
        <w:rPr>
          <w:noProof/>
          <w:color w:val="auto"/>
          <w:kern w:val="2"/>
          <w:sz w:val="22"/>
          <w:szCs w:val="22"/>
          <w14:ligatures w14:val="standardContextual"/>
        </w:rPr>
      </w:pPr>
      <w:hyperlink w:anchor="_Toc160457778" w:history="1">
        <w:r w:rsidR="00383589" w:rsidRPr="003233EE">
          <w:rPr>
            <w:rStyle w:val="Hyperlink"/>
            <w:noProof/>
          </w:rPr>
          <w:t>Figure 9 – Process for developing a robust procurement strategy</w:t>
        </w:r>
        <w:r w:rsidR="00383589">
          <w:rPr>
            <w:noProof/>
            <w:webHidden/>
          </w:rPr>
          <w:tab/>
        </w:r>
        <w:r w:rsidR="00383589">
          <w:rPr>
            <w:noProof/>
            <w:webHidden/>
          </w:rPr>
          <w:fldChar w:fldCharType="begin"/>
        </w:r>
        <w:r w:rsidR="00383589">
          <w:rPr>
            <w:noProof/>
            <w:webHidden/>
          </w:rPr>
          <w:instrText xml:space="preserve"> PAGEREF _Toc160457778 \h </w:instrText>
        </w:r>
        <w:r w:rsidR="00383589">
          <w:rPr>
            <w:noProof/>
            <w:webHidden/>
          </w:rPr>
        </w:r>
        <w:r w:rsidR="00383589">
          <w:rPr>
            <w:noProof/>
            <w:webHidden/>
          </w:rPr>
          <w:fldChar w:fldCharType="separate"/>
        </w:r>
        <w:r w:rsidR="008A4B3E">
          <w:rPr>
            <w:noProof/>
            <w:webHidden/>
          </w:rPr>
          <w:t>18</w:t>
        </w:r>
        <w:r w:rsidR="00383589">
          <w:rPr>
            <w:noProof/>
            <w:webHidden/>
          </w:rPr>
          <w:fldChar w:fldCharType="end"/>
        </w:r>
      </w:hyperlink>
    </w:p>
    <w:p w14:paraId="1E244D4B" w14:textId="2442F533" w:rsidR="00383589" w:rsidRDefault="00894832">
      <w:pPr>
        <w:pStyle w:val="TableofFigures"/>
        <w:tabs>
          <w:tab w:val="right" w:pos="9016"/>
        </w:tabs>
        <w:rPr>
          <w:noProof/>
          <w:color w:val="auto"/>
          <w:kern w:val="2"/>
          <w:sz w:val="22"/>
          <w:szCs w:val="22"/>
          <w14:ligatures w14:val="standardContextual"/>
        </w:rPr>
      </w:pPr>
      <w:hyperlink w:anchor="_Toc160457779" w:history="1">
        <w:r w:rsidR="00383589" w:rsidRPr="003233EE">
          <w:rPr>
            <w:rStyle w:val="Hyperlink"/>
            <w:noProof/>
          </w:rPr>
          <w:t>Figure 10 – Key factors in project delivery performance</w:t>
        </w:r>
        <w:r w:rsidR="00383589">
          <w:rPr>
            <w:noProof/>
            <w:webHidden/>
          </w:rPr>
          <w:tab/>
        </w:r>
        <w:r w:rsidR="00383589">
          <w:rPr>
            <w:noProof/>
            <w:webHidden/>
          </w:rPr>
          <w:fldChar w:fldCharType="begin"/>
        </w:r>
        <w:r w:rsidR="00383589">
          <w:rPr>
            <w:noProof/>
            <w:webHidden/>
          </w:rPr>
          <w:instrText xml:space="preserve"> PAGEREF _Toc160457779 \h </w:instrText>
        </w:r>
        <w:r w:rsidR="00383589">
          <w:rPr>
            <w:noProof/>
            <w:webHidden/>
          </w:rPr>
        </w:r>
        <w:r w:rsidR="00383589">
          <w:rPr>
            <w:noProof/>
            <w:webHidden/>
          </w:rPr>
          <w:fldChar w:fldCharType="separate"/>
        </w:r>
        <w:r w:rsidR="008A4B3E">
          <w:rPr>
            <w:noProof/>
            <w:webHidden/>
          </w:rPr>
          <w:t>20</w:t>
        </w:r>
        <w:r w:rsidR="00383589">
          <w:rPr>
            <w:noProof/>
            <w:webHidden/>
          </w:rPr>
          <w:fldChar w:fldCharType="end"/>
        </w:r>
      </w:hyperlink>
    </w:p>
    <w:p w14:paraId="71B5F94E" w14:textId="2D891846" w:rsidR="00383589" w:rsidRDefault="00894832">
      <w:pPr>
        <w:pStyle w:val="TableofFigures"/>
        <w:tabs>
          <w:tab w:val="right" w:pos="9016"/>
        </w:tabs>
        <w:rPr>
          <w:noProof/>
          <w:color w:val="auto"/>
          <w:kern w:val="2"/>
          <w:sz w:val="22"/>
          <w:szCs w:val="22"/>
          <w14:ligatures w14:val="standardContextual"/>
        </w:rPr>
      </w:pPr>
      <w:hyperlink w:anchor="_Toc160457780" w:history="1">
        <w:r w:rsidR="00383589" w:rsidRPr="003233EE">
          <w:rPr>
            <w:rStyle w:val="Hyperlink"/>
            <w:noProof/>
          </w:rPr>
          <w:t>Figure 11 – Chapter 4 overview</w:t>
        </w:r>
        <w:r w:rsidR="00383589">
          <w:rPr>
            <w:noProof/>
            <w:webHidden/>
          </w:rPr>
          <w:tab/>
        </w:r>
        <w:r w:rsidR="00383589">
          <w:rPr>
            <w:noProof/>
            <w:webHidden/>
          </w:rPr>
          <w:fldChar w:fldCharType="begin"/>
        </w:r>
        <w:r w:rsidR="00383589">
          <w:rPr>
            <w:noProof/>
            <w:webHidden/>
          </w:rPr>
          <w:instrText xml:space="preserve"> PAGEREF _Toc160457780 \h </w:instrText>
        </w:r>
        <w:r w:rsidR="00383589">
          <w:rPr>
            <w:noProof/>
            <w:webHidden/>
          </w:rPr>
        </w:r>
        <w:r w:rsidR="00383589">
          <w:rPr>
            <w:noProof/>
            <w:webHidden/>
          </w:rPr>
          <w:fldChar w:fldCharType="separate"/>
        </w:r>
        <w:r w:rsidR="008A4B3E">
          <w:rPr>
            <w:noProof/>
            <w:webHidden/>
          </w:rPr>
          <w:t>45</w:t>
        </w:r>
        <w:r w:rsidR="00383589">
          <w:rPr>
            <w:noProof/>
            <w:webHidden/>
          </w:rPr>
          <w:fldChar w:fldCharType="end"/>
        </w:r>
      </w:hyperlink>
    </w:p>
    <w:p w14:paraId="6D2A235D" w14:textId="44039359" w:rsidR="00383589" w:rsidRDefault="00894832">
      <w:pPr>
        <w:pStyle w:val="TableofFigures"/>
        <w:tabs>
          <w:tab w:val="right" w:pos="9016"/>
        </w:tabs>
        <w:rPr>
          <w:noProof/>
          <w:color w:val="auto"/>
          <w:kern w:val="2"/>
          <w:sz w:val="22"/>
          <w:szCs w:val="22"/>
          <w14:ligatures w14:val="standardContextual"/>
        </w:rPr>
      </w:pPr>
      <w:hyperlink w:anchor="_Toc160457781" w:history="1">
        <w:r w:rsidR="00383589" w:rsidRPr="003233EE">
          <w:rPr>
            <w:rStyle w:val="Hyperlink"/>
            <w:noProof/>
          </w:rPr>
          <w:t>Figure 12 – Construct only structure</w:t>
        </w:r>
        <w:r w:rsidR="00383589">
          <w:rPr>
            <w:noProof/>
            <w:webHidden/>
          </w:rPr>
          <w:tab/>
        </w:r>
        <w:r w:rsidR="00383589">
          <w:rPr>
            <w:noProof/>
            <w:webHidden/>
          </w:rPr>
          <w:fldChar w:fldCharType="begin"/>
        </w:r>
        <w:r w:rsidR="00383589">
          <w:rPr>
            <w:noProof/>
            <w:webHidden/>
          </w:rPr>
          <w:instrText xml:space="preserve"> PAGEREF _Toc160457781 \h </w:instrText>
        </w:r>
        <w:r w:rsidR="00383589">
          <w:rPr>
            <w:noProof/>
            <w:webHidden/>
          </w:rPr>
        </w:r>
        <w:r w:rsidR="00383589">
          <w:rPr>
            <w:noProof/>
            <w:webHidden/>
          </w:rPr>
          <w:fldChar w:fldCharType="separate"/>
        </w:r>
        <w:r w:rsidR="008A4B3E">
          <w:rPr>
            <w:noProof/>
            <w:webHidden/>
          </w:rPr>
          <w:t>48</w:t>
        </w:r>
        <w:r w:rsidR="00383589">
          <w:rPr>
            <w:noProof/>
            <w:webHidden/>
          </w:rPr>
          <w:fldChar w:fldCharType="end"/>
        </w:r>
      </w:hyperlink>
    </w:p>
    <w:p w14:paraId="049B94B5" w14:textId="0F14B8C3" w:rsidR="00383589" w:rsidRDefault="00894832">
      <w:pPr>
        <w:pStyle w:val="TableofFigures"/>
        <w:tabs>
          <w:tab w:val="right" w:pos="9016"/>
        </w:tabs>
        <w:rPr>
          <w:noProof/>
          <w:color w:val="auto"/>
          <w:kern w:val="2"/>
          <w:sz w:val="22"/>
          <w:szCs w:val="22"/>
          <w14:ligatures w14:val="standardContextual"/>
        </w:rPr>
      </w:pPr>
      <w:hyperlink w:anchor="_Toc160457782" w:history="1">
        <w:r w:rsidR="00383589" w:rsidRPr="003233EE">
          <w:rPr>
            <w:rStyle w:val="Hyperlink"/>
            <w:noProof/>
          </w:rPr>
          <w:t>Figure 13 – Design and construct structure</w:t>
        </w:r>
        <w:r w:rsidR="00383589">
          <w:rPr>
            <w:noProof/>
            <w:webHidden/>
          </w:rPr>
          <w:tab/>
        </w:r>
        <w:r w:rsidR="00383589">
          <w:rPr>
            <w:noProof/>
            <w:webHidden/>
          </w:rPr>
          <w:fldChar w:fldCharType="begin"/>
        </w:r>
        <w:r w:rsidR="00383589">
          <w:rPr>
            <w:noProof/>
            <w:webHidden/>
          </w:rPr>
          <w:instrText xml:space="preserve"> PAGEREF _Toc160457782 \h </w:instrText>
        </w:r>
        <w:r w:rsidR="00383589">
          <w:rPr>
            <w:noProof/>
            <w:webHidden/>
          </w:rPr>
        </w:r>
        <w:r w:rsidR="00383589">
          <w:rPr>
            <w:noProof/>
            <w:webHidden/>
          </w:rPr>
          <w:fldChar w:fldCharType="separate"/>
        </w:r>
        <w:r w:rsidR="008A4B3E">
          <w:rPr>
            <w:noProof/>
            <w:webHidden/>
          </w:rPr>
          <w:t>51</w:t>
        </w:r>
        <w:r w:rsidR="00383589">
          <w:rPr>
            <w:noProof/>
            <w:webHidden/>
          </w:rPr>
          <w:fldChar w:fldCharType="end"/>
        </w:r>
      </w:hyperlink>
    </w:p>
    <w:p w14:paraId="5FA4A936" w14:textId="1E13621E" w:rsidR="00383589" w:rsidRDefault="00894832">
      <w:pPr>
        <w:pStyle w:val="TableofFigures"/>
        <w:tabs>
          <w:tab w:val="right" w:pos="9016"/>
        </w:tabs>
        <w:rPr>
          <w:noProof/>
          <w:color w:val="auto"/>
          <w:kern w:val="2"/>
          <w:sz w:val="22"/>
          <w:szCs w:val="22"/>
          <w14:ligatures w14:val="standardContextual"/>
        </w:rPr>
      </w:pPr>
      <w:hyperlink w:anchor="_Toc160457783" w:history="1">
        <w:r w:rsidR="00383589" w:rsidRPr="003233EE">
          <w:rPr>
            <w:rStyle w:val="Hyperlink"/>
            <w:noProof/>
          </w:rPr>
          <w:t>Figure 14 – Enhanced design and construct structure</w:t>
        </w:r>
        <w:r w:rsidR="00383589">
          <w:rPr>
            <w:noProof/>
            <w:webHidden/>
          </w:rPr>
          <w:tab/>
        </w:r>
        <w:r w:rsidR="00383589">
          <w:rPr>
            <w:noProof/>
            <w:webHidden/>
          </w:rPr>
          <w:fldChar w:fldCharType="begin"/>
        </w:r>
        <w:r w:rsidR="00383589">
          <w:rPr>
            <w:noProof/>
            <w:webHidden/>
          </w:rPr>
          <w:instrText xml:space="preserve"> PAGEREF _Toc160457783 \h </w:instrText>
        </w:r>
        <w:r w:rsidR="00383589">
          <w:rPr>
            <w:noProof/>
            <w:webHidden/>
          </w:rPr>
        </w:r>
        <w:r w:rsidR="00383589">
          <w:rPr>
            <w:noProof/>
            <w:webHidden/>
          </w:rPr>
          <w:fldChar w:fldCharType="separate"/>
        </w:r>
        <w:r w:rsidR="008A4B3E">
          <w:rPr>
            <w:noProof/>
            <w:webHidden/>
          </w:rPr>
          <w:t>54</w:t>
        </w:r>
        <w:r w:rsidR="00383589">
          <w:rPr>
            <w:noProof/>
            <w:webHidden/>
          </w:rPr>
          <w:fldChar w:fldCharType="end"/>
        </w:r>
      </w:hyperlink>
    </w:p>
    <w:p w14:paraId="4AFC6511" w14:textId="096C4423" w:rsidR="00383589" w:rsidRDefault="00894832">
      <w:pPr>
        <w:pStyle w:val="TableofFigures"/>
        <w:tabs>
          <w:tab w:val="right" w:pos="9016"/>
        </w:tabs>
        <w:rPr>
          <w:noProof/>
          <w:color w:val="auto"/>
          <w:kern w:val="2"/>
          <w:sz w:val="22"/>
          <w:szCs w:val="22"/>
          <w14:ligatures w14:val="standardContextual"/>
        </w:rPr>
      </w:pPr>
      <w:hyperlink w:anchor="_Toc160457784" w:history="1">
        <w:r w:rsidR="00383589" w:rsidRPr="003233EE">
          <w:rPr>
            <w:rStyle w:val="Hyperlink"/>
            <w:noProof/>
          </w:rPr>
          <w:t>Figure 15 – Managing contractor structure</w:t>
        </w:r>
        <w:r w:rsidR="00383589">
          <w:rPr>
            <w:noProof/>
            <w:webHidden/>
          </w:rPr>
          <w:tab/>
        </w:r>
        <w:r w:rsidR="00383589">
          <w:rPr>
            <w:noProof/>
            <w:webHidden/>
          </w:rPr>
          <w:fldChar w:fldCharType="begin"/>
        </w:r>
        <w:r w:rsidR="00383589">
          <w:rPr>
            <w:noProof/>
            <w:webHidden/>
          </w:rPr>
          <w:instrText xml:space="preserve"> PAGEREF _Toc160457784 \h </w:instrText>
        </w:r>
        <w:r w:rsidR="00383589">
          <w:rPr>
            <w:noProof/>
            <w:webHidden/>
          </w:rPr>
        </w:r>
        <w:r w:rsidR="00383589">
          <w:rPr>
            <w:noProof/>
            <w:webHidden/>
          </w:rPr>
          <w:fldChar w:fldCharType="separate"/>
        </w:r>
        <w:r w:rsidR="008A4B3E">
          <w:rPr>
            <w:noProof/>
            <w:webHidden/>
          </w:rPr>
          <w:t>58</w:t>
        </w:r>
        <w:r w:rsidR="00383589">
          <w:rPr>
            <w:noProof/>
            <w:webHidden/>
          </w:rPr>
          <w:fldChar w:fldCharType="end"/>
        </w:r>
      </w:hyperlink>
    </w:p>
    <w:p w14:paraId="4FBE1EF5" w14:textId="28DD4CF1" w:rsidR="00383589" w:rsidRDefault="00894832">
      <w:pPr>
        <w:pStyle w:val="TableofFigures"/>
        <w:tabs>
          <w:tab w:val="right" w:pos="9016"/>
        </w:tabs>
        <w:rPr>
          <w:noProof/>
          <w:color w:val="auto"/>
          <w:kern w:val="2"/>
          <w:sz w:val="22"/>
          <w:szCs w:val="22"/>
          <w14:ligatures w14:val="standardContextual"/>
        </w:rPr>
      </w:pPr>
      <w:hyperlink w:anchor="_Toc160457785" w:history="1">
        <w:r w:rsidR="00383589" w:rsidRPr="003233EE">
          <w:rPr>
            <w:rStyle w:val="Hyperlink"/>
            <w:noProof/>
          </w:rPr>
          <w:t>Figure 16 – Incentivised target cost structure</w:t>
        </w:r>
        <w:r w:rsidR="00383589">
          <w:rPr>
            <w:noProof/>
            <w:webHidden/>
          </w:rPr>
          <w:tab/>
        </w:r>
        <w:r w:rsidR="00383589">
          <w:rPr>
            <w:noProof/>
            <w:webHidden/>
          </w:rPr>
          <w:fldChar w:fldCharType="begin"/>
        </w:r>
        <w:r w:rsidR="00383589">
          <w:rPr>
            <w:noProof/>
            <w:webHidden/>
          </w:rPr>
          <w:instrText xml:space="preserve"> PAGEREF _Toc160457785 \h </w:instrText>
        </w:r>
        <w:r w:rsidR="00383589">
          <w:rPr>
            <w:noProof/>
            <w:webHidden/>
          </w:rPr>
        </w:r>
        <w:r w:rsidR="00383589">
          <w:rPr>
            <w:noProof/>
            <w:webHidden/>
          </w:rPr>
          <w:fldChar w:fldCharType="separate"/>
        </w:r>
        <w:r w:rsidR="008A4B3E">
          <w:rPr>
            <w:noProof/>
            <w:webHidden/>
          </w:rPr>
          <w:t>62</w:t>
        </w:r>
        <w:r w:rsidR="00383589">
          <w:rPr>
            <w:noProof/>
            <w:webHidden/>
          </w:rPr>
          <w:fldChar w:fldCharType="end"/>
        </w:r>
      </w:hyperlink>
    </w:p>
    <w:p w14:paraId="4BB6786B" w14:textId="6A63C0E5" w:rsidR="00383589" w:rsidRDefault="00894832">
      <w:pPr>
        <w:pStyle w:val="TableofFigures"/>
        <w:tabs>
          <w:tab w:val="right" w:pos="9016"/>
        </w:tabs>
        <w:rPr>
          <w:noProof/>
          <w:color w:val="auto"/>
          <w:kern w:val="2"/>
          <w:sz w:val="22"/>
          <w:szCs w:val="22"/>
          <w14:ligatures w14:val="standardContextual"/>
        </w:rPr>
      </w:pPr>
      <w:hyperlink w:anchor="_Toc160457786" w:history="1">
        <w:r w:rsidR="00383589" w:rsidRPr="003233EE">
          <w:rPr>
            <w:rStyle w:val="Hyperlink"/>
            <w:noProof/>
          </w:rPr>
          <w:t>Figure 17 – Alliance structure</w:t>
        </w:r>
        <w:r w:rsidR="00383589">
          <w:rPr>
            <w:noProof/>
            <w:webHidden/>
          </w:rPr>
          <w:tab/>
        </w:r>
        <w:r w:rsidR="00383589">
          <w:rPr>
            <w:noProof/>
            <w:webHidden/>
          </w:rPr>
          <w:fldChar w:fldCharType="begin"/>
        </w:r>
        <w:r w:rsidR="00383589">
          <w:rPr>
            <w:noProof/>
            <w:webHidden/>
          </w:rPr>
          <w:instrText xml:space="preserve"> PAGEREF _Toc160457786 \h </w:instrText>
        </w:r>
        <w:r w:rsidR="00383589">
          <w:rPr>
            <w:noProof/>
            <w:webHidden/>
          </w:rPr>
        </w:r>
        <w:r w:rsidR="00383589">
          <w:rPr>
            <w:noProof/>
            <w:webHidden/>
          </w:rPr>
          <w:fldChar w:fldCharType="separate"/>
        </w:r>
        <w:r w:rsidR="008A4B3E">
          <w:rPr>
            <w:noProof/>
            <w:webHidden/>
          </w:rPr>
          <w:t>65</w:t>
        </w:r>
        <w:r w:rsidR="00383589">
          <w:rPr>
            <w:noProof/>
            <w:webHidden/>
          </w:rPr>
          <w:fldChar w:fldCharType="end"/>
        </w:r>
      </w:hyperlink>
    </w:p>
    <w:p w14:paraId="32366B6D" w14:textId="6DA669E5" w:rsidR="00383589" w:rsidRDefault="00894832">
      <w:pPr>
        <w:pStyle w:val="TableofFigures"/>
        <w:tabs>
          <w:tab w:val="right" w:pos="9016"/>
        </w:tabs>
        <w:rPr>
          <w:noProof/>
          <w:color w:val="auto"/>
          <w:kern w:val="2"/>
          <w:sz w:val="22"/>
          <w:szCs w:val="22"/>
          <w14:ligatures w14:val="standardContextual"/>
        </w:rPr>
      </w:pPr>
      <w:hyperlink w:anchor="_Toc160457787" w:history="1">
        <w:r w:rsidR="00383589" w:rsidRPr="003233EE">
          <w:rPr>
            <w:rStyle w:val="Hyperlink"/>
            <w:noProof/>
          </w:rPr>
          <w:t>Figure 18 – Partnerships Victoria structure</w:t>
        </w:r>
        <w:r w:rsidR="00383589">
          <w:rPr>
            <w:noProof/>
            <w:webHidden/>
          </w:rPr>
          <w:tab/>
        </w:r>
        <w:r w:rsidR="00383589">
          <w:rPr>
            <w:noProof/>
            <w:webHidden/>
          </w:rPr>
          <w:fldChar w:fldCharType="begin"/>
        </w:r>
        <w:r w:rsidR="00383589">
          <w:rPr>
            <w:noProof/>
            <w:webHidden/>
          </w:rPr>
          <w:instrText xml:space="preserve"> PAGEREF _Toc160457787 \h </w:instrText>
        </w:r>
        <w:r w:rsidR="00383589">
          <w:rPr>
            <w:noProof/>
            <w:webHidden/>
          </w:rPr>
        </w:r>
        <w:r w:rsidR="00383589">
          <w:rPr>
            <w:noProof/>
            <w:webHidden/>
          </w:rPr>
          <w:fldChar w:fldCharType="separate"/>
        </w:r>
        <w:r w:rsidR="008A4B3E">
          <w:rPr>
            <w:noProof/>
            <w:webHidden/>
          </w:rPr>
          <w:t>69</w:t>
        </w:r>
        <w:r w:rsidR="00383589">
          <w:rPr>
            <w:noProof/>
            <w:webHidden/>
          </w:rPr>
          <w:fldChar w:fldCharType="end"/>
        </w:r>
      </w:hyperlink>
    </w:p>
    <w:p w14:paraId="6CC4042B" w14:textId="4BF2CD44" w:rsidR="00383589" w:rsidRDefault="00894832">
      <w:pPr>
        <w:pStyle w:val="TableofFigures"/>
        <w:tabs>
          <w:tab w:val="right" w:pos="9016"/>
        </w:tabs>
        <w:rPr>
          <w:noProof/>
          <w:color w:val="auto"/>
          <w:kern w:val="2"/>
          <w:sz w:val="22"/>
          <w:szCs w:val="22"/>
          <w14:ligatures w14:val="standardContextual"/>
        </w:rPr>
      </w:pPr>
      <w:hyperlink w:anchor="_Toc160457788" w:history="1">
        <w:r w:rsidR="00383589" w:rsidRPr="003233EE">
          <w:rPr>
            <w:rStyle w:val="Hyperlink"/>
            <w:noProof/>
          </w:rPr>
          <w:t>Figure 19 – Bundled structure</w:t>
        </w:r>
        <w:r w:rsidR="00383589">
          <w:rPr>
            <w:noProof/>
            <w:webHidden/>
          </w:rPr>
          <w:tab/>
        </w:r>
        <w:r w:rsidR="00383589">
          <w:rPr>
            <w:noProof/>
            <w:webHidden/>
          </w:rPr>
          <w:fldChar w:fldCharType="begin"/>
        </w:r>
        <w:r w:rsidR="00383589">
          <w:rPr>
            <w:noProof/>
            <w:webHidden/>
          </w:rPr>
          <w:instrText xml:space="preserve"> PAGEREF _Toc160457788 \h </w:instrText>
        </w:r>
        <w:r w:rsidR="00383589">
          <w:rPr>
            <w:noProof/>
            <w:webHidden/>
          </w:rPr>
        </w:r>
        <w:r w:rsidR="00383589">
          <w:rPr>
            <w:noProof/>
            <w:webHidden/>
          </w:rPr>
          <w:fldChar w:fldCharType="separate"/>
        </w:r>
        <w:r w:rsidR="008A4B3E">
          <w:rPr>
            <w:noProof/>
            <w:webHidden/>
          </w:rPr>
          <w:t>73</w:t>
        </w:r>
        <w:r w:rsidR="00383589">
          <w:rPr>
            <w:noProof/>
            <w:webHidden/>
          </w:rPr>
          <w:fldChar w:fldCharType="end"/>
        </w:r>
      </w:hyperlink>
    </w:p>
    <w:p w14:paraId="36E0E214" w14:textId="333D6593" w:rsidR="00383589" w:rsidRDefault="00894832">
      <w:pPr>
        <w:pStyle w:val="TableofFigures"/>
        <w:tabs>
          <w:tab w:val="right" w:pos="9016"/>
        </w:tabs>
        <w:rPr>
          <w:noProof/>
          <w:color w:val="auto"/>
          <w:kern w:val="2"/>
          <w:sz w:val="22"/>
          <w:szCs w:val="22"/>
          <w14:ligatures w14:val="standardContextual"/>
        </w:rPr>
      </w:pPr>
      <w:hyperlink w:anchor="_Toc160457789" w:history="1">
        <w:r w:rsidR="00383589" w:rsidRPr="003233EE">
          <w:rPr>
            <w:rStyle w:val="Hyperlink"/>
            <w:noProof/>
          </w:rPr>
          <w:t>Figure 20 – Chapter 5 overview</w:t>
        </w:r>
        <w:r w:rsidR="00383589">
          <w:rPr>
            <w:noProof/>
            <w:webHidden/>
          </w:rPr>
          <w:tab/>
        </w:r>
        <w:r w:rsidR="00383589">
          <w:rPr>
            <w:noProof/>
            <w:webHidden/>
          </w:rPr>
          <w:fldChar w:fldCharType="begin"/>
        </w:r>
        <w:r w:rsidR="00383589">
          <w:rPr>
            <w:noProof/>
            <w:webHidden/>
          </w:rPr>
          <w:instrText xml:space="preserve"> PAGEREF _Toc160457789 \h </w:instrText>
        </w:r>
        <w:r w:rsidR="00383589">
          <w:rPr>
            <w:noProof/>
            <w:webHidden/>
          </w:rPr>
        </w:r>
        <w:r w:rsidR="00383589">
          <w:rPr>
            <w:noProof/>
            <w:webHidden/>
          </w:rPr>
          <w:fldChar w:fldCharType="separate"/>
        </w:r>
        <w:r w:rsidR="008A4B3E">
          <w:rPr>
            <w:noProof/>
            <w:webHidden/>
          </w:rPr>
          <w:t>76</w:t>
        </w:r>
        <w:r w:rsidR="00383589">
          <w:rPr>
            <w:noProof/>
            <w:webHidden/>
          </w:rPr>
          <w:fldChar w:fldCharType="end"/>
        </w:r>
      </w:hyperlink>
    </w:p>
    <w:p w14:paraId="6C4DE7DD" w14:textId="0DC20823" w:rsidR="00383589" w:rsidRDefault="00894832">
      <w:pPr>
        <w:pStyle w:val="TableofFigures"/>
        <w:tabs>
          <w:tab w:val="right" w:pos="9016"/>
        </w:tabs>
        <w:rPr>
          <w:noProof/>
          <w:color w:val="auto"/>
          <w:kern w:val="2"/>
          <w:sz w:val="22"/>
          <w:szCs w:val="22"/>
          <w14:ligatures w14:val="standardContextual"/>
        </w:rPr>
      </w:pPr>
      <w:hyperlink w:anchor="_Toc160457790" w:history="1">
        <w:r w:rsidR="00383589" w:rsidRPr="003233EE">
          <w:rPr>
            <w:rStyle w:val="Hyperlink"/>
            <w:noProof/>
          </w:rPr>
          <w:t>Figure 21 – Key elements of the procurement plan</w:t>
        </w:r>
        <w:r w:rsidR="00383589">
          <w:rPr>
            <w:noProof/>
            <w:webHidden/>
          </w:rPr>
          <w:tab/>
        </w:r>
        <w:r w:rsidR="00383589">
          <w:rPr>
            <w:noProof/>
            <w:webHidden/>
          </w:rPr>
          <w:fldChar w:fldCharType="begin"/>
        </w:r>
        <w:r w:rsidR="00383589">
          <w:rPr>
            <w:noProof/>
            <w:webHidden/>
          </w:rPr>
          <w:instrText xml:space="preserve"> PAGEREF _Toc160457790 \h </w:instrText>
        </w:r>
        <w:r w:rsidR="00383589">
          <w:rPr>
            <w:noProof/>
            <w:webHidden/>
          </w:rPr>
        </w:r>
        <w:r w:rsidR="00383589">
          <w:rPr>
            <w:noProof/>
            <w:webHidden/>
          </w:rPr>
          <w:fldChar w:fldCharType="separate"/>
        </w:r>
        <w:r w:rsidR="008A4B3E">
          <w:rPr>
            <w:noProof/>
            <w:webHidden/>
          </w:rPr>
          <w:t>81</w:t>
        </w:r>
        <w:r w:rsidR="00383589">
          <w:rPr>
            <w:noProof/>
            <w:webHidden/>
          </w:rPr>
          <w:fldChar w:fldCharType="end"/>
        </w:r>
      </w:hyperlink>
    </w:p>
    <w:p w14:paraId="03C4F7E2" w14:textId="2337D3C6" w:rsidR="00383589" w:rsidRDefault="00894832">
      <w:pPr>
        <w:pStyle w:val="TableofFigures"/>
        <w:tabs>
          <w:tab w:val="right" w:pos="9016"/>
        </w:tabs>
        <w:rPr>
          <w:noProof/>
          <w:color w:val="auto"/>
          <w:kern w:val="2"/>
          <w:sz w:val="22"/>
          <w:szCs w:val="22"/>
          <w14:ligatures w14:val="standardContextual"/>
        </w:rPr>
      </w:pPr>
      <w:hyperlink w:anchor="_Toc160457791" w:history="1">
        <w:r w:rsidR="00383589" w:rsidRPr="003233EE">
          <w:rPr>
            <w:rStyle w:val="Hyperlink"/>
            <w:noProof/>
          </w:rPr>
          <w:t>Figure 22 – Chapter 6 overview</w:t>
        </w:r>
        <w:r w:rsidR="00383589">
          <w:rPr>
            <w:noProof/>
            <w:webHidden/>
          </w:rPr>
          <w:tab/>
        </w:r>
        <w:r w:rsidR="00383589">
          <w:rPr>
            <w:noProof/>
            <w:webHidden/>
          </w:rPr>
          <w:fldChar w:fldCharType="begin"/>
        </w:r>
        <w:r w:rsidR="00383589">
          <w:rPr>
            <w:noProof/>
            <w:webHidden/>
          </w:rPr>
          <w:instrText xml:space="preserve"> PAGEREF _Toc160457791 \h </w:instrText>
        </w:r>
        <w:r w:rsidR="00383589">
          <w:rPr>
            <w:noProof/>
            <w:webHidden/>
          </w:rPr>
        </w:r>
        <w:r w:rsidR="00383589">
          <w:rPr>
            <w:noProof/>
            <w:webHidden/>
          </w:rPr>
          <w:fldChar w:fldCharType="separate"/>
        </w:r>
        <w:r w:rsidR="008A4B3E">
          <w:rPr>
            <w:noProof/>
            <w:webHidden/>
          </w:rPr>
          <w:t>90</w:t>
        </w:r>
        <w:r w:rsidR="00383589">
          <w:rPr>
            <w:noProof/>
            <w:webHidden/>
          </w:rPr>
          <w:fldChar w:fldCharType="end"/>
        </w:r>
      </w:hyperlink>
    </w:p>
    <w:p w14:paraId="36665079" w14:textId="0E44F4CF" w:rsidR="00383589" w:rsidRDefault="00894832">
      <w:pPr>
        <w:pStyle w:val="TableofFigures"/>
        <w:tabs>
          <w:tab w:val="right" w:pos="9016"/>
        </w:tabs>
        <w:rPr>
          <w:noProof/>
          <w:color w:val="auto"/>
          <w:kern w:val="2"/>
          <w:sz w:val="22"/>
          <w:szCs w:val="22"/>
          <w14:ligatures w14:val="standardContextual"/>
        </w:rPr>
      </w:pPr>
      <w:hyperlink w:anchor="_Toc160457792" w:history="1">
        <w:r w:rsidR="00383589" w:rsidRPr="003233EE">
          <w:rPr>
            <w:rStyle w:val="Hyperlink"/>
            <w:noProof/>
          </w:rPr>
          <w:t>Figure 23 – Chapter 7 overview</w:t>
        </w:r>
        <w:r w:rsidR="00383589">
          <w:rPr>
            <w:noProof/>
            <w:webHidden/>
          </w:rPr>
          <w:tab/>
        </w:r>
        <w:r w:rsidR="00383589">
          <w:rPr>
            <w:noProof/>
            <w:webHidden/>
          </w:rPr>
          <w:fldChar w:fldCharType="begin"/>
        </w:r>
        <w:r w:rsidR="00383589">
          <w:rPr>
            <w:noProof/>
            <w:webHidden/>
          </w:rPr>
          <w:instrText xml:space="preserve"> PAGEREF _Toc160457792 \h </w:instrText>
        </w:r>
        <w:r w:rsidR="00383589">
          <w:rPr>
            <w:noProof/>
            <w:webHidden/>
          </w:rPr>
        </w:r>
        <w:r w:rsidR="00383589">
          <w:rPr>
            <w:noProof/>
            <w:webHidden/>
          </w:rPr>
          <w:fldChar w:fldCharType="separate"/>
        </w:r>
        <w:r w:rsidR="008A4B3E">
          <w:rPr>
            <w:noProof/>
            <w:webHidden/>
          </w:rPr>
          <w:t>95</w:t>
        </w:r>
        <w:r w:rsidR="00383589">
          <w:rPr>
            <w:noProof/>
            <w:webHidden/>
          </w:rPr>
          <w:fldChar w:fldCharType="end"/>
        </w:r>
      </w:hyperlink>
    </w:p>
    <w:p w14:paraId="0E2A14B7" w14:textId="22382CA6" w:rsidR="00383589" w:rsidRDefault="00894832">
      <w:pPr>
        <w:pStyle w:val="TableofFigures"/>
        <w:tabs>
          <w:tab w:val="right" w:pos="9016"/>
        </w:tabs>
        <w:rPr>
          <w:noProof/>
          <w:color w:val="auto"/>
          <w:kern w:val="2"/>
          <w:sz w:val="22"/>
          <w:szCs w:val="22"/>
          <w14:ligatures w14:val="standardContextual"/>
        </w:rPr>
      </w:pPr>
      <w:hyperlink w:anchor="_Toc160457793" w:history="1">
        <w:r w:rsidR="00383589" w:rsidRPr="003233EE">
          <w:rPr>
            <w:rStyle w:val="Hyperlink"/>
            <w:noProof/>
          </w:rPr>
          <w:t>Figure 24 – Chapter 8 overview</w:t>
        </w:r>
        <w:r w:rsidR="00383589">
          <w:rPr>
            <w:noProof/>
            <w:webHidden/>
          </w:rPr>
          <w:tab/>
        </w:r>
        <w:r w:rsidR="00383589">
          <w:rPr>
            <w:noProof/>
            <w:webHidden/>
          </w:rPr>
          <w:fldChar w:fldCharType="begin"/>
        </w:r>
        <w:r w:rsidR="00383589">
          <w:rPr>
            <w:noProof/>
            <w:webHidden/>
          </w:rPr>
          <w:instrText xml:space="preserve"> PAGEREF _Toc160457793 \h </w:instrText>
        </w:r>
        <w:r w:rsidR="00383589">
          <w:rPr>
            <w:noProof/>
            <w:webHidden/>
          </w:rPr>
        </w:r>
        <w:r w:rsidR="00383589">
          <w:rPr>
            <w:noProof/>
            <w:webHidden/>
          </w:rPr>
          <w:fldChar w:fldCharType="separate"/>
        </w:r>
        <w:r w:rsidR="008A4B3E">
          <w:rPr>
            <w:noProof/>
            <w:webHidden/>
          </w:rPr>
          <w:t>105</w:t>
        </w:r>
        <w:r w:rsidR="00383589">
          <w:rPr>
            <w:noProof/>
            <w:webHidden/>
          </w:rPr>
          <w:fldChar w:fldCharType="end"/>
        </w:r>
      </w:hyperlink>
    </w:p>
    <w:p w14:paraId="7F697363" w14:textId="373991D2" w:rsidR="00383589" w:rsidRDefault="00894832">
      <w:pPr>
        <w:pStyle w:val="TableofFigures"/>
        <w:tabs>
          <w:tab w:val="right" w:pos="9016"/>
        </w:tabs>
        <w:rPr>
          <w:noProof/>
          <w:color w:val="auto"/>
          <w:kern w:val="2"/>
          <w:sz w:val="22"/>
          <w:szCs w:val="22"/>
          <w14:ligatures w14:val="standardContextual"/>
        </w:rPr>
      </w:pPr>
      <w:hyperlink w:anchor="_Toc160457794" w:history="1">
        <w:r w:rsidR="00383589" w:rsidRPr="003233EE">
          <w:rPr>
            <w:rStyle w:val="Hyperlink"/>
            <w:noProof/>
          </w:rPr>
          <w:t>Figure 25 – Chapter 9 overview</w:t>
        </w:r>
        <w:r w:rsidR="00383589">
          <w:rPr>
            <w:noProof/>
            <w:webHidden/>
          </w:rPr>
          <w:tab/>
        </w:r>
        <w:r w:rsidR="00383589">
          <w:rPr>
            <w:noProof/>
            <w:webHidden/>
          </w:rPr>
          <w:fldChar w:fldCharType="begin"/>
        </w:r>
        <w:r w:rsidR="00383589">
          <w:rPr>
            <w:noProof/>
            <w:webHidden/>
          </w:rPr>
          <w:instrText xml:space="preserve"> PAGEREF _Toc160457794 \h </w:instrText>
        </w:r>
        <w:r w:rsidR="00383589">
          <w:rPr>
            <w:noProof/>
            <w:webHidden/>
          </w:rPr>
        </w:r>
        <w:r w:rsidR="00383589">
          <w:rPr>
            <w:noProof/>
            <w:webHidden/>
          </w:rPr>
          <w:fldChar w:fldCharType="separate"/>
        </w:r>
        <w:r w:rsidR="008A4B3E">
          <w:rPr>
            <w:noProof/>
            <w:webHidden/>
          </w:rPr>
          <w:t>115</w:t>
        </w:r>
        <w:r w:rsidR="00383589">
          <w:rPr>
            <w:noProof/>
            <w:webHidden/>
          </w:rPr>
          <w:fldChar w:fldCharType="end"/>
        </w:r>
      </w:hyperlink>
    </w:p>
    <w:p w14:paraId="0B7CA50A" w14:textId="164D2C8E" w:rsidR="00383589" w:rsidRDefault="00894832">
      <w:pPr>
        <w:pStyle w:val="TableofFigures"/>
        <w:tabs>
          <w:tab w:val="right" w:pos="9016"/>
        </w:tabs>
        <w:rPr>
          <w:noProof/>
          <w:color w:val="auto"/>
          <w:kern w:val="2"/>
          <w:sz w:val="22"/>
          <w:szCs w:val="22"/>
          <w14:ligatures w14:val="standardContextual"/>
        </w:rPr>
      </w:pPr>
      <w:hyperlink w:anchor="_Toc160457795" w:history="1">
        <w:r w:rsidR="00383589" w:rsidRPr="003233EE">
          <w:rPr>
            <w:rStyle w:val="Hyperlink"/>
            <w:noProof/>
          </w:rPr>
          <w:t>Figure 26 – Chapter 10 overview</w:t>
        </w:r>
        <w:r w:rsidR="00383589">
          <w:rPr>
            <w:noProof/>
            <w:webHidden/>
          </w:rPr>
          <w:tab/>
        </w:r>
        <w:r w:rsidR="00383589">
          <w:rPr>
            <w:noProof/>
            <w:webHidden/>
          </w:rPr>
          <w:fldChar w:fldCharType="begin"/>
        </w:r>
        <w:r w:rsidR="00383589">
          <w:rPr>
            <w:noProof/>
            <w:webHidden/>
          </w:rPr>
          <w:instrText xml:space="preserve"> PAGEREF _Toc160457795 \h </w:instrText>
        </w:r>
        <w:r w:rsidR="00383589">
          <w:rPr>
            <w:noProof/>
            <w:webHidden/>
          </w:rPr>
        </w:r>
        <w:r w:rsidR="00383589">
          <w:rPr>
            <w:noProof/>
            <w:webHidden/>
          </w:rPr>
          <w:fldChar w:fldCharType="separate"/>
        </w:r>
        <w:r w:rsidR="008A4B3E">
          <w:rPr>
            <w:noProof/>
            <w:webHidden/>
          </w:rPr>
          <w:t>120</w:t>
        </w:r>
        <w:r w:rsidR="00383589">
          <w:rPr>
            <w:noProof/>
            <w:webHidden/>
          </w:rPr>
          <w:fldChar w:fldCharType="end"/>
        </w:r>
      </w:hyperlink>
    </w:p>
    <w:p w14:paraId="76533BEE" w14:textId="47D41EB7" w:rsidR="00B52DAC" w:rsidRDefault="00B52DAC" w:rsidP="00B52DAC">
      <w:r>
        <w:rPr>
          <w:noProof/>
          <w:lang w:eastAsia="en-US"/>
        </w:rPr>
        <w:fldChar w:fldCharType="end"/>
      </w:r>
    </w:p>
    <w:p w14:paraId="2B30842C" w14:textId="77777777" w:rsidR="00301FA9" w:rsidRDefault="00301FA9" w:rsidP="004F7954"/>
    <w:p w14:paraId="6AD2D098" w14:textId="77777777" w:rsidR="00FF4E99" w:rsidRDefault="00FF4E99" w:rsidP="004F7954">
      <w:pPr>
        <w:sectPr w:rsidR="00FF4E99" w:rsidSect="00D95610">
          <w:headerReference w:type="even" r:id="rId21"/>
          <w:headerReference w:type="default" r:id="rId22"/>
          <w:footerReference w:type="even" r:id="rId23"/>
          <w:footerReference w:type="default" r:id="rId24"/>
          <w:pgSz w:w="11906" w:h="16838" w:code="9"/>
          <w:pgMar w:top="2160" w:right="1440" w:bottom="1440" w:left="1440" w:header="706" w:footer="461" w:gutter="0"/>
          <w:pgNumType w:fmt="lowerRoman" w:start="1"/>
          <w:cols w:space="708"/>
          <w:docGrid w:linePitch="360"/>
        </w:sectPr>
      </w:pPr>
    </w:p>
    <w:p w14:paraId="34995806" w14:textId="214F3F07" w:rsidR="00FF4E99" w:rsidRPr="005A3092" w:rsidRDefault="03FF5F3D" w:rsidP="00A937FD">
      <w:pPr>
        <w:pStyle w:val="Partheading"/>
      </w:pPr>
      <w:bookmarkStart w:id="0" w:name="_Toc161321745"/>
      <w:r w:rsidRPr="580BCC84">
        <w:t>Introduction</w:t>
      </w:r>
      <w:bookmarkEnd w:id="0"/>
    </w:p>
    <w:p w14:paraId="111F57C3" w14:textId="71AE5796" w:rsidR="0458ADAA" w:rsidRDefault="0458ADAA" w:rsidP="00A937FD">
      <w:pPr>
        <w:pStyle w:val="Heading2"/>
      </w:pPr>
      <w:r w:rsidRPr="580BCC84">
        <w:t>Purpose</w:t>
      </w:r>
    </w:p>
    <w:p w14:paraId="7EC346FE" w14:textId="0F9905EE" w:rsidR="00926B23" w:rsidRPr="00F65337" w:rsidRDefault="00926B23" w:rsidP="00926B23">
      <w:pPr>
        <w:rPr>
          <w:color w:val="auto"/>
        </w:rPr>
      </w:pPr>
      <w:r w:rsidRPr="2A57419C">
        <w:rPr>
          <w:color w:val="auto"/>
        </w:rPr>
        <w:t>Th</w:t>
      </w:r>
      <w:r w:rsidR="00DB1440" w:rsidRPr="2A57419C">
        <w:rPr>
          <w:color w:val="auto"/>
        </w:rPr>
        <w:t>e</w:t>
      </w:r>
      <w:r w:rsidR="00486118" w:rsidRPr="2A57419C">
        <w:rPr>
          <w:color w:val="auto"/>
        </w:rPr>
        <w:t>s</w:t>
      </w:r>
      <w:r w:rsidR="00DB1440" w:rsidRPr="2A57419C">
        <w:rPr>
          <w:color w:val="auto"/>
        </w:rPr>
        <w:t>e</w:t>
      </w:r>
      <w:r w:rsidR="00486118" w:rsidRPr="2A57419C">
        <w:rPr>
          <w:color w:val="auto"/>
        </w:rPr>
        <w:t xml:space="preserve"> guideline</w:t>
      </w:r>
      <w:r w:rsidR="00DB1440" w:rsidRPr="2A57419C">
        <w:rPr>
          <w:color w:val="auto"/>
        </w:rPr>
        <w:t>s</w:t>
      </w:r>
      <w:r w:rsidR="00486118" w:rsidRPr="2A57419C">
        <w:rPr>
          <w:color w:val="auto"/>
        </w:rPr>
        <w:t xml:space="preserve"> </w:t>
      </w:r>
      <w:r w:rsidRPr="2A57419C">
        <w:rPr>
          <w:color w:val="auto"/>
        </w:rPr>
        <w:t>s</w:t>
      </w:r>
      <w:r>
        <w:t>et out requirements, processes and issues to consider throughout the stages of the investment lifecycle when procuring infrastructure</w:t>
      </w:r>
      <w:r w:rsidR="00D352FE">
        <w:t xml:space="preserve"> and assets</w:t>
      </w:r>
      <w:r>
        <w:t>. This includes:</w:t>
      </w:r>
    </w:p>
    <w:p w14:paraId="24876DD8" w14:textId="6FDF6085" w:rsidR="00926B23" w:rsidRPr="00F65337" w:rsidRDefault="00926B23" w:rsidP="001D2615">
      <w:pPr>
        <w:pStyle w:val="Bullet1"/>
        <w:numPr>
          <w:ilvl w:val="0"/>
          <w:numId w:val="1"/>
        </w:numPr>
      </w:pPr>
      <w:r w:rsidRPr="00F65337">
        <w:t xml:space="preserve">detailing </w:t>
      </w:r>
      <w:r>
        <w:t xml:space="preserve">the </w:t>
      </w:r>
      <w:r w:rsidRPr="00F65337">
        <w:t>principles</w:t>
      </w:r>
      <w:r>
        <w:t>,</w:t>
      </w:r>
      <w:r w:rsidRPr="00F65337">
        <w:t xml:space="preserve"> legislative and policy context</w:t>
      </w:r>
      <w:r>
        <w:t xml:space="preserve"> and assurance requirements that underpin government infrastructure </w:t>
      </w:r>
      <w:r w:rsidDel="015177FF">
        <w:t>procurement</w:t>
      </w:r>
      <w:r w:rsidRPr="00F65337">
        <w:t xml:space="preserve"> (</w:t>
      </w:r>
      <w:r w:rsidR="00383589">
        <w:fldChar w:fldCharType="begin"/>
      </w:r>
      <w:r w:rsidR="00383589">
        <w:instrText xml:space="preserve"> REF Part1 \h </w:instrText>
      </w:r>
      <w:r w:rsidR="00383589">
        <w:fldChar w:fldCharType="separate"/>
      </w:r>
      <w:r w:rsidR="008A4B3E" w:rsidRPr="006B02FF">
        <w:t xml:space="preserve">Part </w:t>
      </w:r>
      <w:r w:rsidR="008A4B3E">
        <w:t>1</w:t>
      </w:r>
      <w:r w:rsidR="00383589">
        <w:fldChar w:fldCharType="end"/>
      </w:r>
      <w:r w:rsidR="00531419">
        <w:t xml:space="preserve">, </w:t>
      </w:r>
      <w:r w:rsidR="002A503B">
        <w:t>C</w:t>
      </w:r>
      <w:r w:rsidR="00531419">
        <w:t xml:space="preserve">hapter </w:t>
      </w:r>
      <w:r w:rsidR="00D421EC">
        <w:t>1</w:t>
      </w:r>
      <w:r w:rsidR="00DB246D">
        <w:fldChar w:fldCharType="begin"/>
      </w:r>
      <w:r w:rsidR="00092EA4">
        <w:instrText xml:space="preserve">e) </w:instrText>
      </w:r>
      <w:r w:rsidR="00DB246D">
        <w:instrText xml:space="preserve">REF _Ref144280214 \n \h </w:instrText>
      </w:r>
      <w:r w:rsidR="00DB246D">
        <w:fldChar w:fldCharType="separate"/>
      </w:r>
      <w:r w:rsidR="00DB246D">
        <w:t>2</w:t>
      </w:r>
      <w:r w:rsidR="00DB246D">
        <w:fldChar w:fldCharType="end"/>
      </w:r>
      <w:r w:rsidRPr="00F65337">
        <w:t>)</w:t>
      </w:r>
    </w:p>
    <w:p w14:paraId="7A8DBCC6" w14:textId="22D6774F" w:rsidR="00926B23" w:rsidRPr="00F65337" w:rsidRDefault="00926B23" w:rsidP="001D2615">
      <w:pPr>
        <w:pStyle w:val="Bullet1"/>
        <w:numPr>
          <w:ilvl w:val="0"/>
          <w:numId w:val="1"/>
        </w:numPr>
      </w:pPr>
      <w:r w:rsidRPr="00F65337">
        <w:t xml:space="preserve">developing a procurement strategy that </w:t>
      </w:r>
      <w:r>
        <w:t xml:space="preserve">supports </w:t>
      </w:r>
      <w:r w:rsidRPr="00F65337">
        <w:t>the optimal packaging, bundling and procurement approach for implementing a project</w:t>
      </w:r>
      <w:r w:rsidR="00A816FE">
        <w:t>,</w:t>
      </w:r>
      <w:r w:rsidRPr="00F65337">
        <w:t xml:space="preserve"> </w:t>
      </w:r>
      <w:r>
        <w:t>and outlining the</w:t>
      </w:r>
      <w:r w:rsidRPr="00F65337">
        <w:t xml:space="preserve"> three </w:t>
      </w:r>
      <w:r>
        <w:t xml:space="preserve">procurement </w:t>
      </w:r>
      <w:r w:rsidRPr="00F65337">
        <w:t>categories and the set of approved procurement models for use on Victorian Government infrastructure projects (</w:t>
      </w:r>
      <w:r w:rsidR="00383589">
        <w:fldChar w:fldCharType="begin"/>
      </w:r>
      <w:r w:rsidR="00383589">
        <w:instrText xml:space="preserve"> REF Part2 \h </w:instrText>
      </w:r>
      <w:r w:rsidR="00383589">
        <w:fldChar w:fldCharType="separate"/>
      </w:r>
      <w:r w:rsidR="008A4B3E" w:rsidRPr="008B6855">
        <w:t xml:space="preserve">Part </w:t>
      </w:r>
      <w:r w:rsidR="008A4B3E">
        <w:t>2</w:t>
      </w:r>
      <w:r w:rsidR="00383589">
        <w:fldChar w:fldCharType="end"/>
      </w:r>
      <w:r w:rsidR="00531419">
        <w:t xml:space="preserve">, </w:t>
      </w:r>
      <w:r w:rsidR="002A503B">
        <w:t>C</w:t>
      </w:r>
      <w:r w:rsidR="00531419">
        <w:t xml:space="preserve">hapters </w:t>
      </w:r>
      <w:r w:rsidR="00D421EC">
        <w:t>2</w:t>
      </w:r>
      <w:r w:rsidR="00531419">
        <w:t xml:space="preserve"> to </w:t>
      </w:r>
      <w:r w:rsidR="00D421EC">
        <w:t>4</w:t>
      </w:r>
      <w:r w:rsidRPr="00F65337">
        <w:t>)</w:t>
      </w:r>
    </w:p>
    <w:p w14:paraId="7F12BC78" w14:textId="3EACF702" w:rsidR="00073F29" w:rsidRPr="00595B5C" w:rsidRDefault="00926B23" w:rsidP="001D2615">
      <w:pPr>
        <w:pStyle w:val="Bullet1"/>
        <w:numPr>
          <w:ilvl w:val="0"/>
          <w:numId w:val="1"/>
        </w:numPr>
        <w:rPr>
          <w:sz w:val="24"/>
          <w:szCs w:val="24"/>
        </w:rPr>
      </w:pPr>
      <w:r w:rsidRPr="00F65337">
        <w:t>implementing the procurement strategy,</w:t>
      </w:r>
      <w:r w:rsidRPr="00F65337" w:rsidDel="00E27AA0">
        <w:t xml:space="preserve"> </w:t>
      </w:r>
      <w:r>
        <w:t>which includes</w:t>
      </w:r>
      <w:r w:rsidRPr="00F65337">
        <w:t xml:space="preserve"> preparing</w:t>
      </w:r>
      <w:r>
        <w:t xml:space="preserve"> for tender, developing </w:t>
      </w:r>
      <w:r w:rsidRPr="00F65337">
        <w:t xml:space="preserve">documentation, </w:t>
      </w:r>
      <w:r>
        <w:t>conducting tenders,</w:t>
      </w:r>
      <w:r w:rsidRPr="00F65337">
        <w:t xml:space="preserve"> evaluating market responses </w:t>
      </w:r>
      <w:r>
        <w:t xml:space="preserve">and </w:t>
      </w:r>
      <w:r w:rsidRPr="00F65337">
        <w:t>negotiating and awarding a contract (</w:t>
      </w:r>
      <w:r w:rsidR="00383589">
        <w:fldChar w:fldCharType="begin"/>
      </w:r>
      <w:r w:rsidR="00383589">
        <w:instrText xml:space="preserve"> REF Part3 \h </w:instrText>
      </w:r>
      <w:r w:rsidR="00383589">
        <w:fldChar w:fldCharType="separate"/>
      </w:r>
      <w:r w:rsidR="008A4B3E" w:rsidRPr="00E77C01">
        <w:t xml:space="preserve">Part </w:t>
      </w:r>
      <w:r w:rsidR="008A4B3E">
        <w:t>3</w:t>
      </w:r>
      <w:r w:rsidR="00383589">
        <w:fldChar w:fldCharType="end"/>
      </w:r>
      <w:r w:rsidR="00531419">
        <w:t xml:space="preserve">, </w:t>
      </w:r>
      <w:r w:rsidR="002A503B">
        <w:t>C</w:t>
      </w:r>
      <w:r w:rsidR="00531419">
        <w:t xml:space="preserve">hapters </w:t>
      </w:r>
      <w:r w:rsidR="00D421EC">
        <w:t>5</w:t>
      </w:r>
      <w:r w:rsidR="00531419">
        <w:t xml:space="preserve"> to </w:t>
      </w:r>
      <w:r w:rsidR="00D421EC">
        <w:t>10</w:t>
      </w:r>
      <w:r w:rsidRPr="00F65337">
        <w:t>)</w:t>
      </w:r>
      <w:r w:rsidR="0B28EBDA" w:rsidRPr="00F65337">
        <w:t>.</w:t>
      </w:r>
    </w:p>
    <w:p w14:paraId="1E5D1C91" w14:textId="7540FC7B" w:rsidR="00595B5C" w:rsidRDefault="00595B5C" w:rsidP="00595B5C">
      <w:pPr>
        <w:pStyle w:val="Caption"/>
      </w:pPr>
      <w:bookmarkStart w:id="1" w:name="_Ref145943476"/>
      <w:bookmarkStart w:id="2" w:name="_Toc145621465"/>
      <w:bookmarkStart w:id="3" w:name="_Toc145621594"/>
      <w:bookmarkStart w:id="4" w:name="_Toc160457770"/>
      <w:r>
        <w:t xml:space="preserve">Figure </w:t>
      </w:r>
      <w:r>
        <w:fldChar w:fldCharType="begin"/>
      </w:r>
      <w:r>
        <w:instrText>SEQ Figure \* ARABIC</w:instrText>
      </w:r>
      <w:r>
        <w:fldChar w:fldCharType="separate"/>
      </w:r>
      <w:r w:rsidR="008A4B3E">
        <w:rPr>
          <w:noProof/>
        </w:rPr>
        <w:t>1</w:t>
      </w:r>
      <w:r>
        <w:fldChar w:fldCharType="end"/>
      </w:r>
      <w:bookmarkEnd w:id="1"/>
      <w:r w:rsidR="00580132">
        <w:t xml:space="preserve"> –</w:t>
      </w:r>
      <w:r>
        <w:t xml:space="preserve"> Document overview</w:t>
      </w:r>
      <w:bookmarkEnd w:id="2"/>
      <w:bookmarkEnd w:id="3"/>
      <w:bookmarkEnd w:id="4"/>
    </w:p>
    <w:p w14:paraId="397E7595" w14:textId="77777777" w:rsidR="00F1615C" w:rsidRDefault="00CC4273" w:rsidP="00CC4273">
      <w:pPr>
        <w:pStyle w:val="Bullet1"/>
        <w:numPr>
          <w:ilvl w:val="0"/>
          <w:numId w:val="0"/>
        </w:numPr>
        <w:rPr>
          <w:color w:val="auto"/>
        </w:rPr>
      </w:pPr>
      <w:r>
        <w:rPr>
          <w:rFonts w:eastAsiaTheme="minorEastAsia" w:cstheme="minorBidi"/>
          <w:noProof/>
          <w:sz w:val="16"/>
          <w:szCs w:val="16"/>
        </w:rPr>
        <w:drawing>
          <wp:inline distT="0" distB="0" distL="0" distR="0" wp14:anchorId="5773DD86" wp14:editId="73486FD3">
            <wp:extent cx="5731510" cy="861060"/>
            <wp:effectExtent l="0" t="0" r="2540" b="0"/>
            <wp:docPr id="20" name="Picture 20" descr="Figure 1 provides an overview of the contents of the document including a breakdown of each section across the three parts of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1 provides an overview of the contents of the document including a breakdown of each section across the three parts of the document."/>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731510" cy="861060"/>
                    </a:xfrm>
                    <a:prstGeom prst="rect">
                      <a:avLst/>
                    </a:prstGeom>
                    <a:noFill/>
                    <a:ln>
                      <a:noFill/>
                    </a:ln>
                  </pic:spPr>
                </pic:pic>
              </a:graphicData>
            </a:graphic>
          </wp:inline>
        </w:drawing>
      </w:r>
    </w:p>
    <w:p w14:paraId="3F7C94E9" w14:textId="46650E04" w:rsidR="00572669" w:rsidRPr="00572669" w:rsidRDefault="5B380B35" w:rsidP="00CC4273">
      <w:pPr>
        <w:pStyle w:val="Bullet1"/>
        <w:numPr>
          <w:ilvl w:val="0"/>
          <w:numId w:val="0"/>
        </w:numPr>
        <w:rPr>
          <w:color w:val="auto"/>
        </w:rPr>
      </w:pPr>
      <w:r w:rsidRPr="0F8AD4B4">
        <w:rPr>
          <w:color w:val="auto"/>
        </w:rPr>
        <w:t>Th</w:t>
      </w:r>
      <w:r w:rsidR="00DB1440" w:rsidRPr="0F8AD4B4">
        <w:rPr>
          <w:color w:val="auto"/>
        </w:rPr>
        <w:t>e</w:t>
      </w:r>
      <w:r w:rsidR="000E1093" w:rsidRPr="0F8AD4B4">
        <w:rPr>
          <w:color w:val="auto"/>
        </w:rPr>
        <w:t>s</w:t>
      </w:r>
      <w:r w:rsidR="00DB1440" w:rsidRPr="0F8AD4B4">
        <w:rPr>
          <w:color w:val="auto"/>
        </w:rPr>
        <w:t>e</w:t>
      </w:r>
      <w:r w:rsidRPr="0F8AD4B4">
        <w:rPr>
          <w:color w:val="auto"/>
        </w:rPr>
        <w:t xml:space="preserve"> guideline</w:t>
      </w:r>
      <w:r w:rsidR="00DB1440" w:rsidRPr="0F8AD4B4">
        <w:rPr>
          <w:color w:val="auto"/>
        </w:rPr>
        <w:t>s</w:t>
      </w:r>
      <w:r w:rsidRPr="0F8AD4B4">
        <w:rPr>
          <w:color w:val="auto"/>
        </w:rPr>
        <w:t xml:space="preserve"> appl</w:t>
      </w:r>
      <w:r w:rsidR="00515347" w:rsidRPr="0F8AD4B4">
        <w:rPr>
          <w:color w:val="auto"/>
        </w:rPr>
        <w:t>y</w:t>
      </w:r>
      <w:r w:rsidRPr="0F8AD4B4">
        <w:rPr>
          <w:color w:val="auto"/>
        </w:rPr>
        <w:t xml:space="preserve"> to all Victorian Government investments with a capital asset</w:t>
      </w:r>
      <w:r w:rsidR="009C67BA">
        <w:rPr>
          <w:color w:val="auto"/>
        </w:rPr>
        <w:t xml:space="preserve"> </w:t>
      </w:r>
      <w:r w:rsidRPr="0F8AD4B4">
        <w:rPr>
          <w:color w:val="auto"/>
        </w:rPr>
        <w:t>or information and communications technology component with a total estimated investment of $10</w:t>
      </w:r>
      <w:r w:rsidRPr="0F8AD4B4">
        <w:rPr>
          <w:rFonts w:ascii="Calibri" w:hAnsi="Calibri"/>
          <w:color w:val="auto"/>
        </w:rPr>
        <w:t> </w:t>
      </w:r>
      <w:r w:rsidRPr="0F8AD4B4">
        <w:rPr>
          <w:color w:val="auto"/>
        </w:rPr>
        <w:t xml:space="preserve">million or more. </w:t>
      </w:r>
      <w:r w:rsidR="00515347" w:rsidRPr="0F8AD4B4">
        <w:rPr>
          <w:color w:val="auto"/>
        </w:rPr>
        <w:t xml:space="preserve">They </w:t>
      </w:r>
      <w:r w:rsidRPr="0F8AD4B4">
        <w:rPr>
          <w:color w:val="auto"/>
        </w:rPr>
        <w:t>also appl</w:t>
      </w:r>
      <w:r w:rsidR="00515347" w:rsidRPr="0F8AD4B4">
        <w:rPr>
          <w:color w:val="auto"/>
        </w:rPr>
        <w:t>y</w:t>
      </w:r>
      <w:r w:rsidRPr="0F8AD4B4">
        <w:rPr>
          <w:color w:val="auto"/>
        </w:rPr>
        <w:t xml:space="preserve"> to investments </w:t>
      </w:r>
      <w:r w:rsidR="001D472D" w:rsidRPr="0F8AD4B4">
        <w:rPr>
          <w:color w:val="auto"/>
        </w:rPr>
        <w:t xml:space="preserve">that </w:t>
      </w:r>
      <w:r w:rsidR="004927D2" w:rsidRPr="0F8AD4B4">
        <w:rPr>
          <w:color w:val="auto"/>
        </w:rPr>
        <w:t>require</w:t>
      </w:r>
      <w:r w:rsidRPr="0F8AD4B4">
        <w:rPr>
          <w:color w:val="auto"/>
        </w:rPr>
        <w:t xml:space="preserve"> a full business case in line with the </w:t>
      </w:r>
      <w:hyperlink r:id="rId26" w:history="1">
        <w:r w:rsidR="3557FBCA" w:rsidRPr="0F8AD4B4">
          <w:rPr>
            <w:rStyle w:val="Hyperlink"/>
            <w:i/>
            <w:iCs/>
          </w:rPr>
          <w:t>Business Case Investment Lifecycle and High Value High Risk Guidelines</w:t>
        </w:r>
      </w:hyperlink>
      <w:r w:rsidR="3557FBCA">
        <w:t xml:space="preserve"> </w:t>
      </w:r>
      <w:r w:rsidRPr="0F8AD4B4">
        <w:rPr>
          <w:color w:val="auto"/>
        </w:rPr>
        <w:t>(</w:t>
      </w:r>
      <w:r w:rsidR="1A5DC561" w:rsidRPr="0F8AD4B4">
        <w:rPr>
          <w:color w:val="auto"/>
        </w:rPr>
        <w:t>refer to the next section</w:t>
      </w:r>
      <w:r w:rsidR="2B0C88ED" w:rsidRPr="0F8AD4B4">
        <w:rPr>
          <w:color w:val="auto"/>
        </w:rPr>
        <w:t>,</w:t>
      </w:r>
      <w:r w:rsidR="1A5DC561" w:rsidRPr="0F8AD4B4">
        <w:rPr>
          <w:color w:val="auto"/>
        </w:rPr>
        <w:t xml:space="preserve"> </w:t>
      </w:r>
      <w:r w:rsidR="00785D7D" w:rsidRPr="0F8AD4B4">
        <w:rPr>
          <w:color w:val="auto"/>
        </w:rPr>
        <w:t>‘</w:t>
      </w:r>
      <w:r w:rsidR="00142D3D">
        <w:rPr>
          <w:color w:val="auto"/>
        </w:rPr>
        <w:fldChar w:fldCharType="begin"/>
      </w:r>
      <w:r w:rsidR="00142D3D">
        <w:rPr>
          <w:color w:val="auto"/>
        </w:rPr>
        <w:instrText xml:space="preserve"> REF _Ref160457337 \h </w:instrText>
      </w:r>
      <w:r w:rsidR="00142D3D">
        <w:rPr>
          <w:color w:val="auto"/>
        </w:rPr>
      </w:r>
      <w:r w:rsidR="00142D3D">
        <w:rPr>
          <w:color w:val="auto"/>
        </w:rPr>
        <w:fldChar w:fldCharType="separate"/>
      </w:r>
      <w:r w:rsidR="008A4B3E" w:rsidRPr="00B40FC3">
        <w:t>Context</w:t>
      </w:r>
      <w:r w:rsidR="00142D3D">
        <w:rPr>
          <w:color w:val="auto"/>
        </w:rPr>
        <w:fldChar w:fldCharType="end"/>
      </w:r>
      <w:r w:rsidR="694048B6" w:rsidRPr="0F8AD4B4">
        <w:rPr>
          <w:color w:val="auto"/>
        </w:rPr>
        <w:t>,</w:t>
      </w:r>
      <w:r w:rsidR="00785D7D" w:rsidRPr="0F8AD4B4">
        <w:rPr>
          <w:color w:val="auto"/>
        </w:rPr>
        <w:t>’</w:t>
      </w:r>
      <w:r w:rsidR="0095282E" w:rsidRPr="0F8AD4B4">
        <w:rPr>
          <w:color w:val="auto"/>
        </w:rPr>
        <w:t xml:space="preserve"> which</w:t>
      </w:r>
      <w:r w:rsidRPr="0F8AD4B4">
        <w:rPr>
          <w:color w:val="auto"/>
        </w:rPr>
        <w:t xml:space="preserve"> explains the guideline suite).</w:t>
      </w:r>
    </w:p>
    <w:p w14:paraId="29697A8D" w14:textId="1C69E76F" w:rsidR="00572669" w:rsidRPr="00572669" w:rsidRDefault="00572669" w:rsidP="00572669">
      <w:pPr>
        <w:rPr>
          <w:color w:val="auto"/>
        </w:rPr>
      </w:pPr>
      <w:r w:rsidRPr="0F8AD4B4">
        <w:rPr>
          <w:color w:val="auto"/>
        </w:rPr>
        <w:t>Th</w:t>
      </w:r>
      <w:r w:rsidR="00DB1440" w:rsidRPr="0F8AD4B4">
        <w:rPr>
          <w:color w:val="auto"/>
        </w:rPr>
        <w:t>e</w:t>
      </w:r>
      <w:r w:rsidR="004927D2" w:rsidRPr="0F8AD4B4">
        <w:rPr>
          <w:color w:val="auto"/>
        </w:rPr>
        <w:t>s</w:t>
      </w:r>
      <w:r w:rsidR="00DB1440" w:rsidRPr="0F8AD4B4">
        <w:rPr>
          <w:color w:val="auto"/>
        </w:rPr>
        <w:t>e</w:t>
      </w:r>
      <w:r w:rsidRPr="0F8AD4B4">
        <w:rPr>
          <w:color w:val="auto"/>
        </w:rPr>
        <w:t xml:space="preserve"> </w:t>
      </w:r>
      <w:r w:rsidR="004927D2" w:rsidRPr="0F8AD4B4">
        <w:rPr>
          <w:color w:val="auto"/>
        </w:rPr>
        <w:t>guideline</w:t>
      </w:r>
      <w:r w:rsidR="00DB1440" w:rsidRPr="0F8AD4B4">
        <w:rPr>
          <w:color w:val="auto"/>
        </w:rPr>
        <w:t>s</w:t>
      </w:r>
      <w:r w:rsidR="004927D2" w:rsidRPr="0F8AD4B4">
        <w:rPr>
          <w:color w:val="auto"/>
        </w:rPr>
        <w:t xml:space="preserve"> </w:t>
      </w:r>
      <w:r w:rsidRPr="0F8AD4B4">
        <w:rPr>
          <w:color w:val="auto"/>
        </w:rPr>
        <w:t>appl</w:t>
      </w:r>
      <w:r w:rsidR="00012B57" w:rsidRPr="0F8AD4B4">
        <w:rPr>
          <w:color w:val="auto"/>
        </w:rPr>
        <w:t>y</w:t>
      </w:r>
      <w:r w:rsidRPr="0F8AD4B4">
        <w:rPr>
          <w:color w:val="auto"/>
        </w:rPr>
        <w:t xml:space="preserve"> to Victorian Government delivery agencies and portfolio departments. </w:t>
      </w:r>
      <w:r w:rsidR="00DB1440" w:rsidRPr="0F8AD4B4">
        <w:rPr>
          <w:color w:val="auto"/>
        </w:rPr>
        <w:t xml:space="preserve">They </w:t>
      </w:r>
      <w:r w:rsidRPr="0F8AD4B4">
        <w:rPr>
          <w:color w:val="auto"/>
        </w:rPr>
        <w:t>can also be used by other industry practitioners, government stakeholders, tenderers and advisers who wish to understand government asset procurement.</w:t>
      </w:r>
    </w:p>
    <w:p w14:paraId="0AA58AAB" w14:textId="6421409B" w:rsidR="00572669" w:rsidRPr="00572669" w:rsidRDefault="00572669" w:rsidP="00572669">
      <w:pPr>
        <w:rPr>
          <w:color w:val="auto"/>
        </w:rPr>
      </w:pPr>
      <w:r w:rsidRPr="00572669">
        <w:rPr>
          <w:color w:val="auto"/>
        </w:rPr>
        <w:t>Th</w:t>
      </w:r>
      <w:r w:rsidR="00012B57">
        <w:rPr>
          <w:color w:val="auto"/>
        </w:rPr>
        <w:t>ese</w:t>
      </w:r>
      <w:r w:rsidRPr="00572669">
        <w:rPr>
          <w:color w:val="auto"/>
        </w:rPr>
        <w:t xml:space="preserve"> guideline</w:t>
      </w:r>
      <w:r w:rsidR="00012B57">
        <w:rPr>
          <w:color w:val="auto"/>
        </w:rPr>
        <w:t>s</w:t>
      </w:r>
      <w:r w:rsidRPr="00572669">
        <w:rPr>
          <w:color w:val="auto"/>
        </w:rPr>
        <w:t xml:space="preserve"> </w:t>
      </w:r>
      <w:r w:rsidR="00012B57">
        <w:rPr>
          <w:color w:val="auto"/>
        </w:rPr>
        <w:t>are</w:t>
      </w:r>
      <w:r w:rsidR="00012B57" w:rsidRPr="00572669">
        <w:rPr>
          <w:color w:val="auto"/>
        </w:rPr>
        <w:t xml:space="preserve"> </w:t>
      </w:r>
      <w:r w:rsidRPr="00572669">
        <w:rPr>
          <w:color w:val="auto"/>
        </w:rPr>
        <w:t>intended to be applied flexibly, depending on the size, risk, complexity and other characteristics of an investment.</w:t>
      </w:r>
    </w:p>
    <w:tbl>
      <w:tblPr>
        <w:tblStyle w:val="DTFtexttable"/>
        <w:tblW w:w="0" w:type="auto"/>
        <w:tblBorders>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699"/>
        <w:gridCol w:w="8327"/>
      </w:tblGrid>
      <w:tr w:rsidR="002B23AD" w14:paraId="78FD3759" w14:textId="77777777" w:rsidTr="2A57419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30" w:type="dxa"/>
            <w:shd w:val="clear" w:color="auto" w:fill="F2F2F2" w:themeFill="background1" w:themeFillShade="F2"/>
          </w:tcPr>
          <w:p w14:paraId="0BC58A35" w14:textId="77777777" w:rsidR="002B23AD" w:rsidRPr="00D33374" w:rsidRDefault="002B23AD" w:rsidP="00947D91">
            <w:pPr>
              <w:keepNext w:val="0"/>
              <w:rPr>
                <w:rFonts w:asciiTheme="minorHAnsi" w:hAnsiTheme="minorHAnsi"/>
                <w:color w:val="auto"/>
              </w:rPr>
            </w:pPr>
            <w:r>
              <w:rPr>
                <w:noProof/>
              </w:rPr>
              <w:drawing>
                <wp:inline distT="0" distB="0" distL="0" distR="0" wp14:anchorId="25413A15" wp14:editId="42580558">
                  <wp:extent cx="371475" cy="278607"/>
                  <wp:effectExtent l="0" t="0" r="0" b="7620"/>
                  <wp:docPr id="7" name="Picture 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8336" w:type="dxa"/>
            <w:shd w:val="clear" w:color="auto" w:fill="F2F2F2" w:themeFill="background1" w:themeFillShade="F2"/>
          </w:tcPr>
          <w:p w14:paraId="3453BCB1" w14:textId="0D1C70E8" w:rsidR="002B23AD" w:rsidRPr="009E37B7" w:rsidRDefault="0D52EA88" w:rsidP="2A57419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bookmarkStart w:id="5" w:name="OLE_LINK72"/>
            <w:bookmarkStart w:id="6" w:name="OLE_LINK73"/>
            <w:r w:rsidRPr="2A57419C">
              <w:rPr>
                <w:rFonts w:asciiTheme="minorHAnsi" w:hAnsiTheme="minorHAnsi"/>
              </w:rPr>
              <w:t>The Ministerial Directions and Instructions</w:t>
            </w:r>
            <w:r w:rsidR="264D79E1" w:rsidRPr="2A57419C">
              <w:rPr>
                <w:rFonts w:asciiTheme="minorHAnsi" w:hAnsiTheme="minorHAnsi"/>
              </w:rPr>
              <w:t xml:space="preserve"> </w:t>
            </w:r>
            <w:r w:rsidRPr="2A57419C">
              <w:rPr>
                <w:rFonts w:asciiTheme="minorHAnsi" w:hAnsiTheme="minorHAnsi"/>
              </w:rPr>
              <w:t>for Public Construction Procurement, established under Part 4 of the</w:t>
            </w:r>
            <w:r w:rsidRPr="2A57419C">
              <w:rPr>
                <w:rFonts w:asciiTheme="minorHAnsi" w:hAnsiTheme="minorHAnsi"/>
                <w:i/>
                <w:iCs/>
              </w:rPr>
              <w:t xml:space="preserve"> </w:t>
            </w:r>
            <w:hyperlink r:id="rId28">
              <w:r w:rsidRPr="2A57419C">
                <w:rPr>
                  <w:rFonts w:asciiTheme="minorHAnsi" w:hAnsiTheme="minorHAnsi"/>
                  <w:i/>
                  <w:iCs/>
                </w:rPr>
                <w:t>Project Development and Construction Management Act 1994</w:t>
              </w:r>
              <w:r w:rsidRPr="2A57419C">
                <w:rPr>
                  <w:rFonts w:ascii="Calibri" w:hAnsi="Calibri" w:cs="Calibri"/>
                  <w:i/>
                  <w:iCs/>
                </w:rPr>
                <w:t> </w:t>
              </w:r>
              <w:r w:rsidRPr="2A57419C">
                <w:rPr>
                  <w:rFonts w:asciiTheme="minorHAnsi" w:hAnsiTheme="minorHAnsi"/>
                </w:rPr>
                <w:t>(Vic)</w:t>
              </w:r>
            </w:hyperlink>
            <w:r w:rsidR="007D2C11">
              <w:t>,</w:t>
            </w:r>
            <w:r w:rsidRPr="2A57419C">
              <w:rPr>
                <w:rFonts w:asciiTheme="minorHAnsi" w:hAnsiTheme="minorHAnsi"/>
              </w:rPr>
              <w:t xml:space="preserve"> establish </w:t>
            </w:r>
            <w:bookmarkEnd w:id="5"/>
            <w:bookmarkEnd w:id="6"/>
            <w:r w:rsidRPr="2A57419C">
              <w:rPr>
                <w:rFonts w:asciiTheme="minorHAnsi" w:hAnsiTheme="minorHAnsi"/>
              </w:rPr>
              <w:t>mandatory requirements that agencies must comply with when they procure public construction</w:t>
            </w:r>
            <w:r w:rsidR="6C813DBF" w:rsidRPr="2A57419C">
              <w:rPr>
                <w:rFonts w:asciiTheme="minorHAnsi" w:hAnsiTheme="minorHAnsi"/>
              </w:rPr>
              <w:t xml:space="preserve"> works and services</w:t>
            </w:r>
            <w:r w:rsidRPr="2A57419C">
              <w:rPr>
                <w:rFonts w:asciiTheme="minorHAnsi" w:hAnsiTheme="minorHAnsi"/>
              </w:rPr>
              <w:t>.</w:t>
            </w:r>
          </w:p>
          <w:p w14:paraId="0B7A96F0" w14:textId="7133DE1C" w:rsidR="002B23AD" w:rsidRPr="009E37B7" w:rsidRDefault="002B23AD" w:rsidP="00947D91">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9E37B7">
              <w:rPr>
                <w:rFonts w:asciiTheme="minorHAnsi" w:hAnsiTheme="minorHAnsi"/>
              </w:rPr>
              <w:t xml:space="preserve">Mandatory requirements are highlighted throughout this document. Further guidance is </w:t>
            </w:r>
            <w:r w:rsidR="006A5EC9">
              <w:rPr>
                <w:rFonts w:asciiTheme="minorHAnsi" w:hAnsiTheme="minorHAnsi"/>
              </w:rPr>
              <w:t>availa</w:t>
            </w:r>
            <w:r w:rsidR="006A5EC9" w:rsidRPr="009E37B7">
              <w:rPr>
                <w:rFonts w:asciiTheme="minorHAnsi" w:hAnsiTheme="minorHAnsi"/>
              </w:rPr>
              <w:t xml:space="preserve">ble </w:t>
            </w:r>
            <w:r w:rsidRPr="009E37B7">
              <w:rPr>
                <w:rFonts w:asciiTheme="minorHAnsi" w:hAnsiTheme="minorHAnsi"/>
              </w:rPr>
              <w:t xml:space="preserve">at: </w:t>
            </w:r>
            <w:hyperlink r:id="rId29" w:history="1">
              <w:hyperlink r:id="rId30" w:history="1">
                <w:r w:rsidRPr="009E37B7">
                  <w:rPr>
                    <w:rStyle w:val="Hyperlink"/>
                    <w:rFonts w:asciiTheme="minorHAnsi" w:hAnsiTheme="minorHAnsi"/>
                  </w:rPr>
                  <w:t>https://www.dtf.vic.gov.au/infrastructure-investment/public-construction-policy-and-resources</w:t>
                </w:r>
              </w:hyperlink>
            </w:hyperlink>
            <w:r w:rsidR="0061559F" w:rsidRPr="00380D57">
              <w:t>.</w:t>
            </w:r>
          </w:p>
        </w:tc>
      </w:tr>
    </w:tbl>
    <w:p w14:paraId="4241379D" w14:textId="77777777" w:rsidR="00D72349" w:rsidRDefault="247AD1E3" w:rsidP="00A937FD">
      <w:pPr>
        <w:pStyle w:val="Heading2"/>
      </w:pPr>
      <w:bookmarkStart w:id="7" w:name="_Ref160457337"/>
      <w:r w:rsidRPr="00B40FC3">
        <w:t>Context</w:t>
      </w:r>
      <w:bookmarkEnd w:id="7"/>
    </w:p>
    <w:p w14:paraId="7BFDE1B4" w14:textId="1E5E98F1" w:rsidR="00B40FC3" w:rsidRDefault="00D72349" w:rsidP="00D72349">
      <w:pPr>
        <w:pStyle w:val="Heading3"/>
      </w:pPr>
      <w:r>
        <w:t>The investment lifecycle</w:t>
      </w:r>
    </w:p>
    <w:p w14:paraId="0D18D3C3" w14:textId="16A3E9AF" w:rsidR="00C113B9" w:rsidRPr="00B40FC3" w:rsidRDefault="425BBF17" w:rsidP="00E77A73">
      <w:r>
        <w:t>Th</w:t>
      </w:r>
      <w:r w:rsidR="00CF020A">
        <w:t>is document</w:t>
      </w:r>
      <w:r w:rsidR="309E9D4F">
        <w:t xml:space="preserve"> is </w:t>
      </w:r>
      <w:r w:rsidR="008F0B75">
        <w:t>part of</w:t>
      </w:r>
      <w:r w:rsidR="00A35D39">
        <w:t xml:space="preserve"> a suite of guidance documents </w:t>
      </w:r>
      <w:r w:rsidR="00841D3B">
        <w:t xml:space="preserve">that </w:t>
      </w:r>
      <w:r w:rsidR="00A35D39">
        <w:t>makes up the</w:t>
      </w:r>
      <w:r w:rsidR="309E9D4F" w:rsidDel="00A35D39">
        <w:t xml:space="preserve"> </w:t>
      </w:r>
      <w:r w:rsidR="10E09C1A" w:rsidRPr="53A80135">
        <w:t xml:space="preserve">Investment Lifecycle and </w:t>
      </w:r>
      <w:r w:rsidRPr="53A80135">
        <w:t>High Value High Risk (HVHR) Guidelines (</w:t>
      </w:r>
      <w:r w:rsidR="20AB70E5" w:rsidRPr="53A80135">
        <w:t>ILG</w:t>
      </w:r>
      <w:r w:rsidRPr="53A80135">
        <w:t>)</w:t>
      </w:r>
      <w:r w:rsidRPr="76AB2BEA">
        <w:rPr>
          <w:i/>
          <w:iCs/>
        </w:rPr>
        <w:t>.</w:t>
      </w:r>
      <w:r>
        <w:t xml:space="preserve"> </w:t>
      </w:r>
      <w:r w:rsidR="39F87EFF">
        <w:t>The investment lifecycle is the Victorian Government</w:t>
      </w:r>
      <w:r w:rsidR="00344D3F">
        <w:t>’</w:t>
      </w:r>
      <w:r w:rsidR="39F87EFF">
        <w:t xml:space="preserve">s process for planning, procuring and delivering </w:t>
      </w:r>
      <w:r>
        <w:t>asset</w:t>
      </w:r>
      <w:r w:rsidR="39F87EFF">
        <w:t xml:space="preserve"> investments, as set out in</w:t>
      </w:r>
      <w:r w:rsidR="00404DFE">
        <w:t xml:space="preserve"> </w:t>
      </w:r>
      <w:r w:rsidR="00404DFE">
        <w:fldChar w:fldCharType="begin" w:fldLock="1"/>
      </w:r>
      <w:r w:rsidR="00404DFE">
        <w:instrText xml:space="preserve"> REF _Ref145943490 \h </w:instrText>
      </w:r>
      <w:r w:rsidR="00404DFE">
        <w:fldChar w:fldCharType="separate"/>
      </w:r>
      <w:r w:rsidR="003D4A19">
        <w:t xml:space="preserve">Figure </w:t>
      </w:r>
      <w:r w:rsidR="003D4A19">
        <w:rPr>
          <w:noProof/>
        </w:rPr>
        <w:t>2</w:t>
      </w:r>
      <w:r w:rsidR="00404DFE">
        <w:fldChar w:fldCharType="end"/>
      </w:r>
      <w:r w:rsidR="39F87EFF">
        <w:t>.</w:t>
      </w:r>
    </w:p>
    <w:p w14:paraId="6AE93130" w14:textId="411C9236" w:rsidR="00C113B9" w:rsidRPr="00B40FC3" w:rsidRDefault="005A585C" w:rsidP="005A585C">
      <w:pPr>
        <w:pStyle w:val="Caption"/>
      </w:pPr>
      <w:bookmarkStart w:id="8" w:name="_Ref145943490"/>
      <w:bookmarkStart w:id="9" w:name="_Toc160457771"/>
      <w:r>
        <w:t xml:space="preserve">Figure </w:t>
      </w:r>
      <w:r>
        <w:fldChar w:fldCharType="begin"/>
      </w:r>
      <w:r>
        <w:instrText>SEQ Figure \* ARABIC</w:instrText>
      </w:r>
      <w:r>
        <w:fldChar w:fldCharType="separate"/>
      </w:r>
      <w:r w:rsidR="008A4B3E">
        <w:rPr>
          <w:noProof/>
        </w:rPr>
        <w:t>2</w:t>
      </w:r>
      <w:r>
        <w:fldChar w:fldCharType="end"/>
      </w:r>
      <w:bookmarkEnd w:id="8"/>
      <w:r w:rsidR="00E958D5">
        <w:t xml:space="preserve"> –</w:t>
      </w:r>
      <w:r w:rsidR="00C113B9" w:rsidRPr="00B40FC3">
        <w:t xml:space="preserve"> The investment lifecycle</w:t>
      </w:r>
      <w:bookmarkEnd w:id="9"/>
    </w:p>
    <w:tbl>
      <w:tblPr>
        <w:tblStyle w:val="DTFtexttable"/>
        <w:tblW w:w="9060"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ayout w:type="fixed"/>
        <w:tblCellMar>
          <w:left w:w="86" w:type="dxa"/>
          <w:right w:w="86" w:type="dxa"/>
        </w:tblCellMar>
        <w:tblLook w:val="0620" w:firstRow="1" w:lastRow="0" w:firstColumn="0" w:lastColumn="0" w:noHBand="1" w:noVBand="1"/>
      </w:tblPr>
      <w:tblGrid>
        <w:gridCol w:w="3050"/>
        <w:gridCol w:w="3050"/>
        <w:gridCol w:w="2960"/>
      </w:tblGrid>
      <w:tr w:rsidR="00AD1B60" w:rsidRPr="00CE1D02" w14:paraId="6A90D6FD" w14:textId="77777777" w:rsidTr="00947D91">
        <w:trPr>
          <w:cnfStyle w:val="100000000000" w:firstRow="1" w:lastRow="0" w:firstColumn="0" w:lastColumn="0" w:oddVBand="0" w:evenVBand="0" w:oddHBand="0" w:evenHBand="0" w:firstRowFirstColumn="0" w:firstRowLastColumn="0" w:lastRowFirstColumn="0" w:lastRowLastColumn="0"/>
          <w:trHeight w:val="522"/>
        </w:trPr>
        <w:tc>
          <w:tcPr>
            <w:tcW w:w="3050" w:type="dxa"/>
            <w:tcBorders>
              <w:left w:val="nil"/>
            </w:tcBorders>
            <w:shd w:val="clear" w:color="auto" w:fill="3A3467" w:themeFill="text2"/>
          </w:tcPr>
          <w:p w14:paraId="0F10FBCC" w14:textId="77777777" w:rsidR="00AD1B60" w:rsidRPr="00CE1D02" w:rsidRDefault="00AD1B60" w:rsidP="00947D91">
            <w:pPr>
              <w:rPr>
                <w:rFonts w:ascii="VIC" w:hAnsi="VIC" w:cs="Arial"/>
                <w:b/>
                <w:color w:val="auto"/>
              </w:rPr>
            </w:pPr>
            <w:r w:rsidRPr="00CE1D02">
              <w:rPr>
                <w:rFonts w:ascii="VIC" w:hAnsi="VIC" w:cs="Arial"/>
                <w:b/>
                <w:color w:val="auto"/>
              </w:rPr>
              <w:t>Business case</w:t>
            </w:r>
          </w:p>
        </w:tc>
        <w:tc>
          <w:tcPr>
            <w:tcW w:w="3050" w:type="dxa"/>
            <w:shd w:val="clear" w:color="auto" w:fill="AB5DBA" w:themeFill="accent2"/>
          </w:tcPr>
          <w:p w14:paraId="1998703E" w14:textId="77777777" w:rsidR="00AD1B60" w:rsidRPr="00CE1D02" w:rsidRDefault="00AD1B60" w:rsidP="00947D91">
            <w:pPr>
              <w:rPr>
                <w:rFonts w:ascii="VIC" w:hAnsi="VIC" w:cs="Arial"/>
                <w:b/>
                <w:color w:val="auto"/>
              </w:rPr>
            </w:pPr>
            <w:r w:rsidRPr="00CE1D02">
              <w:rPr>
                <w:rFonts w:ascii="VIC" w:hAnsi="VIC" w:cs="Arial"/>
                <w:b/>
                <w:color w:val="auto"/>
              </w:rPr>
              <w:t>Procurement</w:t>
            </w:r>
          </w:p>
        </w:tc>
        <w:tc>
          <w:tcPr>
            <w:tcW w:w="2960" w:type="dxa"/>
            <w:shd w:val="clear" w:color="auto" w:fill="5BBD74"/>
          </w:tcPr>
          <w:p w14:paraId="0816B7AB" w14:textId="77777777" w:rsidR="00AD1B60" w:rsidRPr="00CE1D02" w:rsidRDefault="00AD1B60" w:rsidP="00947D91">
            <w:pPr>
              <w:rPr>
                <w:rFonts w:ascii="VIC" w:hAnsi="VIC" w:cs="Arial"/>
                <w:b/>
                <w:color w:val="auto"/>
              </w:rPr>
            </w:pPr>
            <w:r w:rsidRPr="00CE1D02">
              <w:rPr>
                <w:rFonts w:ascii="VIC" w:hAnsi="VIC" w:cs="Arial"/>
                <w:b/>
                <w:color w:val="auto"/>
              </w:rPr>
              <w:t>Delivery</w:t>
            </w:r>
          </w:p>
        </w:tc>
      </w:tr>
      <w:tr w:rsidR="00AD1B60" w:rsidRPr="00CE1D02" w14:paraId="41AAC1F0" w14:textId="77777777" w:rsidTr="00947D91">
        <w:trPr>
          <w:trHeight w:val="871"/>
        </w:trPr>
        <w:tc>
          <w:tcPr>
            <w:tcW w:w="3050" w:type="dxa"/>
            <w:tcBorders>
              <w:left w:val="nil"/>
            </w:tcBorders>
            <w:shd w:val="clear" w:color="auto" w:fill="E4E8EE" w:themeFill="text1" w:themeFillTint="1A"/>
          </w:tcPr>
          <w:p w14:paraId="519486C5" w14:textId="7EC454DB" w:rsidR="00AD1B60" w:rsidRPr="00CE1D02" w:rsidRDefault="00AD1B60" w:rsidP="00947D91">
            <w:pPr>
              <w:pStyle w:val="Tabletext"/>
              <w:keepNext/>
              <w:rPr>
                <w:rFonts w:ascii="VIC" w:hAnsi="VIC" w:cs="Arial"/>
                <w:b/>
                <w:color w:val="auto"/>
                <w:szCs w:val="18"/>
              </w:rPr>
            </w:pPr>
            <w:r w:rsidRPr="00CE1D02">
              <w:rPr>
                <w:rFonts w:ascii="VIC" w:hAnsi="VIC" w:cs="Arial"/>
                <w:b/>
                <w:color w:val="auto"/>
                <w:szCs w:val="18"/>
              </w:rPr>
              <w:t>Establishes need, defines benefits, explores interventions, estimates costs, identifies delivery process</w:t>
            </w:r>
          </w:p>
        </w:tc>
        <w:tc>
          <w:tcPr>
            <w:tcW w:w="3050" w:type="dxa"/>
            <w:shd w:val="clear" w:color="auto" w:fill="EEDEF1" w:themeFill="accent2" w:themeFillTint="33"/>
          </w:tcPr>
          <w:p w14:paraId="4A030BC2" w14:textId="7601E2C9" w:rsidR="00AD1B60" w:rsidRPr="00CE1D02" w:rsidRDefault="00AD1B60" w:rsidP="00947D91">
            <w:pPr>
              <w:pStyle w:val="Tabletext"/>
              <w:rPr>
                <w:rFonts w:ascii="VIC" w:hAnsi="VIC" w:cs="Arial"/>
                <w:b/>
                <w:color w:val="auto"/>
                <w:szCs w:val="18"/>
              </w:rPr>
            </w:pPr>
            <w:r w:rsidRPr="00CE1D02">
              <w:rPr>
                <w:rFonts w:ascii="VIC" w:hAnsi="VIC" w:cs="Arial"/>
                <w:b/>
                <w:color w:val="auto"/>
                <w:szCs w:val="18"/>
              </w:rPr>
              <w:t>Explores delivery options, finalises delivery plan, engages the market, awards the contract</w:t>
            </w:r>
          </w:p>
        </w:tc>
        <w:tc>
          <w:tcPr>
            <w:tcW w:w="2960" w:type="dxa"/>
            <w:shd w:val="clear" w:color="auto" w:fill="DEF2E3"/>
          </w:tcPr>
          <w:p w14:paraId="71E6E34C" w14:textId="269C9069" w:rsidR="00AD1B60" w:rsidRPr="00CE1D02" w:rsidRDefault="00AD1B60" w:rsidP="00947D91">
            <w:pPr>
              <w:pStyle w:val="Tabletext"/>
              <w:rPr>
                <w:rFonts w:ascii="VIC" w:hAnsi="VIC" w:cs="Arial"/>
                <w:b/>
                <w:color w:val="auto"/>
                <w:szCs w:val="18"/>
              </w:rPr>
            </w:pPr>
            <w:r w:rsidRPr="00CE1D02">
              <w:rPr>
                <w:rFonts w:ascii="VIC" w:hAnsi="VIC" w:cs="Arial"/>
                <w:b/>
                <w:color w:val="auto"/>
                <w:szCs w:val="18"/>
              </w:rPr>
              <w:t>Implements solution, transitions investment into normal business</w:t>
            </w:r>
          </w:p>
        </w:tc>
      </w:tr>
      <w:tr w:rsidR="00AD1B60" w:rsidRPr="00620E90" w14:paraId="3D84174A" w14:textId="77777777" w:rsidTr="00947D91">
        <w:trPr>
          <w:trHeight w:val="1300"/>
        </w:trPr>
        <w:tc>
          <w:tcPr>
            <w:tcW w:w="3050" w:type="dxa"/>
            <w:tcBorders>
              <w:left w:val="nil"/>
            </w:tcBorders>
            <w:shd w:val="clear" w:color="auto" w:fill="E4E8EE" w:themeFill="text1" w:themeFillTint="1A"/>
          </w:tcPr>
          <w:p w14:paraId="4EDEDA3F" w14:textId="77777777" w:rsidR="00AD1B60" w:rsidRPr="00620E90" w:rsidRDefault="00AD1B60" w:rsidP="00947D91">
            <w:pPr>
              <w:pStyle w:val="Tabletext"/>
              <w:rPr>
                <w:rFonts w:ascii="VIC" w:hAnsi="VIC" w:cs="Arial"/>
                <w:color w:val="auto"/>
                <w:sz w:val="16"/>
                <w:szCs w:val="16"/>
              </w:rPr>
            </w:pPr>
            <w:r w:rsidRPr="00620E90">
              <w:rPr>
                <w:rFonts w:ascii="VIC" w:hAnsi="VIC" w:cs="Arial"/>
                <w:color w:val="auto"/>
                <w:sz w:val="16"/>
                <w:szCs w:val="16"/>
              </w:rPr>
              <w:t>What is the problem, issue or service need?</w:t>
            </w:r>
          </w:p>
          <w:p w14:paraId="5667765B" w14:textId="77777777" w:rsidR="00AD1B60" w:rsidRPr="00620E90" w:rsidRDefault="00AD1B60" w:rsidP="00947D91">
            <w:pPr>
              <w:pStyle w:val="Tabletext"/>
              <w:rPr>
                <w:rFonts w:ascii="VIC" w:hAnsi="VIC" w:cs="Arial"/>
                <w:color w:val="auto"/>
                <w:sz w:val="16"/>
                <w:szCs w:val="16"/>
              </w:rPr>
            </w:pPr>
            <w:r w:rsidRPr="00620E90">
              <w:rPr>
                <w:rFonts w:ascii="VIC" w:hAnsi="VIC" w:cs="Arial"/>
                <w:color w:val="auto"/>
                <w:sz w:val="16"/>
                <w:szCs w:val="16"/>
              </w:rPr>
              <w:t>What are the benefits from addressing the problem?</w:t>
            </w:r>
          </w:p>
          <w:p w14:paraId="5A34683C" w14:textId="77777777" w:rsidR="00AD1B60" w:rsidRPr="00620E90" w:rsidRDefault="00AD1B60" w:rsidP="00947D91">
            <w:pPr>
              <w:pStyle w:val="Tabletext"/>
              <w:rPr>
                <w:rFonts w:ascii="VIC" w:hAnsi="VIC" w:cs="Arial"/>
                <w:color w:val="auto"/>
                <w:sz w:val="16"/>
                <w:szCs w:val="16"/>
              </w:rPr>
            </w:pPr>
            <w:r w:rsidRPr="00620E90">
              <w:rPr>
                <w:rFonts w:ascii="VIC" w:hAnsi="VIC" w:cs="Arial"/>
                <w:color w:val="auto"/>
                <w:sz w:val="16"/>
                <w:szCs w:val="16"/>
              </w:rPr>
              <w:t>Is there a compelling case for investing?</w:t>
            </w:r>
          </w:p>
          <w:p w14:paraId="278FA435" w14:textId="77777777" w:rsidR="00AD1B60" w:rsidRPr="00620E90" w:rsidRDefault="00AD1B60" w:rsidP="00947D91">
            <w:pPr>
              <w:pStyle w:val="Tabletext"/>
              <w:rPr>
                <w:rFonts w:ascii="VIC" w:hAnsi="VIC" w:cs="Arial"/>
                <w:color w:val="auto"/>
                <w:sz w:val="16"/>
                <w:szCs w:val="16"/>
              </w:rPr>
            </w:pPr>
            <w:r w:rsidRPr="00620E90">
              <w:rPr>
                <w:rFonts w:ascii="VIC" w:hAnsi="VIC" w:cs="Arial"/>
                <w:color w:val="auto"/>
                <w:sz w:val="16"/>
                <w:szCs w:val="16"/>
              </w:rPr>
              <w:t>Can the project be delivered as planned?</w:t>
            </w:r>
          </w:p>
        </w:tc>
        <w:tc>
          <w:tcPr>
            <w:tcW w:w="3050" w:type="dxa"/>
            <w:shd w:val="clear" w:color="auto" w:fill="EEDEF1" w:themeFill="accent2" w:themeFillTint="33"/>
          </w:tcPr>
          <w:p w14:paraId="4C9B59FF" w14:textId="77777777" w:rsidR="00AD1B60" w:rsidRPr="00620E90" w:rsidRDefault="00AD1B60" w:rsidP="00947D91">
            <w:pPr>
              <w:pStyle w:val="Tabletext"/>
              <w:rPr>
                <w:rFonts w:ascii="VIC" w:hAnsi="VIC" w:cs="Arial"/>
                <w:color w:val="auto"/>
                <w:sz w:val="16"/>
                <w:szCs w:val="16"/>
              </w:rPr>
            </w:pPr>
            <w:r w:rsidRPr="00620E90">
              <w:rPr>
                <w:rFonts w:ascii="VIC" w:hAnsi="VIC" w:cs="Arial"/>
                <w:color w:val="auto"/>
                <w:sz w:val="16"/>
                <w:szCs w:val="16"/>
              </w:rPr>
              <w:t>What is the preferred method for packaging and procuring the investment?</w:t>
            </w:r>
          </w:p>
          <w:p w14:paraId="7ED8762E" w14:textId="77777777" w:rsidR="00AD1B60" w:rsidRPr="00620E90" w:rsidRDefault="00AD1B60" w:rsidP="00947D91">
            <w:pPr>
              <w:pStyle w:val="Tabletext"/>
              <w:rPr>
                <w:rFonts w:ascii="VIC" w:hAnsi="VIC" w:cs="Arial"/>
                <w:color w:val="auto"/>
                <w:sz w:val="16"/>
                <w:szCs w:val="16"/>
              </w:rPr>
            </w:pPr>
            <w:r w:rsidRPr="00620E90">
              <w:rPr>
                <w:rFonts w:ascii="VIC" w:hAnsi="VIC" w:cs="Arial"/>
                <w:color w:val="auto"/>
                <w:sz w:val="16"/>
                <w:szCs w:val="16"/>
              </w:rPr>
              <w:t>Has a fair and transparent procurement process been undertaken and market responses evaluated rigorously?</w:t>
            </w:r>
          </w:p>
          <w:p w14:paraId="513ACE27" w14:textId="77777777" w:rsidR="00AD1B60" w:rsidRPr="00620E90" w:rsidRDefault="00AD1B60" w:rsidP="00947D91">
            <w:pPr>
              <w:pStyle w:val="Tabletext"/>
              <w:rPr>
                <w:rFonts w:ascii="VIC" w:hAnsi="VIC" w:cs="Arial"/>
                <w:color w:val="auto"/>
                <w:sz w:val="16"/>
                <w:szCs w:val="16"/>
              </w:rPr>
            </w:pPr>
            <w:r w:rsidRPr="00620E90">
              <w:rPr>
                <w:rFonts w:ascii="VIC" w:hAnsi="VIC" w:cs="Arial"/>
                <w:color w:val="auto"/>
                <w:sz w:val="16"/>
                <w:szCs w:val="16"/>
              </w:rPr>
              <w:t>Is there a clear, preferred tender response that addresses the investment need and optimises value</w:t>
            </w:r>
            <w:r>
              <w:rPr>
                <w:rFonts w:ascii="VIC" w:hAnsi="VIC" w:cs="Arial" w:hint="eastAsia"/>
                <w:color w:val="auto"/>
                <w:sz w:val="16"/>
                <w:szCs w:val="16"/>
              </w:rPr>
              <w:t>-</w:t>
            </w:r>
            <w:r w:rsidRPr="00620E90">
              <w:rPr>
                <w:rFonts w:ascii="VIC" w:hAnsi="VIC" w:cs="Arial"/>
                <w:color w:val="auto"/>
                <w:sz w:val="16"/>
                <w:szCs w:val="16"/>
              </w:rPr>
              <w:t>for</w:t>
            </w:r>
            <w:r>
              <w:rPr>
                <w:rFonts w:ascii="VIC" w:hAnsi="VIC" w:cs="Arial" w:hint="eastAsia"/>
                <w:color w:val="auto"/>
                <w:sz w:val="16"/>
                <w:szCs w:val="16"/>
              </w:rPr>
              <w:t>-</w:t>
            </w:r>
            <w:r w:rsidRPr="00620E90">
              <w:rPr>
                <w:rFonts w:ascii="VIC" w:hAnsi="VIC" w:cs="Arial"/>
                <w:color w:val="auto"/>
                <w:sz w:val="16"/>
                <w:szCs w:val="16"/>
              </w:rPr>
              <w:t>money outcomes?</w:t>
            </w:r>
          </w:p>
        </w:tc>
        <w:tc>
          <w:tcPr>
            <w:tcW w:w="2960" w:type="dxa"/>
            <w:shd w:val="clear" w:color="auto" w:fill="DEF2E3"/>
          </w:tcPr>
          <w:p w14:paraId="5803895B" w14:textId="77777777" w:rsidR="00AD1B60" w:rsidRPr="00620E90" w:rsidRDefault="00AD1B60" w:rsidP="00947D91">
            <w:pPr>
              <w:pStyle w:val="Tabletext"/>
              <w:rPr>
                <w:rFonts w:ascii="VIC" w:hAnsi="VIC" w:cs="Arial"/>
                <w:color w:val="auto"/>
                <w:sz w:val="16"/>
                <w:szCs w:val="16"/>
              </w:rPr>
            </w:pPr>
            <w:r w:rsidRPr="00620E90">
              <w:rPr>
                <w:rFonts w:ascii="VIC" w:hAnsi="VIC" w:cs="Arial"/>
                <w:color w:val="auto"/>
                <w:sz w:val="16"/>
                <w:szCs w:val="16"/>
              </w:rPr>
              <w:t>Is the investment proceeding as planned?</w:t>
            </w:r>
          </w:p>
          <w:p w14:paraId="1AB94413" w14:textId="77777777" w:rsidR="00AD1B60" w:rsidRPr="00620E90" w:rsidRDefault="00AD1B60" w:rsidP="00947D91">
            <w:pPr>
              <w:pStyle w:val="Tabletext"/>
              <w:rPr>
                <w:rFonts w:ascii="VIC" w:hAnsi="VIC" w:cs="Arial"/>
                <w:color w:val="auto"/>
                <w:sz w:val="16"/>
                <w:szCs w:val="16"/>
              </w:rPr>
            </w:pPr>
            <w:r w:rsidRPr="00620E90">
              <w:rPr>
                <w:rFonts w:ascii="VIC" w:hAnsi="VIC" w:cs="Arial"/>
                <w:color w:val="auto"/>
                <w:sz w:val="16"/>
                <w:szCs w:val="16"/>
              </w:rPr>
              <w:t>Are the investment benefits being delivered?</w:t>
            </w:r>
          </w:p>
          <w:p w14:paraId="5075427A" w14:textId="77777777" w:rsidR="00AD1B60" w:rsidRPr="00620E90" w:rsidRDefault="00AD1B60" w:rsidP="00947D91">
            <w:pPr>
              <w:pStyle w:val="Tabletext"/>
              <w:rPr>
                <w:rFonts w:ascii="VIC" w:hAnsi="VIC" w:cs="Arial"/>
                <w:color w:val="auto"/>
                <w:sz w:val="16"/>
                <w:szCs w:val="16"/>
              </w:rPr>
            </w:pPr>
            <w:r w:rsidRPr="00CE1D02">
              <w:rPr>
                <w:rFonts w:ascii="VIC" w:hAnsi="VIC"/>
                <w:noProof/>
              </w:rPr>
              <mc:AlternateContent>
                <mc:Choice Requires="wps">
                  <w:drawing>
                    <wp:anchor distT="0" distB="0" distL="114300" distR="114300" simplePos="0" relativeHeight="251658752" behindDoc="0" locked="0" layoutInCell="1" allowOverlap="1" wp14:anchorId="7B0F0B2B" wp14:editId="0B2C733A">
                      <wp:simplePos x="0" y="0"/>
                      <wp:positionH relativeFrom="column">
                        <wp:posOffset>1309247</wp:posOffset>
                      </wp:positionH>
                      <wp:positionV relativeFrom="paragraph">
                        <wp:posOffset>52070</wp:posOffset>
                      </wp:positionV>
                      <wp:extent cx="1066800" cy="1295400"/>
                      <wp:effectExtent l="0" t="38100" r="38100" b="57150"/>
                      <wp:wrapNone/>
                      <wp:docPr id="8" name="Arrow: Right 8" descr="Figure 2 shows the Investment lifecycle from Business case; Procurement to Delivery for the Victorian Government’s process for planning, procuring and delivering asset invest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295400"/>
                              </a:xfrm>
                              <a:prstGeom prst="rightArrow">
                                <a:avLst>
                                  <a:gd name="adj1" fmla="val 50000"/>
                                  <a:gd name="adj2" fmla="val 25000"/>
                                </a:avLst>
                              </a:prstGeom>
                              <a:solidFill>
                                <a:schemeClr val="bg2">
                                  <a:lumMod val="100000"/>
                                  <a:lumOff val="0"/>
                                </a:schemeClr>
                              </a:solidFill>
                              <a:ln w="19050" cap="rnd">
                                <a:solidFill>
                                  <a:schemeClr val="bg2">
                                    <a:lumMod val="75000"/>
                                  </a:schemeClr>
                                </a:solidFill>
                                <a:prstDash val="sysDot"/>
                                <a:miter lim="800000"/>
                                <a:headEnd/>
                                <a:tailEnd/>
                              </a:ln>
                            </wps:spPr>
                            <wps:txbx>
                              <w:txbxContent>
                                <w:p w14:paraId="5A041D69" w14:textId="77777777" w:rsidR="00AD1B60" w:rsidRPr="008B15A9" w:rsidRDefault="00AD1B60" w:rsidP="00AD1B60">
                                  <w:pPr>
                                    <w:spacing w:before="0"/>
                                    <w:rPr>
                                      <w:rFonts w:ascii="VIC" w:hAnsi="VIC"/>
                                    </w:rPr>
                                  </w:pPr>
                                  <w:r w:rsidRPr="008B15A9">
                                    <w:rPr>
                                      <w:rFonts w:ascii="VIC" w:hAnsi="VIC"/>
                                    </w:rPr>
                                    <w:t>Gateway benefits realisatio</w:t>
                                  </w:r>
                                  <w:r>
                                    <w:rPr>
                                      <w:rFonts w:ascii="VIC" w:hAnsi="VIC"/>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F0B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 o:spid="_x0000_s1026" type="#_x0000_t13" alt="Figure 2 shows the Investment lifecycle from Business case; Procurement to Delivery for the Victorian Government’s process for planning, procuring and delivering asset investments.​" style="position:absolute;margin-left:103.1pt;margin-top:4.1pt;width:84pt;height:1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" fillcolor="#e7d1eb [3214]" strokecolor="#be83c9 [2414]" strokeweight="1.5pt">
                      <v:stroke dashstyle="1 1" endcap="round"/>
                      <v:textbox>
                        <w:txbxContent>
                          <w:p w14:paraId="5A041D69" w14:textId="77777777" w:rsidR="00AD1B60" w:rsidRPr="008B15A9" w:rsidRDefault="00AD1B60" w:rsidP="00AD1B60">
                            <w:pPr>
                              <w:spacing w:before="0"/>
                              <w:rPr>
                                <w:rFonts w:ascii="VIC" w:hAnsi="VIC"/>
                              </w:rPr>
                            </w:pPr>
                            <w:r w:rsidRPr="008B15A9">
                              <w:rPr>
                                <w:rFonts w:ascii="VIC" w:hAnsi="VIC"/>
                              </w:rPr>
                              <w:t>Gateway benefits realisatio</w:t>
                            </w:r>
                            <w:r>
                              <w:rPr>
                                <w:rFonts w:ascii="VIC" w:hAnsi="VIC"/>
                              </w:rPr>
                              <w:t>n</w:t>
                            </w:r>
                          </w:p>
                        </w:txbxContent>
                      </v:textbox>
                    </v:shape>
                  </w:pict>
                </mc:Fallback>
              </mc:AlternateContent>
            </w:r>
            <w:r w:rsidRPr="00620E90">
              <w:rPr>
                <w:rFonts w:ascii="VIC" w:hAnsi="VIC" w:cs="Arial"/>
                <w:color w:val="auto"/>
                <w:sz w:val="16"/>
                <w:szCs w:val="16"/>
              </w:rPr>
              <w:t>Are changes to the investment needed?</w:t>
            </w:r>
          </w:p>
        </w:tc>
      </w:tr>
    </w:tbl>
    <w:p w14:paraId="0F7E4AFA" w14:textId="77777777" w:rsidR="006E16E6" w:rsidRDefault="006E16E6" w:rsidP="001433EE"/>
    <w:p w14:paraId="5859DF90" w14:textId="6D7550FA" w:rsidR="001433EE" w:rsidRPr="00F94234" w:rsidRDefault="00A35D39" w:rsidP="001433EE">
      <w:pPr>
        <w:rPr>
          <w:rFonts w:ascii="VIC" w:hAnsi="VIC"/>
          <w:sz w:val="24"/>
          <w:szCs w:val="24"/>
        </w:rPr>
      </w:pPr>
      <w:r>
        <w:t>All documents in the ILG suite</w:t>
      </w:r>
      <w:r w:rsidR="2EB7CBF1">
        <w:t xml:space="preserve"> provide </w:t>
      </w:r>
      <w:r w:rsidR="52A0CF9B">
        <w:t>better</w:t>
      </w:r>
      <w:r w:rsidR="00D43901">
        <w:t>-</w:t>
      </w:r>
      <w:r w:rsidR="2EB7CBF1">
        <w:t>practice guidance for delivery agencies to navigate each stage of the investment lifecycle and successfully deliver an investment. Th</w:t>
      </w:r>
      <w:r w:rsidR="00CF73A5">
        <w:t xml:space="preserve">is document – </w:t>
      </w:r>
      <w:r w:rsidR="008F0B75">
        <w:t xml:space="preserve">the </w:t>
      </w:r>
      <w:r w:rsidR="2EB7CBF1">
        <w:t xml:space="preserve">Procurement </w:t>
      </w:r>
      <w:r w:rsidR="74CF7FF5">
        <w:t>ILG</w:t>
      </w:r>
      <w:r w:rsidR="2EB7CBF1">
        <w:t xml:space="preserve"> </w:t>
      </w:r>
      <w:r w:rsidR="008F0B75">
        <w:t xml:space="preserve">– </w:t>
      </w:r>
      <w:r w:rsidR="2EB7CBF1">
        <w:t>considers processes and issues that apply to all infrastructure procurements, regardless of procurement model. Delivery agencies should read th</w:t>
      </w:r>
      <w:r w:rsidR="006C7B37">
        <w:t xml:space="preserve">is Procurement ILG </w:t>
      </w:r>
      <w:r w:rsidR="2EB7CBF1">
        <w:t xml:space="preserve">in conjunction with the following </w:t>
      </w:r>
      <w:r w:rsidR="15ECA731">
        <w:t>guidelin</w:t>
      </w:r>
      <w:r w:rsidR="27029FF4">
        <w:t>e</w:t>
      </w:r>
      <w:r w:rsidR="002A700F">
        <w:t>s</w:t>
      </w:r>
      <w:r w:rsidR="2EB7CBF1">
        <w:t>, templates and tools:</w:t>
      </w:r>
    </w:p>
    <w:p w14:paraId="0AE27880" w14:textId="2A395BA2" w:rsidR="001433EE" w:rsidRPr="00F94234" w:rsidRDefault="2EB7CBF1" w:rsidP="001D2615">
      <w:pPr>
        <w:pStyle w:val="Bullet1"/>
        <w:numPr>
          <w:ilvl w:val="0"/>
          <w:numId w:val="1"/>
        </w:numPr>
      </w:pPr>
      <w:r>
        <w:t xml:space="preserve">the </w:t>
      </w:r>
      <w:hyperlink r:id="rId31" w:history="1">
        <w:r>
          <w:t xml:space="preserve">Business </w:t>
        </w:r>
        <w:r w:rsidR="00927C1F">
          <w:t>C</w:t>
        </w:r>
        <w:r>
          <w:t xml:space="preserve">ase </w:t>
        </w:r>
        <w:r w:rsidR="08BE2FC1" w:rsidRPr="0F8AD4B4">
          <w:rPr>
            <w:rStyle w:val="Hyperlink"/>
          </w:rPr>
          <w:t>ILG</w:t>
        </w:r>
      </w:hyperlink>
      <w:r w:rsidR="08BE2FC1">
        <w:t xml:space="preserve"> </w:t>
      </w:r>
      <w:r>
        <w:t>(when developing a procurement strategy)</w:t>
      </w:r>
    </w:p>
    <w:p w14:paraId="168788BF" w14:textId="48B06A8D" w:rsidR="001433EE" w:rsidRPr="00F94234" w:rsidRDefault="00894832" w:rsidP="001D2615">
      <w:pPr>
        <w:pStyle w:val="Bullet1"/>
        <w:numPr>
          <w:ilvl w:val="0"/>
          <w:numId w:val="1"/>
        </w:numPr>
      </w:pPr>
      <w:hyperlink r:id="rId32" w:history="1">
        <w:r w:rsidR="001433EE" w:rsidRPr="0F8AD4B4">
          <w:rPr>
            <w:rStyle w:val="Hyperlink"/>
          </w:rPr>
          <w:t>ILG supplement</w:t>
        </w:r>
        <w:r w:rsidR="006A5640">
          <w:rPr>
            <w:rStyle w:val="Hyperlink"/>
          </w:rPr>
          <w:t>ary guidance</w:t>
        </w:r>
        <w:r w:rsidR="001433EE" w:rsidRPr="0F8AD4B4">
          <w:rPr>
            <w:rStyle w:val="Hyperlink"/>
          </w:rPr>
          <w:t>s</w:t>
        </w:r>
      </w:hyperlink>
      <w:r w:rsidR="001433EE">
        <w:t xml:space="preserve"> </w:t>
      </w:r>
      <w:r w:rsidR="77BDA395">
        <w:t>including</w:t>
      </w:r>
      <w:r w:rsidR="001433EE">
        <w:t xml:space="preserve">: </w:t>
      </w:r>
    </w:p>
    <w:p w14:paraId="0979400D" w14:textId="32F47412" w:rsidR="001433EE" w:rsidRPr="00F94234" w:rsidRDefault="3F7F54C8" w:rsidP="00383589">
      <w:pPr>
        <w:pStyle w:val="Bullet1"/>
        <w:numPr>
          <w:ilvl w:val="1"/>
          <w:numId w:val="1"/>
        </w:numPr>
      </w:pPr>
      <w:r w:rsidRPr="00383589">
        <w:rPr>
          <w:i/>
        </w:rPr>
        <w:t>D</w:t>
      </w:r>
      <w:r w:rsidR="4561B90A" w:rsidRPr="00383589">
        <w:rPr>
          <w:i/>
        </w:rPr>
        <w:t xml:space="preserve">eveloping </w:t>
      </w:r>
      <w:r w:rsidR="00DA7DAE" w:rsidRPr="00383589">
        <w:rPr>
          <w:i/>
        </w:rPr>
        <w:t>information and communication technology</w:t>
      </w:r>
      <w:r w:rsidR="001433EE" w:rsidRPr="00383589">
        <w:rPr>
          <w:i/>
        </w:rPr>
        <w:t xml:space="preserve"> </w:t>
      </w:r>
      <w:r w:rsidR="3D72EA8E" w:rsidRPr="00383589">
        <w:rPr>
          <w:i/>
        </w:rPr>
        <w:t>investments</w:t>
      </w:r>
      <w:r w:rsidR="3D72EA8E" w:rsidRPr="2A57419C">
        <w:rPr>
          <w:i/>
          <w:iCs/>
        </w:rPr>
        <w:t>;</w:t>
      </w:r>
      <w:r w:rsidR="3D72EA8E">
        <w:t xml:space="preserve"> </w:t>
      </w:r>
    </w:p>
    <w:p w14:paraId="298EB85C" w14:textId="6715B000" w:rsidR="001433EE" w:rsidRPr="00F94234" w:rsidRDefault="12D92FCE" w:rsidP="0F8AD4B4">
      <w:pPr>
        <w:pStyle w:val="Bullet1"/>
        <w:numPr>
          <w:ilvl w:val="1"/>
          <w:numId w:val="1"/>
        </w:numPr>
      </w:pPr>
      <w:r w:rsidRPr="00383589">
        <w:rPr>
          <w:i/>
        </w:rPr>
        <w:t>P</w:t>
      </w:r>
      <w:r w:rsidR="001433EE" w:rsidRPr="00383589">
        <w:rPr>
          <w:i/>
        </w:rPr>
        <w:t>roject governance</w:t>
      </w:r>
    </w:p>
    <w:p w14:paraId="127BD824" w14:textId="6253F714" w:rsidR="001433EE" w:rsidRPr="00F94234" w:rsidRDefault="1E54C59D" w:rsidP="0F8AD4B4">
      <w:pPr>
        <w:pStyle w:val="Bullet1"/>
        <w:numPr>
          <w:ilvl w:val="1"/>
          <w:numId w:val="1"/>
        </w:numPr>
      </w:pPr>
      <w:r>
        <w:t>Real options analysis technical supplement</w:t>
      </w:r>
    </w:p>
    <w:p w14:paraId="57E084A7" w14:textId="1F129495" w:rsidR="001433EE" w:rsidRPr="00F94234" w:rsidRDefault="001433EE" w:rsidP="0F8AD4B4">
      <w:pPr>
        <w:pStyle w:val="Bullet1"/>
        <w:numPr>
          <w:ilvl w:val="1"/>
          <w:numId w:val="1"/>
        </w:numPr>
      </w:pPr>
      <w:r>
        <w:t xml:space="preserve"> </w:t>
      </w:r>
      <w:r w:rsidR="78339C9D">
        <w:t>P</w:t>
      </w:r>
      <w:r>
        <w:t>roject development and due diligence</w:t>
      </w:r>
    </w:p>
    <w:p w14:paraId="77740C51" w14:textId="367C200C" w:rsidR="001433EE" w:rsidRPr="00F94234" w:rsidRDefault="2B93D737" w:rsidP="0F8AD4B4">
      <w:pPr>
        <w:pStyle w:val="Bullet1"/>
        <w:numPr>
          <w:ilvl w:val="1"/>
          <w:numId w:val="1"/>
        </w:numPr>
      </w:pPr>
      <w:r w:rsidRPr="00383589">
        <w:rPr>
          <w:i/>
        </w:rPr>
        <w:t>R</w:t>
      </w:r>
      <w:r w:rsidR="001433EE" w:rsidRPr="00383589">
        <w:rPr>
          <w:i/>
        </w:rPr>
        <w:t>isk, time, cost and contingency</w:t>
      </w:r>
      <w:r w:rsidR="546BF736" w:rsidRPr="00383589">
        <w:rPr>
          <w:i/>
        </w:rPr>
        <w:t xml:space="preserve"> guidelines</w:t>
      </w:r>
    </w:p>
    <w:p w14:paraId="2D356A2B" w14:textId="425733BF" w:rsidR="001433EE" w:rsidRPr="00F94234" w:rsidRDefault="6CE314C0" w:rsidP="0F8AD4B4">
      <w:pPr>
        <w:pStyle w:val="Bullet1"/>
        <w:numPr>
          <w:ilvl w:val="1"/>
          <w:numId w:val="1"/>
        </w:numPr>
      </w:pPr>
      <w:r w:rsidRPr="00383589">
        <w:rPr>
          <w:i/>
        </w:rPr>
        <w:t>S</w:t>
      </w:r>
      <w:r w:rsidR="001433EE" w:rsidRPr="00383589">
        <w:rPr>
          <w:i/>
        </w:rPr>
        <w:t xml:space="preserve">ustainable investment </w:t>
      </w:r>
      <w:r w:rsidR="506369D9" w:rsidRPr="00383589">
        <w:rPr>
          <w:i/>
        </w:rPr>
        <w:t>guidelines</w:t>
      </w:r>
    </w:p>
    <w:p w14:paraId="5BE0C833" w14:textId="6F4DD2B5" w:rsidR="4DF32CEE" w:rsidRDefault="4DF32CEE" w:rsidP="3168789C">
      <w:pPr>
        <w:pStyle w:val="Bullet1"/>
        <w:numPr>
          <w:ilvl w:val="1"/>
          <w:numId w:val="1"/>
        </w:numPr>
      </w:pPr>
      <w:r w:rsidRPr="3168789C">
        <w:t>ICT projects technical guidance</w:t>
      </w:r>
    </w:p>
    <w:p w14:paraId="5928DAB8" w14:textId="2B9204C7" w:rsidR="4D003222" w:rsidRDefault="4D003222" w:rsidP="3168789C">
      <w:pPr>
        <w:pStyle w:val="Bullet1"/>
        <w:numPr>
          <w:ilvl w:val="1"/>
          <w:numId w:val="1"/>
        </w:numPr>
        <w:rPr>
          <w:i/>
          <w:iCs/>
        </w:rPr>
      </w:pPr>
      <w:r w:rsidRPr="3168789C">
        <w:rPr>
          <w:i/>
          <w:iCs/>
        </w:rPr>
        <w:t>Investment Managment Standard tools</w:t>
      </w:r>
    </w:p>
    <w:p w14:paraId="241DBDD7" w14:textId="26050231" w:rsidR="001433EE" w:rsidRPr="00F94234" w:rsidRDefault="001433EE" w:rsidP="001D2615">
      <w:pPr>
        <w:pStyle w:val="Bullet1"/>
        <w:numPr>
          <w:ilvl w:val="0"/>
          <w:numId w:val="1"/>
        </w:numPr>
      </w:pPr>
      <w:r>
        <w:t xml:space="preserve">the procurement strategy </w:t>
      </w:r>
    </w:p>
    <w:p w14:paraId="7536B8C7" w14:textId="75A0F37F" w:rsidR="001433EE" w:rsidRPr="00F94234" w:rsidRDefault="001433EE" w:rsidP="001D2615">
      <w:pPr>
        <w:pStyle w:val="Bullet1"/>
        <w:numPr>
          <w:ilvl w:val="0"/>
          <w:numId w:val="1"/>
        </w:numPr>
      </w:pPr>
      <w:r>
        <w:t xml:space="preserve">template (a component of the </w:t>
      </w:r>
      <w:r w:rsidR="1DF12F68">
        <w:t xml:space="preserve">long-form </w:t>
      </w:r>
      <w:r>
        <w:t>business case template)</w:t>
      </w:r>
      <w:r w:rsidR="7D22E8D4">
        <w:t>.</w:t>
      </w:r>
    </w:p>
    <w:p w14:paraId="0471C5DF" w14:textId="04CCC3AD" w:rsidR="00106A69" w:rsidRDefault="00106A69" w:rsidP="00106A69">
      <w:pPr>
        <w:pStyle w:val="Heading3"/>
      </w:pPr>
      <w:r w:rsidRPr="5C2C74B7">
        <w:t>The infrastructure procurement framework</w:t>
      </w:r>
    </w:p>
    <w:p w14:paraId="1BC0BE8D" w14:textId="4D46ED89" w:rsidR="00106A69" w:rsidRDefault="0D90DCA5" w:rsidP="00106A69">
      <w:pPr>
        <w:keepNext/>
      </w:pPr>
      <w:r>
        <w:t xml:space="preserve">This Procurement </w:t>
      </w:r>
      <w:r w:rsidR="362ECB69">
        <w:t>ILG</w:t>
      </w:r>
      <w:r>
        <w:t xml:space="preserve"> sits within the </w:t>
      </w:r>
      <w:r w:rsidR="00F42B6C">
        <w:t xml:space="preserve">whole of government </w:t>
      </w:r>
      <w:r>
        <w:t>infrastructure procurement framework</w:t>
      </w:r>
      <w:r w:rsidR="00F42B6C">
        <w:t xml:space="preserve"> (</w:t>
      </w:r>
      <w:r w:rsidR="00C025D2">
        <w:t>f</w:t>
      </w:r>
      <w:r w:rsidR="00F42B6C">
        <w:t>ramework)</w:t>
      </w:r>
      <w:r>
        <w:t>. Th</w:t>
      </w:r>
      <w:r w:rsidR="00BC486C">
        <w:t>e</w:t>
      </w:r>
      <w:r>
        <w:t xml:space="preserve"> framework builds on the </w:t>
      </w:r>
      <w:r w:rsidR="00E71D1F">
        <w:t>Procurement ILG</w:t>
      </w:r>
      <w:r w:rsidR="00E71D1F" w:rsidDel="00E71D1F">
        <w:t xml:space="preserve"> </w:t>
      </w:r>
      <w:r>
        <w:t xml:space="preserve">by supporting procurement and delivery of specific procurement models, as detailed in </w:t>
      </w:r>
      <w:r w:rsidR="00106A69">
        <w:fldChar w:fldCharType="begin" w:fldLock="1"/>
      </w:r>
      <w:r w:rsidR="00106A69">
        <w:instrText xml:space="preserve"> REF _Ref144386178 \h </w:instrText>
      </w:r>
      <w:r w:rsidR="00106A69">
        <w:fldChar w:fldCharType="separate"/>
      </w:r>
      <w:r w:rsidR="003D4A19">
        <w:t xml:space="preserve">Figure </w:t>
      </w:r>
      <w:r w:rsidR="003D4A19">
        <w:rPr>
          <w:noProof/>
        </w:rPr>
        <w:t>3</w:t>
      </w:r>
      <w:r w:rsidR="00106A69">
        <w:fldChar w:fldCharType="end"/>
      </w:r>
      <w:r>
        <w:t>.</w:t>
      </w:r>
    </w:p>
    <w:p w14:paraId="6A830C2C" w14:textId="66A91418" w:rsidR="004662A1" w:rsidRPr="006B6E1D" w:rsidRDefault="008F3C9E" w:rsidP="004662A1">
      <w:pPr>
        <w:pStyle w:val="Caption"/>
      </w:pPr>
      <w:bookmarkStart w:id="10" w:name="_Ref144386178"/>
      <w:bookmarkStart w:id="11" w:name="_Ref144386171"/>
      <w:bookmarkStart w:id="12" w:name="_Toc145621467"/>
      <w:bookmarkStart w:id="13" w:name="_Toc145621596"/>
      <w:bookmarkStart w:id="14" w:name="_Toc160457772"/>
      <w:r>
        <w:t xml:space="preserve">Figure </w:t>
      </w:r>
      <w:r>
        <w:fldChar w:fldCharType="begin"/>
      </w:r>
      <w:r>
        <w:instrText>SEQ Figure \* ARABIC</w:instrText>
      </w:r>
      <w:r>
        <w:fldChar w:fldCharType="separate"/>
      </w:r>
      <w:r w:rsidR="008A4B3E">
        <w:rPr>
          <w:noProof/>
        </w:rPr>
        <w:t>3</w:t>
      </w:r>
      <w:r>
        <w:fldChar w:fldCharType="end"/>
      </w:r>
      <w:bookmarkEnd w:id="10"/>
      <w:r w:rsidR="00E958D5">
        <w:t xml:space="preserve"> –</w:t>
      </w:r>
      <w:r>
        <w:t xml:space="preserve"> </w:t>
      </w:r>
      <w:r w:rsidR="000E152A">
        <w:t>Infrastructure procurement framework</w:t>
      </w:r>
      <w:bookmarkEnd w:id="11"/>
      <w:bookmarkEnd w:id="12"/>
      <w:bookmarkEnd w:id="13"/>
      <w:bookmarkEnd w:id="14"/>
    </w:p>
    <w:p w14:paraId="13B2E3A0" w14:textId="5CB4A32B" w:rsidR="004662A1" w:rsidRDefault="0009664C" w:rsidP="004662A1">
      <w:pPr>
        <w:rPr>
          <w:rFonts w:ascii="VIC" w:hAnsi="VIC"/>
          <w:sz w:val="24"/>
          <w:szCs w:val="24"/>
        </w:rPr>
      </w:pPr>
      <w:r w:rsidRPr="0009664C">
        <w:rPr>
          <w:rFonts w:ascii="VIC" w:hAnsi="VIC"/>
          <w:noProof/>
          <w:sz w:val="24"/>
          <w:szCs w:val="24"/>
        </w:rPr>
        <w:drawing>
          <wp:inline distT="0" distB="0" distL="0" distR="0" wp14:anchorId="18E495CB" wp14:editId="72A69190">
            <wp:extent cx="5731510" cy="3582035"/>
            <wp:effectExtent l="0" t="0" r="2540" b="0"/>
            <wp:docPr id="9" name="Graphic 9" descr="Figure provides an overview of the Infrastructure procurement framework throughout the Project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provides an overview of the Infrastructure procurement framework throughout the Project Lifecycle."/>
                    <pic:cNvPicPr/>
                  </pic:nvPicPr>
                  <pic:blipFill>
                    <a:blip r:embed="rId33">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5731510" cy="3582035"/>
                    </a:xfrm>
                    <a:prstGeom prst="rect">
                      <a:avLst/>
                    </a:prstGeom>
                  </pic:spPr>
                </pic:pic>
              </a:graphicData>
            </a:graphic>
          </wp:inline>
        </w:drawing>
      </w:r>
    </w:p>
    <w:p w14:paraId="28C03D81" w14:textId="25B29387" w:rsidR="0072002B" w:rsidRDefault="0072002B" w:rsidP="0072002B">
      <w:pPr>
        <w:rPr>
          <w:color w:val="auto"/>
        </w:rPr>
      </w:pPr>
      <w:r>
        <w:t xml:space="preserve">For each of the three categories of procurement – whole-of-life, lump sum and cost reimbursable – there is a </w:t>
      </w:r>
      <w:r w:rsidR="001541DC">
        <w:t xml:space="preserve">procurement </w:t>
      </w:r>
      <w:r>
        <w:t xml:space="preserve">requirements document </w:t>
      </w:r>
      <w:r w:rsidR="00A52BF0">
        <w:t xml:space="preserve">that </w:t>
      </w:r>
      <w:r>
        <w:t xml:space="preserve">clarifies government policy obligations and provides </w:t>
      </w:r>
      <w:r w:rsidRPr="0F8AD4B4">
        <w:rPr>
          <w:color w:val="auto"/>
        </w:rPr>
        <w:t>be</w:t>
      </w:r>
      <w:r w:rsidR="255D4B0D" w:rsidRPr="0F8AD4B4">
        <w:rPr>
          <w:color w:val="auto"/>
        </w:rPr>
        <w:t>tter</w:t>
      </w:r>
      <w:r w:rsidR="00A52BF0" w:rsidRPr="0F8AD4B4">
        <w:rPr>
          <w:color w:val="auto"/>
        </w:rPr>
        <w:t>-</w:t>
      </w:r>
      <w:r w:rsidRPr="0F8AD4B4">
        <w:rPr>
          <w:color w:val="auto"/>
        </w:rPr>
        <w:t>practice guidance to support implementation.</w:t>
      </w:r>
    </w:p>
    <w:p w14:paraId="72043AA1" w14:textId="4ED25C1D" w:rsidR="0072002B" w:rsidRDefault="0072002B" w:rsidP="0072002B">
      <w:r>
        <w:t xml:space="preserve">Under each procurement category there </w:t>
      </w:r>
      <w:r w:rsidR="63F3874B">
        <w:t>are</w:t>
      </w:r>
      <w:r>
        <w:t xml:space="preserve"> a series of procurement models with standard form contracts (each with associated guidance) for HVHR projects supported by the Department of Treasury and Finance (DTF). Authorised contracts available for use under each procurement model are set out in </w:t>
      </w:r>
      <w:r w:rsidR="004331EE">
        <w:t>Chapter</w:t>
      </w:r>
      <w:r w:rsidR="00AB4894">
        <w:t xml:space="preserve"> </w:t>
      </w:r>
      <w:r>
        <w:fldChar w:fldCharType="begin" w:fldLock="1"/>
      </w:r>
      <w:r>
        <w:instrText xml:space="preserve"> REF _Ref144375619 \n \h </w:instrText>
      </w:r>
      <w:r>
        <w:fldChar w:fldCharType="separate"/>
      </w:r>
      <w:r w:rsidR="003D4A19">
        <w:t>4</w:t>
      </w:r>
      <w:r>
        <w:fldChar w:fldCharType="end"/>
      </w:r>
      <w:r>
        <w:t>.</w:t>
      </w:r>
    </w:p>
    <w:p w14:paraId="274A183E" w14:textId="40CF6C11" w:rsidR="0072002B" w:rsidRDefault="0072002B" w:rsidP="0072002B">
      <w:pPr>
        <w:rPr>
          <w:rFonts w:cs="Segoe UI"/>
          <w:sz w:val="22"/>
          <w:szCs w:val="22"/>
        </w:rPr>
      </w:pPr>
      <w:r>
        <w:t>Departments and delivery agencies seek</w:t>
      </w:r>
      <w:r w:rsidR="00E03069">
        <w:t>ing</w:t>
      </w:r>
      <w:r>
        <w:t xml:space="preserve"> to use a procurement model outside of those outlined in </w:t>
      </w:r>
      <w:r w:rsidR="00F14C68">
        <w:t xml:space="preserve">these </w:t>
      </w:r>
      <w:r>
        <w:t>guide</w:t>
      </w:r>
      <w:r w:rsidR="00F14C68">
        <w:t>lin</w:t>
      </w:r>
      <w:r w:rsidR="00B12CFE">
        <w:t>es</w:t>
      </w:r>
      <w:r>
        <w:t xml:space="preserve"> </w:t>
      </w:r>
      <w:r w:rsidR="00573C0D">
        <w:t xml:space="preserve">should </w:t>
      </w:r>
      <w:r>
        <w:t>consult with DTF.</w:t>
      </w:r>
    </w:p>
    <w:p w14:paraId="4D651C7E" w14:textId="7D86F537" w:rsidR="008D70BA" w:rsidRPr="006B02FF" w:rsidRDefault="006B02FF" w:rsidP="005A585C">
      <w:pPr>
        <w:pStyle w:val="Partheading"/>
      </w:pPr>
      <w:bookmarkStart w:id="15" w:name="Part1"/>
      <w:bookmarkStart w:id="16" w:name="_Toc161321746"/>
      <w:r w:rsidRPr="006B02FF">
        <w:t xml:space="preserve">Part </w:t>
      </w:r>
      <w:r w:rsidR="00383589">
        <w:t>1</w:t>
      </w:r>
      <w:bookmarkEnd w:id="15"/>
      <w:r w:rsidRPr="006B02FF">
        <w:t xml:space="preserve">: </w:t>
      </w:r>
      <w:r w:rsidR="00EB55C9" w:rsidRPr="00EB55C9">
        <w:t>Understanding the infrastructure procurement environment</w:t>
      </w:r>
      <w:bookmarkEnd w:id="16"/>
    </w:p>
    <w:p w14:paraId="2F0420D3" w14:textId="20A6C0B8" w:rsidR="00986AAC" w:rsidRPr="007F4519" w:rsidRDefault="4CAF5699" w:rsidP="001D2615">
      <w:pPr>
        <w:pStyle w:val="Heading1numbered"/>
      </w:pPr>
      <w:bookmarkStart w:id="17" w:name="_Toc161321747"/>
      <w:r w:rsidRPr="007F4519">
        <w:t>Overview of i</w:t>
      </w:r>
      <w:r w:rsidR="02DB3D49" w:rsidRPr="007F4519">
        <w:t>nfrastructure procurement</w:t>
      </w:r>
      <w:bookmarkEnd w:id="17"/>
    </w:p>
    <w:p w14:paraId="75567A55" w14:textId="1AC2293F" w:rsidR="00040A49" w:rsidRDefault="00040A49" w:rsidP="003274F9">
      <w:pPr>
        <w:pStyle w:val="Captionindent"/>
      </w:pPr>
      <w:bookmarkStart w:id="18" w:name="_Toc145621468"/>
      <w:bookmarkStart w:id="19" w:name="_Toc145621597"/>
      <w:bookmarkStart w:id="20" w:name="_Toc160457773"/>
      <w:r>
        <w:t xml:space="preserve">Figure </w:t>
      </w:r>
      <w:r>
        <w:fldChar w:fldCharType="begin"/>
      </w:r>
      <w:r>
        <w:instrText>SEQ Figure \* ARABIC</w:instrText>
      </w:r>
      <w:r>
        <w:fldChar w:fldCharType="separate"/>
      </w:r>
      <w:r w:rsidR="008A4B3E">
        <w:rPr>
          <w:noProof/>
        </w:rPr>
        <w:t>4</w:t>
      </w:r>
      <w:r>
        <w:fldChar w:fldCharType="end"/>
      </w:r>
      <w:r w:rsidR="005504CB">
        <w:t xml:space="preserve"> –</w:t>
      </w:r>
      <w:r>
        <w:t xml:space="preserve"> </w:t>
      </w:r>
      <w:r w:rsidRPr="0076580A">
        <w:t>Chapter 1 overview</w:t>
      </w:r>
      <w:bookmarkEnd w:id="18"/>
      <w:bookmarkEnd w:id="19"/>
      <w:bookmarkEnd w:id="20"/>
    </w:p>
    <w:p w14:paraId="00B48A9C" w14:textId="77777777" w:rsidR="00C4542C" w:rsidRDefault="00811661" w:rsidP="003274F9">
      <w:pPr>
        <w:pStyle w:val="NormalIndent"/>
      </w:pPr>
      <w:r>
        <w:rPr>
          <w:noProof/>
        </w:rPr>
        <w:drawing>
          <wp:inline distT="0" distB="0" distL="0" distR="0" wp14:anchorId="0B923135" wp14:editId="18A30DE0">
            <wp:extent cx="5236549" cy="1402834"/>
            <wp:effectExtent l="0" t="0" r="2540" b="6985"/>
            <wp:docPr id="329790048" name="Picture 329790048" descr="Figure 4 provides an overview of the contents of the following chap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0048" name="Picture 329790048" descr="Figure 4 provides an overview of the contents of the following chapter (1)​"/>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248700" cy="1406089"/>
                    </a:xfrm>
                    <a:prstGeom prst="rect">
                      <a:avLst/>
                    </a:prstGeom>
                    <a:noFill/>
                    <a:ln>
                      <a:noFill/>
                    </a:ln>
                  </pic:spPr>
                </pic:pic>
              </a:graphicData>
            </a:graphic>
          </wp:inline>
        </w:drawing>
      </w:r>
    </w:p>
    <w:p w14:paraId="66A47198" w14:textId="21E18C6B" w:rsidR="00040A49" w:rsidRDefault="00383589" w:rsidP="003274F9">
      <w:pPr>
        <w:pStyle w:val="NormalIndent"/>
      </w:pPr>
      <w:r>
        <w:fldChar w:fldCharType="begin"/>
      </w:r>
      <w:r>
        <w:instrText xml:space="preserve"> REF Part1 \h </w:instrText>
      </w:r>
      <w:r>
        <w:fldChar w:fldCharType="separate"/>
      </w:r>
      <w:r w:rsidR="008A4B3E" w:rsidRPr="006B02FF">
        <w:t xml:space="preserve">Part </w:t>
      </w:r>
      <w:r w:rsidR="008A4B3E">
        <w:t>1</w:t>
      </w:r>
      <w:r>
        <w:fldChar w:fldCharType="end"/>
      </w:r>
      <w:r w:rsidR="00475518">
        <w:t xml:space="preserve"> of t</w:t>
      </w:r>
      <w:r w:rsidR="000D3FD8">
        <w:t>his Guideline</w:t>
      </w:r>
      <w:r w:rsidR="00E819B1">
        <w:t xml:space="preserve"> (Chapter </w:t>
      </w:r>
      <w:r w:rsidR="00291360">
        <w:t>1</w:t>
      </w:r>
      <w:r w:rsidR="00E819B1">
        <w:t xml:space="preserve">) </w:t>
      </w:r>
      <w:r w:rsidR="000D3FD8">
        <w:t xml:space="preserve"> </w:t>
      </w:r>
      <w:r w:rsidR="00040A49" w:rsidRPr="009C4A23">
        <w:t>explains the core features of government infrastructure procurement</w:t>
      </w:r>
      <w:r w:rsidR="00040A49">
        <w:t>.</w:t>
      </w:r>
      <w:r w:rsidR="00040A49" w:rsidRPr="009C4A23">
        <w:t xml:space="preserve"> It outlines the principles that must be </w:t>
      </w:r>
      <w:r w:rsidR="00D76930">
        <w:t>applied</w:t>
      </w:r>
      <w:r w:rsidR="00D76930" w:rsidRPr="009C4A23">
        <w:t xml:space="preserve"> </w:t>
      </w:r>
      <w:r w:rsidR="00040A49" w:rsidRPr="009C4A23">
        <w:t>during procurement processes, summarises the policy and legislative context that regulate procurement activities and provides an overview of project assurance requirements.</w:t>
      </w:r>
    </w:p>
    <w:p w14:paraId="56FE7DC3" w14:textId="71EF827D" w:rsidR="000F1CE4" w:rsidRPr="000F1CE4" w:rsidRDefault="00040A49" w:rsidP="003274F9">
      <w:pPr>
        <w:pStyle w:val="NormalIndent"/>
      </w:pPr>
      <w:r>
        <w:t xml:space="preserve">Understanding the procurement environment </w:t>
      </w:r>
      <w:r w:rsidR="00A35D39">
        <w:t xml:space="preserve">is essential </w:t>
      </w:r>
      <w:r>
        <w:t>for selecting the optimal procurement strategy for an investment (</w:t>
      </w:r>
      <w:r w:rsidR="00383589">
        <w:fldChar w:fldCharType="begin"/>
      </w:r>
      <w:r w:rsidR="00383589">
        <w:instrText xml:space="preserve"> REF Part2 \h </w:instrText>
      </w:r>
      <w:r w:rsidR="00383589">
        <w:fldChar w:fldCharType="separate"/>
      </w:r>
      <w:r w:rsidR="008A4B3E" w:rsidRPr="008B6855">
        <w:t xml:space="preserve">Part </w:t>
      </w:r>
      <w:r w:rsidR="008A4B3E">
        <w:t>2</w:t>
      </w:r>
      <w:r w:rsidR="00383589">
        <w:fldChar w:fldCharType="end"/>
      </w:r>
      <w:r w:rsidR="00D2766E">
        <w:t xml:space="preserve">, Chapters </w:t>
      </w:r>
      <w:r w:rsidR="00291360">
        <w:t>2</w:t>
      </w:r>
      <w:r w:rsidR="00D2766E">
        <w:t xml:space="preserve"> to </w:t>
      </w:r>
      <w:r w:rsidR="00291360">
        <w:t>4</w:t>
      </w:r>
      <w:r>
        <w:t xml:space="preserve">) and </w:t>
      </w:r>
      <w:r w:rsidR="00A35D39">
        <w:t xml:space="preserve">effectively </w:t>
      </w:r>
      <w:r>
        <w:t>implementing that strategy (</w:t>
      </w:r>
      <w:r w:rsidR="00383589">
        <w:rPr>
          <w:highlight w:val="yellow"/>
        </w:rPr>
        <w:fldChar w:fldCharType="begin"/>
      </w:r>
      <w:r w:rsidR="00383589">
        <w:instrText xml:space="preserve"> REF Part3 \h </w:instrText>
      </w:r>
      <w:r w:rsidR="00383589">
        <w:rPr>
          <w:highlight w:val="yellow"/>
        </w:rPr>
      </w:r>
      <w:r w:rsidR="00383589">
        <w:rPr>
          <w:highlight w:val="yellow"/>
        </w:rPr>
        <w:fldChar w:fldCharType="separate"/>
      </w:r>
      <w:r w:rsidR="008A4B3E" w:rsidRPr="00E77C01">
        <w:t xml:space="preserve">Part </w:t>
      </w:r>
      <w:r w:rsidR="008A4B3E">
        <w:t>3</w:t>
      </w:r>
      <w:r w:rsidR="00383589">
        <w:rPr>
          <w:highlight w:val="yellow"/>
        </w:rPr>
        <w:fldChar w:fldCharType="end"/>
      </w:r>
      <w:r w:rsidR="00D2766E">
        <w:t xml:space="preserve">, Chapters </w:t>
      </w:r>
      <w:r w:rsidR="00291360">
        <w:t>5</w:t>
      </w:r>
      <w:r w:rsidR="00D2766E">
        <w:t xml:space="preserve"> to </w:t>
      </w:r>
      <w:r w:rsidR="00291360">
        <w:t>10</w:t>
      </w:r>
      <w:r>
        <w:t>).</w:t>
      </w:r>
    </w:p>
    <w:p w14:paraId="7B00D835" w14:textId="5A32B3D3" w:rsidR="004631D0" w:rsidRPr="00941BE7" w:rsidRDefault="003324A3" w:rsidP="001D2615">
      <w:pPr>
        <w:pStyle w:val="Heading2numbered"/>
      </w:pPr>
      <w:bookmarkStart w:id="21" w:name="_Toc21096103"/>
      <w:bookmarkStart w:id="22" w:name="_Toc21604481"/>
      <w:bookmarkStart w:id="23" w:name="_Toc21604818"/>
      <w:bookmarkStart w:id="24" w:name="_Toc25662674"/>
      <w:bookmarkStart w:id="25" w:name="_Toc161321748"/>
      <w:bookmarkEnd w:id="21"/>
      <w:bookmarkEnd w:id="22"/>
      <w:bookmarkEnd w:id="23"/>
      <w:r w:rsidRPr="009F64F6">
        <w:t xml:space="preserve">Government </w:t>
      </w:r>
      <w:r w:rsidR="00BD593D" w:rsidRPr="009F64F6">
        <w:t xml:space="preserve">infrastructure </w:t>
      </w:r>
      <w:r w:rsidRPr="009F64F6">
        <w:t>procurement</w:t>
      </w:r>
      <w:bookmarkEnd w:id="24"/>
      <w:bookmarkEnd w:id="25"/>
    </w:p>
    <w:p w14:paraId="2C1419A4" w14:textId="343666E3" w:rsidR="00A7524D" w:rsidRPr="00941BE7" w:rsidRDefault="00A7524D" w:rsidP="003274F9">
      <w:pPr>
        <w:pStyle w:val="NormalIndent"/>
      </w:pPr>
      <w:r>
        <w:t xml:space="preserve">Procurement is defined in the ILG as the process of seeking market offers and engaging one or more respondents to deliver </w:t>
      </w:r>
      <w:r w:rsidR="2968D3C9">
        <w:t xml:space="preserve">infrastructure </w:t>
      </w:r>
      <w:r w:rsidR="006F2076">
        <w:t xml:space="preserve">and asset </w:t>
      </w:r>
      <w:r>
        <w:t>investments</w:t>
      </w:r>
      <w:r w:rsidR="00A35D39">
        <w:t>. These investments may</w:t>
      </w:r>
      <w:r>
        <w:t xml:space="preserve"> includ</w:t>
      </w:r>
      <w:r w:rsidR="00A35D39">
        <w:t>e</w:t>
      </w:r>
      <w:r>
        <w:t xml:space="preserve"> buildings, civil infrastructure</w:t>
      </w:r>
      <w:r w:rsidR="003C3F86">
        <w:t>,</w:t>
      </w:r>
      <w:r>
        <w:t xml:space="preserve"> and information and communications infrastructure.</w:t>
      </w:r>
    </w:p>
    <w:p w14:paraId="1A286D24" w14:textId="2FF7F674" w:rsidR="00A7524D" w:rsidRPr="00941BE7" w:rsidRDefault="00A7524D" w:rsidP="003274F9">
      <w:pPr>
        <w:pStyle w:val="NormalIndent"/>
        <w:rPr>
          <w:highlight w:val="yellow"/>
        </w:rPr>
      </w:pPr>
      <w:r>
        <w:t xml:space="preserve">Procurement is first considered </w:t>
      </w:r>
      <w:r w:rsidR="5441519E">
        <w:t xml:space="preserve">as part of </w:t>
      </w:r>
      <w:r>
        <w:t xml:space="preserve">the </w:t>
      </w:r>
      <w:r w:rsidR="6DF01D3C">
        <w:t xml:space="preserve">development of the </w:t>
      </w:r>
      <w:r>
        <w:t xml:space="preserve">business case. Here, the </w:t>
      </w:r>
      <w:r w:rsidR="009F4E8C">
        <w:t xml:space="preserve">department or </w:t>
      </w:r>
      <w:r>
        <w:t xml:space="preserve">agency </w:t>
      </w:r>
      <w:r w:rsidR="009F4E8C">
        <w:t xml:space="preserve">(agency) </w:t>
      </w:r>
      <w:r>
        <w:t>establishes the procurement outcomes for a given investment and determines the optimal strategy for realising these outcomes while achieving value-for-money.</w:t>
      </w:r>
    </w:p>
    <w:p w14:paraId="1BEFB946" w14:textId="6F92EED1" w:rsidR="00A7524D" w:rsidRPr="00941BE7" w:rsidRDefault="00A7524D" w:rsidP="005504CB">
      <w:pPr>
        <w:pStyle w:val="NormalIndent"/>
        <w:keepNext/>
      </w:pPr>
      <w:r>
        <w:t>Implementation of the procurement strategy commences when</w:t>
      </w:r>
      <w:r w:rsidR="00F11B52">
        <w:t xml:space="preserve"> the</w:t>
      </w:r>
      <w:r>
        <w:t xml:space="preserve"> </w:t>
      </w:r>
      <w:r w:rsidR="00F11B52">
        <w:t>G</w:t>
      </w:r>
      <w:r>
        <w:t>overnment decides to invest in an initiative. The key stages are detailed in</w:t>
      </w:r>
      <w:r w:rsidR="000334D5">
        <w:t xml:space="preserve"> </w:t>
      </w:r>
      <w:r w:rsidR="00383589">
        <w:fldChar w:fldCharType="begin"/>
      </w:r>
      <w:r w:rsidR="00383589">
        <w:instrText xml:space="preserve"> REF Part3 \h </w:instrText>
      </w:r>
      <w:r w:rsidR="00383589">
        <w:fldChar w:fldCharType="separate"/>
      </w:r>
      <w:r w:rsidR="008A4B3E" w:rsidRPr="00E77C01">
        <w:t xml:space="preserve">Part </w:t>
      </w:r>
      <w:r w:rsidR="008A4B3E">
        <w:t>3</w:t>
      </w:r>
      <w:r w:rsidR="00383589">
        <w:fldChar w:fldCharType="end"/>
      </w:r>
      <w:r>
        <w:t>. It typically includes:</w:t>
      </w:r>
    </w:p>
    <w:p w14:paraId="56A378F0" w14:textId="76B03A21" w:rsidR="00A7524D" w:rsidRDefault="00A7524D" w:rsidP="001D2615">
      <w:pPr>
        <w:pStyle w:val="Bulletindent"/>
        <w:keepNext/>
      </w:pPr>
      <w:r>
        <w:t xml:space="preserve">preparing for procurement, including </w:t>
      </w:r>
      <w:r w:rsidRPr="580BCC84">
        <w:t>undertaking project development and due diligence activities</w:t>
      </w:r>
      <w:r w:rsidRPr="00E763C7">
        <w:t xml:space="preserve"> </w:t>
      </w:r>
      <w:r w:rsidRPr="580BCC84">
        <w:t>to further scope and define a project</w:t>
      </w:r>
      <w:r w:rsidR="00344D3F">
        <w:t>’</w:t>
      </w:r>
      <w:r w:rsidRPr="580BCC84">
        <w:t>s requirements, as well as any risks and constraints to their delivery</w:t>
      </w:r>
    </w:p>
    <w:p w14:paraId="5863661A" w14:textId="77777777" w:rsidR="00A7524D" w:rsidRDefault="00A7524D" w:rsidP="001D2615">
      <w:pPr>
        <w:pStyle w:val="Bulletindent"/>
        <w:keepNext/>
      </w:pPr>
      <w:r>
        <w:t>developing pre-tender, tender and contract documentation</w:t>
      </w:r>
    </w:p>
    <w:p w14:paraId="7850E841" w14:textId="77777777" w:rsidR="00A7524D" w:rsidRPr="00941BE7" w:rsidRDefault="00A7524D" w:rsidP="001D2615">
      <w:pPr>
        <w:pStyle w:val="Bulletindent"/>
      </w:pPr>
      <w:r w:rsidRPr="580BCC84">
        <w:t>engaging the market and seeking and receiving market offers to deliver the required scope of works</w:t>
      </w:r>
    </w:p>
    <w:p w14:paraId="52EB0CA2" w14:textId="77777777" w:rsidR="00A7524D" w:rsidRPr="00941BE7" w:rsidRDefault="00A7524D" w:rsidP="001D2615">
      <w:pPr>
        <w:pStyle w:val="Bulletindent"/>
      </w:pPr>
      <w:r w:rsidRPr="580BCC84">
        <w:t>rigorously evaluating offers to confirm the procurement can deliver the required outcomes and achieve value</w:t>
      </w:r>
      <w:r>
        <w:t>-</w:t>
      </w:r>
      <w:r w:rsidRPr="580BCC84">
        <w:t>for</w:t>
      </w:r>
      <w:r>
        <w:t>-</w:t>
      </w:r>
      <w:r w:rsidRPr="580BCC84">
        <w:t>money</w:t>
      </w:r>
    </w:p>
    <w:p w14:paraId="1E5088FB" w14:textId="57A1EE2A" w:rsidR="00A7524D" w:rsidRPr="00941BE7" w:rsidRDefault="00A7524D" w:rsidP="001D2615">
      <w:pPr>
        <w:pStyle w:val="Bulletindent"/>
      </w:pPr>
      <w:r>
        <w:t>negotiating to confirm scope, risk allocation and cost with a preferred bidder</w:t>
      </w:r>
    </w:p>
    <w:p w14:paraId="12A3CEC4" w14:textId="3CD2CD18" w:rsidR="00A7524D" w:rsidRDefault="00A7524D" w:rsidP="001D2615">
      <w:pPr>
        <w:pStyle w:val="Bulletindent"/>
      </w:pPr>
      <w:r>
        <w:t xml:space="preserve">awarding a contract to the successful respondent </w:t>
      </w:r>
      <w:r w:rsidR="00EF14B4">
        <w:t xml:space="preserve">(contractor) </w:t>
      </w:r>
      <w:r>
        <w:t>to undertake the require</w:t>
      </w:r>
      <w:r w:rsidR="7CB406B9">
        <w:t>d</w:t>
      </w:r>
      <w:r>
        <w:t xml:space="preserve"> scope of works to </w:t>
      </w:r>
      <w:r w:rsidR="0043128A">
        <w:t xml:space="preserve">deliver </w:t>
      </w:r>
      <w:r>
        <w:t>the asset.</w:t>
      </w:r>
    </w:p>
    <w:p w14:paraId="313FF6EB" w14:textId="264E9BA4" w:rsidR="00A7524D" w:rsidRPr="00941BE7" w:rsidRDefault="00A7524D" w:rsidP="003274F9">
      <w:pPr>
        <w:pStyle w:val="NormalIndent"/>
      </w:pPr>
      <w:r>
        <w:t xml:space="preserve">Cost reimbursable </w:t>
      </w:r>
      <w:r w:rsidR="64DE5AA6">
        <w:t xml:space="preserve">procurement </w:t>
      </w:r>
      <w:r>
        <w:t xml:space="preserve">models differ from other procurement models in confirming the decision for a contractor to proceed to construct </w:t>
      </w:r>
      <w:r w:rsidR="41DCC853">
        <w:t>infrastructure</w:t>
      </w:r>
      <w:r>
        <w:t>. They typically have two stages that are governed by different contractual arrangements</w:t>
      </w:r>
      <w:r w:rsidR="00A35D39">
        <w:t>.</w:t>
      </w:r>
    </w:p>
    <w:p w14:paraId="7DF0544F" w14:textId="11B51110" w:rsidR="00A7524D" w:rsidRPr="008F5E14" w:rsidRDefault="00A7524D" w:rsidP="001D2615">
      <w:pPr>
        <w:pStyle w:val="Bulletindent"/>
      </w:pPr>
      <w:r>
        <w:t xml:space="preserve">A development phase: a </w:t>
      </w:r>
      <w:r w:rsidR="00B33818">
        <w:t xml:space="preserve">respondent </w:t>
      </w:r>
      <w:r>
        <w:t xml:space="preserve">or </w:t>
      </w:r>
      <w:r w:rsidR="00B33818">
        <w:t xml:space="preserve">respondents </w:t>
      </w:r>
      <w:r>
        <w:t xml:space="preserve">develop a project proposal for consideration by </w:t>
      </w:r>
      <w:r w:rsidR="00F11B52">
        <w:t>the G</w:t>
      </w:r>
      <w:r>
        <w:t xml:space="preserve">overnment. </w:t>
      </w:r>
      <w:r w:rsidR="00A35D39">
        <w:t>This</w:t>
      </w:r>
      <w:r>
        <w:t xml:space="preserve"> include</w:t>
      </w:r>
      <w:r w:rsidR="00F11B52">
        <w:t>s</w:t>
      </w:r>
      <w:r>
        <w:t xml:space="preserve"> collaboration with </w:t>
      </w:r>
      <w:r w:rsidR="00F11B52">
        <w:t>the G</w:t>
      </w:r>
      <w:r>
        <w:t>overnment</w:t>
      </w:r>
      <w:r w:rsidR="00ED2CB4">
        <w:t>,</w:t>
      </w:r>
      <w:r>
        <w:t xml:space="preserve"> and </w:t>
      </w:r>
      <w:r w:rsidR="26E3837D">
        <w:t xml:space="preserve">successful </w:t>
      </w:r>
      <w:r w:rsidR="00650796">
        <w:t xml:space="preserve">respondents </w:t>
      </w:r>
      <w:r w:rsidR="000E7016">
        <w:t>(</w:t>
      </w:r>
      <w:r>
        <w:t>contractor</w:t>
      </w:r>
      <w:r w:rsidR="0086084E">
        <w:t>)</w:t>
      </w:r>
      <w:r>
        <w:t>may perform early works.</w:t>
      </w:r>
    </w:p>
    <w:p w14:paraId="07DF4AB9" w14:textId="676373B8" w:rsidR="00A7524D" w:rsidRPr="00242949" w:rsidRDefault="00A7524D" w:rsidP="001D2615">
      <w:pPr>
        <w:pStyle w:val="Bulletindent"/>
      </w:pPr>
      <w:r>
        <w:t xml:space="preserve">A delivery phase: </w:t>
      </w:r>
      <w:r w:rsidR="00F11B52">
        <w:t>t</w:t>
      </w:r>
      <w:r w:rsidR="00A35D39">
        <w:t xml:space="preserve">he </w:t>
      </w:r>
      <w:r w:rsidR="00F11B52">
        <w:t>G</w:t>
      </w:r>
      <w:r>
        <w:t>overnment decides to proceed with the proposal</w:t>
      </w:r>
      <w:r w:rsidR="00932816">
        <w:t>,</w:t>
      </w:r>
      <w:r>
        <w:t xml:space="preserve"> and the </w:t>
      </w:r>
      <w:r w:rsidR="00AB1359">
        <w:t xml:space="preserve">successful respondent </w:t>
      </w:r>
      <w:r>
        <w:t xml:space="preserve">contractor </w:t>
      </w:r>
      <w:r w:rsidR="00212DAD">
        <w:t>deliver</w:t>
      </w:r>
      <w:r w:rsidR="00932816">
        <w:t>s</w:t>
      </w:r>
      <w:r w:rsidR="00212DAD">
        <w:t xml:space="preserve"> </w:t>
      </w:r>
      <w:r w:rsidR="009B7CA4">
        <w:t>it</w:t>
      </w:r>
      <w:r>
        <w:t>.</w:t>
      </w:r>
    </w:p>
    <w:p w14:paraId="75E617AD" w14:textId="6280C837" w:rsidR="00840045" w:rsidRPr="00941BE7" w:rsidRDefault="00840045" w:rsidP="003274F9">
      <w:pPr>
        <w:pStyle w:val="NormalIndent"/>
      </w:pPr>
      <w:r>
        <w:t>Procurement is an iterative process</w:t>
      </w:r>
      <w:r w:rsidR="008A0916">
        <w:t>.</w:t>
      </w:r>
      <w:r>
        <w:t xml:space="preserve"> </w:t>
      </w:r>
      <w:r w:rsidR="3FA1CBB7">
        <w:t>A</w:t>
      </w:r>
      <w:r>
        <w:t xml:space="preserve">gencies may need to revisit and reassess previous decisions and outcomes </w:t>
      </w:r>
      <w:r w:rsidR="3A731ACC">
        <w:t xml:space="preserve">as they progress through the procurement </w:t>
      </w:r>
      <w:r>
        <w:t>to account for new information as it arises.</w:t>
      </w:r>
    </w:p>
    <w:p w14:paraId="3C8ECC33" w14:textId="2F3818C4" w:rsidR="00506A4D" w:rsidRPr="009F64F6" w:rsidRDefault="00506A4D" w:rsidP="001D2615">
      <w:pPr>
        <w:pStyle w:val="Heading2numbered"/>
      </w:pPr>
      <w:bookmarkStart w:id="26" w:name="_Ref147432203"/>
      <w:bookmarkStart w:id="27" w:name="_Ref147432296"/>
      <w:bookmarkStart w:id="28" w:name="_Toc25662676"/>
      <w:bookmarkStart w:id="29" w:name="_Toc161321749"/>
      <w:r w:rsidRPr="009F64F6">
        <w:t>Principles for government procurement</w:t>
      </w:r>
      <w:bookmarkEnd w:id="26"/>
      <w:bookmarkEnd w:id="27"/>
      <w:bookmarkEnd w:id="29"/>
    </w:p>
    <w:tbl>
      <w:tblPr>
        <w:tblStyle w:val="MD"/>
        <w:tblW w:w="0" w:type="auto"/>
        <w:tblInd w:w="792" w:type="dxa"/>
        <w:shd w:val="clear" w:color="auto" w:fill="F2F2F2" w:themeFill="background1" w:themeFillShade="F2"/>
        <w:tblLayout w:type="fixed"/>
        <w:tblLook w:val="06A0" w:firstRow="1" w:lastRow="0" w:firstColumn="1" w:lastColumn="0" w:noHBand="1" w:noVBand="1"/>
      </w:tblPr>
      <w:tblGrid>
        <w:gridCol w:w="709"/>
        <w:gridCol w:w="7499"/>
      </w:tblGrid>
      <w:tr w:rsidR="00337E24" w:rsidRPr="00F45416" w14:paraId="7E5C7B52" w14:textId="77777777" w:rsidTr="2A57419C">
        <w:trPr>
          <w:trHeight w:val="300"/>
        </w:trPr>
        <w:tc>
          <w:tcPr>
            <w:tcW w:w="709" w:type="dxa"/>
            <w:shd w:val="clear" w:color="auto" w:fill="F2F2F2" w:themeFill="background1" w:themeFillShade="F2"/>
          </w:tcPr>
          <w:p w14:paraId="431E81E3" w14:textId="6D532ACE" w:rsidR="00337E24" w:rsidRDefault="00C44833" w:rsidP="00C44833">
            <w:pPr>
              <w:ind w:left="-90"/>
              <w:rPr>
                <w:rFonts w:ascii="VIC" w:hAnsi="VIC"/>
                <w:b/>
                <w:sz w:val="24"/>
                <w:szCs w:val="24"/>
              </w:rPr>
            </w:pPr>
            <w:r>
              <w:rPr>
                <w:noProof/>
              </w:rPr>
              <w:drawing>
                <wp:inline distT="0" distB="0" distL="0" distR="0" wp14:anchorId="2A9E144D" wp14:editId="63F066C2">
                  <wp:extent cx="371475" cy="278607"/>
                  <wp:effectExtent l="0" t="0" r="0" b="7620"/>
                  <wp:docPr id="6" name="Picture 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499" w:type="dxa"/>
            <w:shd w:val="clear" w:color="auto" w:fill="F2F2F2" w:themeFill="background1" w:themeFillShade="F2"/>
          </w:tcPr>
          <w:p w14:paraId="0469A7FA" w14:textId="018DC2D2" w:rsidR="00337E24" w:rsidRPr="008E0D4D" w:rsidRDefault="0B7C856A" w:rsidP="00C44833">
            <w:pPr>
              <w:pStyle w:val="Tabletext"/>
            </w:pPr>
            <w:r>
              <w:t xml:space="preserve">The Ministerial Directions and Instructions for Public Construction Procurement, established under Part 4 of the </w:t>
            </w:r>
            <w:hyperlink r:id="rId36">
              <w:r w:rsidRPr="2A57419C">
                <w:rPr>
                  <w:i/>
                  <w:iCs/>
                </w:rPr>
                <w:t>Project Development and Construction Management Act 1994</w:t>
              </w:r>
              <w:r>
                <w:t xml:space="preserve"> (Vic)</w:t>
              </w:r>
            </w:hyperlink>
            <w:r>
              <w:t xml:space="preserve">, set out the principles that Victorian government departments and public bodies must follow when they procure public construction </w:t>
            </w:r>
            <w:r w:rsidR="00337E24">
              <w:t>works and</w:t>
            </w:r>
            <w:r w:rsidR="000A3DFA">
              <w:t xml:space="preserve"> services</w:t>
            </w:r>
            <w:r>
              <w:t>.</w:t>
            </w:r>
          </w:p>
          <w:p w14:paraId="645DD25F" w14:textId="53CA72E2" w:rsidR="00337E24" w:rsidRPr="00F45416" w:rsidRDefault="00337E24" w:rsidP="00C44833">
            <w:pPr>
              <w:pStyle w:val="Tabletext"/>
            </w:pPr>
            <w:r w:rsidRPr="008E0D4D">
              <w:t xml:space="preserve">These are </w:t>
            </w:r>
            <w:r w:rsidR="00D71890">
              <w:t>available</w:t>
            </w:r>
            <w:r w:rsidR="00D71890" w:rsidRPr="008E0D4D">
              <w:t xml:space="preserve"> </w:t>
            </w:r>
            <w:r w:rsidRPr="008E0D4D">
              <w:t xml:space="preserve">at: </w:t>
            </w:r>
            <w:hyperlink r:id="rId37" w:history="1">
              <w:hyperlink r:id="rId38" w:history="1">
                <w:r w:rsidRPr="008D2EDE">
                  <w:rPr>
                    <w:rStyle w:val="Hyperlink"/>
                  </w:rPr>
                  <w:t>https://www.dtf.vic.gov.au/infrastructure-investment/public-construction-policy-and-resources</w:t>
                </w:r>
              </w:hyperlink>
            </w:hyperlink>
            <w:r w:rsidR="0016016E" w:rsidRPr="008E0D4D">
              <w:t>.</w:t>
            </w:r>
          </w:p>
        </w:tc>
      </w:tr>
    </w:tbl>
    <w:p w14:paraId="6976304F" w14:textId="5D24E36C" w:rsidR="00C40176" w:rsidRDefault="00C40176" w:rsidP="00171CF8">
      <w:pPr>
        <w:pStyle w:val="NormalIndent"/>
      </w:pPr>
      <w:r>
        <w:t>The principles seek to ensure th</w:t>
      </w:r>
      <w:r w:rsidR="009F6858">
        <w:t>at</w:t>
      </w:r>
      <w:r>
        <w:t xml:space="preserve"> expenditure of public money is conducted lawfully, fairly and with integrity. They also balance the </w:t>
      </w:r>
      <w:r w:rsidR="009119AB">
        <w:t>G</w:t>
      </w:r>
      <w:r>
        <w:t>overnment</w:t>
      </w:r>
      <w:r w:rsidR="00344D3F">
        <w:t>’</w:t>
      </w:r>
      <w:r>
        <w:t xml:space="preserve">s accountabilities for responsible financial management of public resources with the need to be efficient in the way </w:t>
      </w:r>
      <w:r w:rsidR="00F11B52">
        <w:t>the G</w:t>
      </w:r>
      <w:r>
        <w:t xml:space="preserve">overnment interacts with industry. </w:t>
      </w:r>
      <w:r w:rsidRPr="0085315C">
        <w:t xml:space="preserve">A summary of the principles for government procurement is provided </w:t>
      </w:r>
      <w:r>
        <w:t xml:space="preserve">in </w:t>
      </w:r>
      <w:r w:rsidR="00F073EF">
        <w:fldChar w:fldCharType="begin" w:fldLock="1"/>
      </w:r>
      <w:r w:rsidR="00F073EF">
        <w:instrText xml:space="preserve"> REF _Ref144235482 \h </w:instrText>
      </w:r>
      <w:r w:rsidR="00F073EF">
        <w:fldChar w:fldCharType="separate"/>
      </w:r>
      <w:r w:rsidR="003D4A19">
        <w:t xml:space="preserve">Table </w:t>
      </w:r>
      <w:r w:rsidR="003D4A19">
        <w:rPr>
          <w:noProof/>
        </w:rPr>
        <w:t>1</w:t>
      </w:r>
      <w:r w:rsidR="00F073EF">
        <w:fldChar w:fldCharType="end"/>
      </w:r>
      <w:r w:rsidRPr="0085315C">
        <w:t>.</w:t>
      </w:r>
    </w:p>
    <w:p w14:paraId="0FB31BF2" w14:textId="29179730" w:rsidR="003A25BA" w:rsidRDefault="003A25BA" w:rsidP="00171CF8">
      <w:pPr>
        <w:pStyle w:val="Captionindent"/>
      </w:pPr>
      <w:bookmarkStart w:id="30" w:name="_Ref144235482"/>
      <w:bookmarkStart w:id="31" w:name="_Toc145621349"/>
      <w:bookmarkStart w:id="32" w:name="_Toc146097243"/>
      <w:r>
        <w:t xml:space="preserve">Table </w:t>
      </w:r>
      <w:r>
        <w:fldChar w:fldCharType="begin"/>
      </w:r>
      <w:r>
        <w:instrText>SEQ Table \* ARABIC</w:instrText>
      </w:r>
      <w:r>
        <w:fldChar w:fldCharType="separate"/>
      </w:r>
      <w:r w:rsidR="008A4B3E">
        <w:rPr>
          <w:noProof/>
        </w:rPr>
        <w:t>1</w:t>
      </w:r>
      <w:r>
        <w:fldChar w:fldCharType="end"/>
      </w:r>
      <w:bookmarkEnd w:id="30"/>
      <w:r w:rsidR="00F640CE">
        <w:t xml:space="preserve"> –</w:t>
      </w:r>
      <w:r w:rsidR="00A509FD">
        <w:t>P</w:t>
      </w:r>
      <w:r w:rsidRPr="00BB12D8">
        <w:t>rocurement principles</w:t>
      </w:r>
      <w:bookmarkEnd w:id="31"/>
      <w:bookmarkEnd w:id="32"/>
    </w:p>
    <w:tbl>
      <w:tblPr>
        <w:tblStyle w:val="DTFtexttableindent"/>
        <w:tblW w:w="8298" w:type="dxa"/>
        <w:tblLook w:val="04A0" w:firstRow="1" w:lastRow="0" w:firstColumn="1" w:lastColumn="0" w:noHBand="0" w:noVBand="1"/>
      </w:tblPr>
      <w:tblGrid>
        <w:gridCol w:w="1998"/>
        <w:gridCol w:w="6300"/>
      </w:tblGrid>
      <w:tr w:rsidR="002101E5" w14:paraId="20BF31B5" w14:textId="77777777" w:rsidTr="2A57419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98" w:type="dxa"/>
          </w:tcPr>
          <w:p w14:paraId="00F0F781" w14:textId="77777777" w:rsidR="002101E5" w:rsidRPr="00171CF8" w:rsidRDefault="002101E5" w:rsidP="00F7602B">
            <w:pPr>
              <w:pStyle w:val="Tableheader"/>
            </w:pPr>
            <w:r w:rsidRPr="0085315C">
              <w:t>Procurement principle</w:t>
            </w:r>
          </w:p>
        </w:tc>
        <w:tc>
          <w:tcPr>
            <w:tcW w:w="6300" w:type="dxa"/>
          </w:tcPr>
          <w:p w14:paraId="3753B122" w14:textId="120928E2" w:rsidR="002101E5" w:rsidRPr="00171CF8" w:rsidRDefault="00A35D39" w:rsidP="00F7602B">
            <w:pPr>
              <w:pStyle w:val="Tableheader"/>
              <w:cnfStyle w:val="100000000000" w:firstRow="1" w:lastRow="0" w:firstColumn="0" w:lastColumn="0" w:oddVBand="0" w:evenVBand="0" w:oddHBand="0" w:evenHBand="0" w:firstRowFirstColumn="0" w:firstRowLastColumn="0" w:lastRowFirstColumn="0" w:lastRowLastColumn="0"/>
            </w:pPr>
            <w:r w:rsidRPr="00171CF8">
              <w:t>Intent</w:t>
            </w:r>
          </w:p>
        </w:tc>
      </w:tr>
      <w:tr w:rsidR="002101E5" w14:paraId="4801BCE6" w14:textId="77777777" w:rsidTr="2A57419C">
        <w:tc>
          <w:tcPr>
            <w:cnfStyle w:val="001000000000" w:firstRow="0" w:lastRow="0" w:firstColumn="1" w:lastColumn="0" w:oddVBand="0" w:evenVBand="0" w:oddHBand="0" w:evenHBand="0" w:firstRowFirstColumn="0" w:firstRowLastColumn="0" w:lastRowFirstColumn="0" w:lastRowLastColumn="0"/>
            <w:tcW w:w="1998" w:type="dxa"/>
          </w:tcPr>
          <w:p w14:paraId="61E2AF37" w14:textId="77777777" w:rsidR="002101E5" w:rsidRPr="003C7509" w:rsidRDefault="002101E5" w:rsidP="00F7602B">
            <w:pPr>
              <w:pStyle w:val="Tabletext"/>
              <w:rPr>
                <w:rFonts w:asciiTheme="majorHAnsi" w:hAnsiTheme="majorHAnsi"/>
              </w:rPr>
            </w:pPr>
            <w:r w:rsidRPr="003C7509">
              <w:rPr>
                <w:rFonts w:asciiTheme="majorHAnsi" w:hAnsiTheme="majorHAnsi"/>
              </w:rPr>
              <w:t>Value</w:t>
            </w:r>
            <w:r>
              <w:rPr>
                <w:rFonts w:asciiTheme="majorHAnsi" w:hAnsiTheme="majorHAnsi"/>
              </w:rPr>
              <w:t>-</w:t>
            </w:r>
            <w:r w:rsidRPr="003C7509">
              <w:rPr>
                <w:rFonts w:asciiTheme="majorHAnsi" w:hAnsiTheme="majorHAnsi"/>
              </w:rPr>
              <w:t>for</w:t>
            </w:r>
            <w:r>
              <w:rPr>
                <w:rFonts w:asciiTheme="majorHAnsi" w:hAnsiTheme="majorHAnsi"/>
              </w:rPr>
              <w:t>-</w:t>
            </w:r>
            <w:r w:rsidRPr="003C7509">
              <w:rPr>
                <w:rFonts w:asciiTheme="majorHAnsi" w:hAnsiTheme="majorHAnsi"/>
              </w:rPr>
              <w:t>money (V</w:t>
            </w:r>
            <w:r>
              <w:rPr>
                <w:rFonts w:asciiTheme="majorHAnsi" w:hAnsiTheme="majorHAnsi"/>
              </w:rPr>
              <w:t>f</w:t>
            </w:r>
            <w:r w:rsidRPr="003C7509">
              <w:rPr>
                <w:rFonts w:asciiTheme="majorHAnsi" w:hAnsiTheme="majorHAnsi"/>
              </w:rPr>
              <w:t>M)</w:t>
            </w:r>
          </w:p>
          <w:p w14:paraId="5068AF3D" w14:textId="77777777" w:rsidR="002101E5" w:rsidRDefault="002101E5" w:rsidP="00F7602B">
            <w:pPr>
              <w:pStyle w:val="Tabletext"/>
            </w:pPr>
            <w:r w:rsidRPr="000E73BE">
              <w:rPr>
                <w:rFonts w:ascii="VIC SemiBold" w:hAnsi="VIC SemiBold"/>
                <w:noProof/>
                <w:color w:val="C00000"/>
              </w:rPr>
              <w:drawing>
                <wp:inline distT="0" distB="0" distL="0" distR="0" wp14:anchorId="2BE7F263" wp14:editId="4B646658">
                  <wp:extent cx="411480" cy="411480"/>
                  <wp:effectExtent l="0" t="0" r="7620" b="7620"/>
                  <wp:docPr id="33" name="Graphic 33"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c>
          <w:tcPr>
            <w:tcW w:w="6300" w:type="dxa"/>
          </w:tcPr>
          <w:p w14:paraId="5B17A454" w14:textId="005F0E77" w:rsidR="002101E5" w:rsidRPr="00F36B0F" w:rsidRDefault="7ED7EC66" w:rsidP="00F36B0F">
            <w:pPr>
              <w:pStyle w:val="Tabletext"/>
              <w:cnfStyle w:val="000000000000" w:firstRow="0" w:lastRow="0" w:firstColumn="0" w:lastColumn="0" w:oddVBand="0" w:evenVBand="0" w:oddHBand="0" w:evenHBand="0" w:firstRowFirstColumn="0" w:firstRowLastColumn="0" w:lastRowFirstColumn="0" w:lastRowLastColumn="0"/>
            </w:pPr>
            <w:r>
              <w:t xml:space="preserve">VfM is an assessment of procurement outcomes that weighs the cost of procuring infrastructure </w:t>
            </w:r>
            <w:r w:rsidR="007A6AF3">
              <w:t xml:space="preserve">and assets </w:t>
            </w:r>
            <w:r>
              <w:t>against the</w:t>
            </w:r>
            <w:r w:rsidRPr="2A57419C">
              <w:rPr>
                <w:b/>
                <w:bCs/>
              </w:rPr>
              <w:t xml:space="preserve"> value </w:t>
            </w:r>
            <w:r w:rsidR="007A6AF3" w:rsidRPr="0033748E">
              <w:t xml:space="preserve">they </w:t>
            </w:r>
            <w:r>
              <w:t>provide.</w:t>
            </w:r>
          </w:p>
          <w:p w14:paraId="35081D4F" w14:textId="19248359" w:rsidR="002101E5" w:rsidRPr="0085315C" w:rsidRDefault="002101E5" w:rsidP="00F7602B">
            <w:pPr>
              <w:pStyle w:val="Tabletext"/>
              <w:cnfStyle w:val="000000000000" w:firstRow="0" w:lastRow="0" w:firstColumn="0" w:lastColumn="0" w:oddVBand="0" w:evenVBand="0" w:oddHBand="0" w:evenHBand="0" w:firstRowFirstColumn="0" w:firstRowLastColumn="0" w:lastRowFirstColumn="0" w:lastRowLastColumn="0"/>
            </w:pPr>
            <w:r w:rsidRPr="008D152A">
              <w:t>Tender evaluation and selection considers:</w:t>
            </w:r>
          </w:p>
          <w:p w14:paraId="13591DAB" w14:textId="59BA9CFB" w:rsidR="002101E5" w:rsidRPr="0085315C" w:rsidRDefault="002101E5" w:rsidP="001D2615">
            <w:pPr>
              <w:pStyle w:val="Tablebullet"/>
              <w:cnfStyle w:val="000000000000" w:firstRow="0" w:lastRow="0" w:firstColumn="0" w:lastColumn="0" w:oddVBand="0" w:evenVBand="0" w:oddHBand="0" w:evenHBand="0" w:firstRowFirstColumn="0" w:firstRowLastColumn="0" w:lastRowFirstColumn="0" w:lastRowLastColumn="0"/>
            </w:pPr>
            <w:r w:rsidRPr="0085315C">
              <w:t>the total benefits and costs over the life of the services or works procured</w:t>
            </w:r>
            <w:r>
              <w:t xml:space="preserve"> (</w:t>
            </w:r>
            <w:r w:rsidRPr="0085315C">
              <w:t xml:space="preserve">not </w:t>
            </w:r>
            <w:r>
              <w:t xml:space="preserve">the </w:t>
            </w:r>
            <w:r w:rsidRPr="0085315C">
              <w:t>lowest upfront price</w:t>
            </w:r>
            <w:r>
              <w:t>)</w:t>
            </w:r>
          </w:p>
          <w:p w14:paraId="5CD3E4EA" w14:textId="1A3E54E4" w:rsidR="002101E5" w:rsidRDefault="002101E5" w:rsidP="001D2615">
            <w:pPr>
              <w:pStyle w:val="Tablebullet"/>
              <w:cnfStyle w:val="000000000000" w:firstRow="0" w:lastRow="0" w:firstColumn="0" w:lastColumn="0" w:oddVBand="0" w:evenVBand="0" w:oddHBand="0" w:evenHBand="0" w:firstRowFirstColumn="0" w:firstRowLastColumn="0" w:lastRowFirstColumn="0" w:lastRowLastColumn="0"/>
              <w:rPr>
                <w:b/>
              </w:rPr>
            </w:pPr>
            <w:r w:rsidRPr="001318B9">
              <w:t>a range of attributes</w:t>
            </w:r>
            <w:r>
              <w:t xml:space="preserve"> </w:t>
            </w:r>
            <w:r w:rsidRPr="001318B9">
              <w:t xml:space="preserve">to define value, including </w:t>
            </w:r>
            <w:r>
              <w:t>service delivery outcomes</w:t>
            </w:r>
            <w:r w:rsidRPr="001318B9">
              <w:t xml:space="preserve"> </w:t>
            </w:r>
            <w:r>
              <w:t xml:space="preserve">and </w:t>
            </w:r>
            <w:r w:rsidRPr="001318B9">
              <w:t>timeliness</w:t>
            </w:r>
            <w:r>
              <w:t xml:space="preserve"> of benefit realisation</w:t>
            </w:r>
            <w:r w:rsidRPr="001318B9">
              <w:t>, quality</w:t>
            </w:r>
            <w:r>
              <w:t xml:space="preserve"> and</w:t>
            </w:r>
            <w:r w:rsidRPr="001318B9">
              <w:t xml:space="preserve"> suitability</w:t>
            </w:r>
            <w:r>
              <w:t xml:space="preserve"> of the works</w:t>
            </w:r>
            <w:r w:rsidR="48BCB9F1">
              <w:t xml:space="preserve"> and</w:t>
            </w:r>
            <w:r>
              <w:t xml:space="preserve"> services </w:t>
            </w:r>
            <w:r w:rsidRPr="001318B9">
              <w:t>,</w:t>
            </w:r>
            <w:r>
              <w:t xml:space="preserve"> financial benefits</w:t>
            </w:r>
            <w:r w:rsidRPr="001318B9">
              <w:t>, risk exposure, policy alignment, convenience, resource use and social and environmental impacts</w:t>
            </w:r>
            <w:r>
              <w:t>.</w:t>
            </w:r>
          </w:p>
        </w:tc>
      </w:tr>
      <w:tr w:rsidR="002101E5" w:rsidRPr="006B20AE" w14:paraId="572C8C27" w14:textId="77777777" w:rsidTr="2A574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05B89FDF" w14:textId="77777777" w:rsidR="002101E5" w:rsidRDefault="002101E5" w:rsidP="00F7602B">
            <w:pPr>
              <w:pStyle w:val="Tabletext"/>
              <w:rPr>
                <w:rFonts w:asciiTheme="majorHAnsi" w:hAnsiTheme="majorHAnsi"/>
              </w:rPr>
            </w:pPr>
            <w:r w:rsidRPr="003C7509">
              <w:rPr>
                <w:rFonts w:asciiTheme="majorHAnsi" w:hAnsiTheme="majorHAnsi"/>
              </w:rPr>
              <w:t>Accountability commensurate with appropriate levels of authority and responsibility</w:t>
            </w:r>
          </w:p>
          <w:p w14:paraId="16D9D919" w14:textId="77777777" w:rsidR="002101E5" w:rsidRDefault="002101E5" w:rsidP="00F7602B">
            <w:pPr>
              <w:pStyle w:val="Tabletext"/>
              <w:rPr>
                <w:b/>
              </w:rPr>
            </w:pPr>
            <w:r w:rsidRPr="000E73BE">
              <w:rPr>
                <w:rFonts w:ascii="VIC SemiBold" w:hAnsi="VIC SemiBold"/>
                <w:noProof/>
                <w:color w:val="C00000"/>
              </w:rPr>
              <w:drawing>
                <wp:inline distT="0" distB="0" distL="0" distR="0" wp14:anchorId="51B6CB24" wp14:editId="15A6B4F6">
                  <wp:extent cx="411480" cy="411480"/>
                  <wp:effectExtent l="0" t="0" r="0" b="7620"/>
                  <wp:docPr id="31" name="Graphic 31"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6300" w:type="dxa"/>
          </w:tcPr>
          <w:p w14:paraId="3E6A5891" w14:textId="0052CCFC" w:rsidR="002101E5" w:rsidRPr="0085315C" w:rsidRDefault="002101E5" w:rsidP="00F7602B">
            <w:pPr>
              <w:pStyle w:val="Tabletext"/>
              <w:cnfStyle w:val="000000010000" w:firstRow="0" w:lastRow="0" w:firstColumn="0" w:lastColumn="0" w:oddVBand="0" w:evenVBand="0" w:oddHBand="0" w:evenHBand="1" w:firstRowFirstColumn="0" w:firstRowLastColumn="0" w:lastRowFirstColumn="0" w:lastRowLastColumn="0"/>
              <w:rPr>
                <w:color w:val="auto"/>
              </w:rPr>
            </w:pPr>
            <w:r w:rsidRPr="0085315C">
              <w:t>Procurements proceed with appropriate approval and authority in accordance with delegation and decision-making thresholds</w:t>
            </w:r>
            <w:r>
              <w:t>, to:</w:t>
            </w:r>
          </w:p>
          <w:p w14:paraId="10D48D44" w14:textId="1E365224" w:rsidR="002101E5" w:rsidRPr="0085315C" w:rsidRDefault="002101E5" w:rsidP="001D2615">
            <w:pPr>
              <w:pStyle w:val="Tablebullet"/>
              <w:cnfStyle w:val="000000010000" w:firstRow="0" w:lastRow="0" w:firstColumn="0" w:lastColumn="0" w:oddVBand="0" w:evenVBand="0" w:oddHBand="0" w:evenHBand="1" w:firstRowFirstColumn="0" w:firstRowLastColumn="0" w:lastRowFirstColumn="0" w:lastRowLastColumn="0"/>
              <w:rPr>
                <w:bCs/>
                <w:iCs/>
              </w:rPr>
            </w:pPr>
            <w:r>
              <w:t>a</w:t>
            </w:r>
            <w:r w:rsidRPr="0085315C">
              <w:t xml:space="preserve">lign procurement needs with the </w:t>
            </w:r>
            <w:r>
              <w:t>a</w:t>
            </w:r>
            <w:r w:rsidRPr="0085315C">
              <w:t>gency</w:t>
            </w:r>
            <w:r w:rsidR="00344D3F">
              <w:t>’</w:t>
            </w:r>
            <w:r w:rsidRPr="0085315C">
              <w:t>s long-term strategic planning</w:t>
            </w:r>
            <w:r w:rsidR="00014EEB">
              <w:t xml:space="preserve"> and</w:t>
            </w:r>
            <w:r w:rsidRPr="0085315C">
              <w:t xml:space="preserve"> service delivery requirements </w:t>
            </w:r>
            <w:r>
              <w:t>as well as</w:t>
            </w:r>
            <w:r w:rsidRPr="0085315C">
              <w:t xml:space="preserve"> legislation</w:t>
            </w:r>
            <w:r>
              <w:t>, g</w:t>
            </w:r>
            <w:r w:rsidRPr="0085315C">
              <w:t>overnment policies</w:t>
            </w:r>
            <w:r>
              <w:t xml:space="preserve"> </w:t>
            </w:r>
            <w:r w:rsidRPr="0085315C">
              <w:t>and priorities</w:t>
            </w:r>
          </w:p>
          <w:p w14:paraId="453C3455" w14:textId="77777777" w:rsidR="002101E5" w:rsidRPr="0085315C" w:rsidRDefault="002101E5" w:rsidP="001D2615">
            <w:pPr>
              <w:pStyle w:val="Tablebullet"/>
              <w:cnfStyle w:val="000000010000" w:firstRow="0" w:lastRow="0" w:firstColumn="0" w:lastColumn="0" w:oddVBand="0" w:evenVBand="0" w:oddHBand="0" w:evenHBand="1" w:firstRowFirstColumn="0" w:firstRowLastColumn="0" w:lastRowFirstColumn="0" w:lastRowLastColumn="0"/>
              <w:rPr>
                <w:b/>
                <w:bCs/>
              </w:rPr>
            </w:pPr>
            <w:r>
              <w:rPr>
                <w:bCs/>
              </w:rPr>
              <w:t>c</w:t>
            </w:r>
            <w:r w:rsidRPr="0085315C">
              <w:rPr>
                <w:bCs/>
              </w:rPr>
              <w:t>onfirm approval to proceed with the procurement is provided by an officer with appropriate financial delegation and authority</w:t>
            </w:r>
          </w:p>
          <w:p w14:paraId="31B0776C" w14:textId="77777777" w:rsidR="002101E5" w:rsidRPr="0085315C" w:rsidRDefault="002101E5" w:rsidP="001D2615">
            <w:pPr>
              <w:pStyle w:val="Tablebullet"/>
              <w:cnfStyle w:val="000000010000" w:firstRow="0" w:lastRow="0" w:firstColumn="0" w:lastColumn="0" w:oddVBand="0" w:evenVBand="0" w:oddHBand="0" w:evenHBand="1" w:firstRowFirstColumn="0" w:firstRowLastColumn="0" w:lastRowFirstColumn="0" w:lastRowLastColumn="0"/>
              <w:rPr>
                <w:b/>
                <w:bCs/>
              </w:rPr>
            </w:pPr>
            <w:r>
              <w:rPr>
                <w:bCs/>
              </w:rPr>
              <w:t>u</w:t>
            </w:r>
            <w:r w:rsidRPr="0085315C">
              <w:rPr>
                <w:bCs/>
              </w:rPr>
              <w:t>ndertake appropriate procurement planning to confirm objectives are deliverable</w:t>
            </w:r>
          </w:p>
          <w:p w14:paraId="59E23C34" w14:textId="393B633D" w:rsidR="002101E5" w:rsidRPr="006B20AE" w:rsidRDefault="002101E5" w:rsidP="001D2615">
            <w:pPr>
              <w:pStyle w:val="Tablebullet"/>
              <w:cnfStyle w:val="000000010000" w:firstRow="0" w:lastRow="0" w:firstColumn="0" w:lastColumn="0" w:oddVBand="0" w:evenVBand="0" w:oddHBand="0" w:evenHBand="1" w:firstRowFirstColumn="0" w:firstRowLastColumn="0" w:lastRowFirstColumn="0" w:lastRowLastColumn="0"/>
              <w:rPr>
                <w:b/>
              </w:rPr>
            </w:pPr>
            <w:r w:rsidRPr="006B20AE">
              <w:rPr>
                <w:bCs/>
              </w:rPr>
              <w:t xml:space="preserve">give the public confidence in </w:t>
            </w:r>
            <w:r>
              <w:rPr>
                <w:bCs/>
              </w:rPr>
              <w:t>g</w:t>
            </w:r>
            <w:r w:rsidRPr="006B20AE">
              <w:rPr>
                <w:bCs/>
              </w:rPr>
              <w:t>overnment</w:t>
            </w:r>
            <w:r w:rsidR="00344D3F">
              <w:rPr>
                <w:bCs/>
              </w:rPr>
              <w:t>’</w:t>
            </w:r>
            <w:r w:rsidRPr="006B20AE">
              <w:rPr>
                <w:bCs/>
              </w:rPr>
              <w:t xml:space="preserve">s expenditure of public resources, </w:t>
            </w:r>
            <w:r w:rsidRPr="006B20AE">
              <w:t xml:space="preserve">avoid waste, ensure resources are used in a proper manner and </w:t>
            </w:r>
            <w:r w:rsidRPr="006B20AE" w:rsidDel="006B20AE">
              <w:t>in the community</w:t>
            </w:r>
            <w:r w:rsidR="00344D3F">
              <w:t>’</w:t>
            </w:r>
            <w:r w:rsidRPr="006B20AE" w:rsidDel="006B20AE">
              <w:t>s best interests and ensure benefits are maximised</w:t>
            </w:r>
            <w:r w:rsidRPr="006B20AE">
              <w:t>.</w:t>
            </w:r>
          </w:p>
        </w:tc>
      </w:tr>
      <w:tr w:rsidR="002101E5" w14:paraId="5B062B56" w14:textId="77777777" w:rsidTr="2A57419C">
        <w:tc>
          <w:tcPr>
            <w:cnfStyle w:val="001000000000" w:firstRow="0" w:lastRow="0" w:firstColumn="1" w:lastColumn="0" w:oddVBand="0" w:evenVBand="0" w:oddHBand="0" w:evenHBand="0" w:firstRowFirstColumn="0" w:firstRowLastColumn="0" w:lastRowFirstColumn="0" w:lastRowLastColumn="0"/>
            <w:tcW w:w="1998" w:type="dxa"/>
          </w:tcPr>
          <w:p w14:paraId="63099845" w14:textId="77777777" w:rsidR="002101E5" w:rsidRPr="00687718" w:rsidRDefault="002101E5" w:rsidP="00F7602B">
            <w:pPr>
              <w:pStyle w:val="Tabletext"/>
              <w:rPr>
                <w:rFonts w:asciiTheme="majorHAnsi" w:hAnsiTheme="majorHAnsi"/>
              </w:rPr>
            </w:pPr>
            <w:r w:rsidRPr="00687718">
              <w:rPr>
                <w:rFonts w:asciiTheme="majorHAnsi" w:hAnsiTheme="majorHAnsi"/>
              </w:rPr>
              <w:t>Transparency and competition</w:t>
            </w:r>
          </w:p>
          <w:p w14:paraId="022382AF" w14:textId="77777777" w:rsidR="002101E5" w:rsidRPr="00687718" w:rsidRDefault="002101E5" w:rsidP="00F7602B">
            <w:pPr>
              <w:pStyle w:val="Tabletext"/>
              <w:rPr>
                <w:rFonts w:asciiTheme="majorHAnsi" w:hAnsiTheme="majorHAnsi"/>
              </w:rPr>
            </w:pPr>
            <w:r w:rsidRPr="000E73BE">
              <w:rPr>
                <w:rFonts w:ascii="VIC SemiBold" w:hAnsi="VIC SemiBold"/>
                <w:noProof/>
                <w:color w:val="C00000"/>
              </w:rPr>
              <w:drawing>
                <wp:inline distT="0" distB="0" distL="0" distR="0" wp14:anchorId="38D8E17D" wp14:editId="305CDF9C">
                  <wp:extent cx="422306" cy="411480"/>
                  <wp:effectExtent l="0" t="0" r="0" b="7620"/>
                  <wp:docPr id="35" name="Graphic 35" descr="Transparency and competi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ransparency and competition icon"/>
                          <pic:cNvPicPr/>
                        </pic:nvPicPr>
                        <pic:blipFill rotWithShape="1">
                          <a:blip r:embed="rId43" cstate="screen">
                            <a:extLst>
                              <a:ext uri="{28A0092B-C50C-407E-A947-70E740481C1C}">
                                <a14:useLocalDpi xmlns:a14="http://schemas.microsoft.com/office/drawing/2010/main"/>
                              </a:ext>
                              <a:ext uri="{96DAC541-7B7A-43D3-8B79-37D633B846F1}">
                                <asvg:svgBlip xmlns:asvg="http://schemas.microsoft.com/office/drawing/2016/SVG/main" r:embed="rId44"/>
                              </a:ext>
                            </a:extLst>
                          </a:blip>
                          <a:srcRect l="10264" t="11299" r="6530" b="7627"/>
                          <a:stretch/>
                        </pic:blipFill>
                        <pic:spPr bwMode="auto">
                          <a:xfrm>
                            <a:off x="0" y="0"/>
                            <a:ext cx="422306" cy="411480"/>
                          </a:xfrm>
                          <a:prstGeom prst="rect">
                            <a:avLst/>
                          </a:prstGeom>
                          <a:ln>
                            <a:noFill/>
                          </a:ln>
                          <a:extLst>
                            <a:ext uri="{53640926-AAD7-44D8-BBD7-CCE9431645EC}">
                              <a14:shadowObscured xmlns:a14="http://schemas.microsoft.com/office/drawing/2010/main"/>
                            </a:ext>
                          </a:extLst>
                        </pic:spPr>
                      </pic:pic>
                    </a:graphicData>
                  </a:graphic>
                </wp:inline>
              </w:drawing>
            </w:r>
          </w:p>
        </w:tc>
        <w:tc>
          <w:tcPr>
            <w:tcW w:w="6300" w:type="dxa"/>
          </w:tcPr>
          <w:p w14:paraId="27593178" w14:textId="273D1F71" w:rsidR="002101E5" w:rsidRDefault="002101E5" w:rsidP="00F7602B">
            <w:pPr>
              <w:pStyle w:val="Tabletext"/>
              <w:cnfStyle w:val="000000000000" w:firstRow="0" w:lastRow="0" w:firstColumn="0" w:lastColumn="0" w:oddVBand="0" w:evenVBand="0" w:oddHBand="0" w:evenHBand="0" w:firstRowFirstColumn="0" w:firstRowLastColumn="0" w:lastRowFirstColumn="0" w:lastRowLastColumn="0"/>
            </w:pPr>
            <w:r w:rsidRPr="0085315C">
              <w:t>Procurement processes are transparent, appropriately competitive and contestable and provide equal opportunity to all parties</w:t>
            </w:r>
            <w:r>
              <w:t>, to:</w:t>
            </w:r>
          </w:p>
          <w:p w14:paraId="23CB7D6C" w14:textId="77777777" w:rsidR="002101E5" w:rsidRPr="0085315C" w:rsidRDefault="002101E5" w:rsidP="001D2615">
            <w:pPr>
              <w:pStyle w:val="Tablebullet"/>
              <w:cnfStyle w:val="000000000000" w:firstRow="0" w:lastRow="0" w:firstColumn="0" w:lastColumn="0" w:oddVBand="0" w:evenVBand="0" w:oddHBand="0" w:evenHBand="0" w:firstRowFirstColumn="0" w:firstRowLastColumn="0" w:lastRowFirstColumn="0" w:lastRowLastColumn="0"/>
              <w:rPr>
                <w:b/>
              </w:rPr>
            </w:pPr>
            <w:r>
              <w:t>e</w:t>
            </w:r>
            <w:r w:rsidRPr="0085315C">
              <w:t>nsure that competent contractors are not deterred by poor processes, lack of access or information, inadequate response times or cost of tendering</w:t>
            </w:r>
          </w:p>
          <w:p w14:paraId="509764E3" w14:textId="77777777" w:rsidR="002101E5" w:rsidRDefault="002101E5" w:rsidP="001D2615">
            <w:pPr>
              <w:pStyle w:val="Tablebullet"/>
              <w:cnfStyle w:val="000000000000" w:firstRow="0" w:lastRow="0" w:firstColumn="0" w:lastColumn="0" w:oddVBand="0" w:evenVBand="0" w:oddHBand="0" w:evenHBand="0" w:firstRowFirstColumn="0" w:firstRowLastColumn="0" w:lastRowFirstColumn="0" w:lastRowLastColumn="0"/>
            </w:pPr>
            <w:r>
              <w:t>e</w:t>
            </w:r>
            <w:r w:rsidRPr="0085315C">
              <w:t>ncourage fair competition</w:t>
            </w:r>
            <w:r w:rsidRPr="0085315C" w:rsidDel="006B20AE">
              <w:t xml:space="preserve"> </w:t>
            </w:r>
            <w:r w:rsidRPr="0085315C">
              <w:t>throughout the procurement process.</w:t>
            </w:r>
          </w:p>
        </w:tc>
      </w:tr>
      <w:tr w:rsidR="002101E5" w:rsidRPr="003C7509" w14:paraId="0BB817FE" w14:textId="77777777" w:rsidTr="2A574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16B9580A" w14:textId="77777777" w:rsidR="002101E5" w:rsidRPr="00687718" w:rsidRDefault="002101E5" w:rsidP="00F7602B">
            <w:pPr>
              <w:pStyle w:val="Tabletext"/>
              <w:rPr>
                <w:rFonts w:asciiTheme="majorHAnsi" w:hAnsiTheme="majorHAnsi"/>
              </w:rPr>
            </w:pPr>
            <w:r w:rsidRPr="00687718">
              <w:rPr>
                <w:rFonts w:asciiTheme="majorHAnsi" w:hAnsiTheme="majorHAnsi"/>
              </w:rPr>
              <w:t>Probity</w:t>
            </w:r>
          </w:p>
          <w:p w14:paraId="5F732A48" w14:textId="77777777" w:rsidR="002101E5" w:rsidRPr="00687718" w:rsidRDefault="002101E5" w:rsidP="00F7602B">
            <w:pPr>
              <w:pStyle w:val="Tabletext"/>
              <w:rPr>
                <w:rFonts w:asciiTheme="majorHAnsi" w:hAnsiTheme="majorHAnsi"/>
              </w:rPr>
            </w:pPr>
            <w:r w:rsidRPr="000E73BE">
              <w:rPr>
                <w:rFonts w:ascii="VIC SemiBold" w:hAnsi="VIC SemiBold"/>
                <w:noProof/>
                <w:color w:val="C00000"/>
              </w:rPr>
              <w:drawing>
                <wp:inline distT="0" distB="0" distL="0" distR="0" wp14:anchorId="4677A2E3" wp14:editId="6F86A26F">
                  <wp:extent cx="364557" cy="411480"/>
                  <wp:effectExtent l="0" t="0" r="0" b="7620"/>
                  <wp:docPr id="329790052" name="Graphic 329790052" descr="Prob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0052" name="Picture 329790052" descr="Probity icon"/>
                          <pic:cNvPicPr/>
                        </pic:nvPicPr>
                        <pic:blipFill>
                          <a:blip r:embed="rId45" cstate="screen">
                            <a:extLst>
                              <a:ext uri="{28A0092B-C50C-407E-A947-70E740481C1C}">
                                <a14:useLocalDpi xmlns:a14="http://schemas.microsoft.com/office/drawing/2010/main"/>
                              </a:ext>
                              <a:ext uri="{96DAC541-7B7A-43D3-8B79-37D633B846F1}">
                                <asvg:svgBlip xmlns:asvg="http://schemas.microsoft.com/office/drawing/2016/SVG/main" r:embed="rId46"/>
                              </a:ext>
                            </a:extLst>
                          </a:blip>
                          <a:stretch>
                            <a:fillRect/>
                          </a:stretch>
                        </pic:blipFill>
                        <pic:spPr>
                          <a:xfrm>
                            <a:off x="0" y="0"/>
                            <a:ext cx="364557" cy="411480"/>
                          </a:xfrm>
                          <a:prstGeom prst="rect">
                            <a:avLst/>
                          </a:prstGeom>
                        </pic:spPr>
                      </pic:pic>
                    </a:graphicData>
                  </a:graphic>
                </wp:inline>
              </w:drawing>
            </w:r>
          </w:p>
        </w:tc>
        <w:tc>
          <w:tcPr>
            <w:tcW w:w="6300" w:type="dxa"/>
          </w:tcPr>
          <w:p w14:paraId="602A0444" w14:textId="01E41184" w:rsidR="002101E5" w:rsidRDefault="002101E5" w:rsidP="00F7602B">
            <w:pPr>
              <w:pStyle w:val="Tabletext"/>
              <w:cnfStyle w:val="000000010000" w:firstRow="0" w:lastRow="0" w:firstColumn="0" w:lastColumn="0" w:oddVBand="0" w:evenVBand="0" w:oddHBand="0" w:evenHBand="1" w:firstRowFirstColumn="0" w:firstRowLastColumn="0" w:lastRowFirstColumn="0" w:lastRowLastColumn="0"/>
            </w:pPr>
            <w:r w:rsidRPr="0085315C">
              <w:t>Proper and ethical standards and high levels of integrity are demonstrated in the conduct of all commercial transactions, including procurement processes and evaluations, ensuring defensibility of processes.</w:t>
            </w:r>
            <w:r>
              <w:t xml:space="preserve"> Adherence to this principle involves:</w:t>
            </w:r>
          </w:p>
          <w:p w14:paraId="46F28510" w14:textId="77777777" w:rsidR="002101E5" w:rsidRPr="0085315C" w:rsidRDefault="002101E5" w:rsidP="001D2615">
            <w:pPr>
              <w:pStyle w:val="Tablebullet"/>
              <w:cnfStyle w:val="000000010000" w:firstRow="0" w:lastRow="0" w:firstColumn="0" w:lastColumn="0" w:oddVBand="0" w:evenVBand="0" w:oddHBand="0" w:evenHBand="1" w:firstRowFirstColumn="0" w:firstRowLastColumn="0" w:lastRowFirstColumn="0" w:lastRowLastColumn="0"/>
            </w:pPr>
            <w:r>
              <w:t>e</w:t>
            </w:r>
            <w:r w:rsidRPr="0085315C">
              <w:t>nsu</w:t>
            </w:r>
            <w:r>
              <w:t>ring</w:t>
            </w:r>
            <w:r w:rsidRPr="0085315C">
              <w:t xml:space="preserve"> all tender participants are treated fairly and equally</w:t>
            </w:r>
            <w:r>
              <w:t>, by a</w:t>
            </w:r>
            <w:r w:rsidRPr="0085315C">
              <w:t>void</w:t>
            </w:r>
            <w:r>
              <w:t>ing</w:t>
            </w:r>
            <w:r w:rsidRPr="0085315C">
              <w:t xml:space="preserve"> any practice that gives one party an improper advantage over another</w:t>
            </w:r>
          </w:p>
          <w:p w14:paraId="60E780EA" w14:textId="77777777" w:rsidR="002101E5" w:rsidRPr="0085315C" w:rsidRDefault="002101E5" w:rsidP="001D2615">
            <w:pPr>
              <w:pStyle w:val="Tablebullet"/>
              <w:cnfStyle w:val="000000010000" w:firstRow="0" w:lastRow="0" w:firstColumn="0" w:lastColumn="0" w:oddVBand="0" w:evenVBand="0" w:oddHBand="0" w:evenHBand="1" w:firstRowFirstColumn="0" w:firstRowLastColumn="0" w:lastRowFirstColumn="0" w:lastRowLastColumn="0"/>
            </w:pPr>
            <w:r>
              <w:t>m</w:t>
            </w:r>
            <w:r w:rsidRPr="0085315C">
              <w:t>aintain</w:t>
            </w:r>
            <w:r>
              <w:t>ing</w:t>
            </w:r>
            <w:r w:rsidRPr="0085315C">
              <w:t xml:space="preserve"> confidentiality throughout the procurement process</w:t>
            </w:r>
          </w:p>
          <w:p w14:paraId="2C498380" w14:textId="77777777" w:rsidR="002101E5" w:rsidRPr="0085315C" w:rsidRDefault="002101E5" w:rsidP="001D2615">
            <w:pPr>
              <w:pStyle w:val="Tablebullet"/>
              <w:cnfStyle w:val="000000010000" w:firstRow="0" w:lastRow="0" w:firstColumn="0" w:lastColumn="0" w:oddVBand="0" w:evenVBand="0" w:oddHBand="0" w:evenHBand="1" w:firstRowFirstColumn="0" w:firstRowLastColumn="0" w:lastRowFirstColumn="0" w:lastRowLastColumn="0"/>
            </w:pPr>
            <w:r>
              <w:t>m</w:t>
            </w:r>
            <w:r w:rsidRPr="0085315C">
              <w:t>anag</w:t>
            </w:r>
            <w:r>
              <w:t>ing</w:t>
            </w:r>
            <w:r w:rsidRPr="0085315C">
              <w:t xml:space="preserve"> all actual and perceived conflicts of interest</w:t>
            </w:r>
          </w:p>
          <w:p w14:paraId="1B468DF5" w14:textId="77777777" w:rsidR="002101E5" w:rsidRPr="0039361C" w:rsidRDefault="002101E5" w:rsidP="001D2615">
            <w:pPr>
              <w:pStyle w:val="Tablebullet"/>
              <w:cnfStyle w:val="000000010000" w:firstRow="0" w:lastRow="0" w:firstColumn="0" w:lastColumn="0" w:oddVBand="0" w:evenVBand="0" w:oddHBand="0" w:evenHBand="1" w:firstRowFirstColumn="0" w:firstRowLastColumn="0" w:lastRowFirstColumn="0" w:lastRowLastColumn="0"/>
            </w:pPr>
            <w:r>
              <w:t>r</w:t>
            </w:r>
            <w:r w:rsidRPr="0039361C">
              <w:t>espect</w:t>
            </w:r>
            <w:r>
              <w:t>ing</w:t>
            </w:r>
            <w:r w:rsidRPr="0039361C">
              <w:t xml:space="preserve"> the intellectual property rights of all parties </w:t>
            </w:r>
            <w:r>
              <w:t>by</w:t>
            </w:r>
            <w:r w:rsidRPr="0039361C">
              <w:t xml:space="preserve"> not us</w:t>
            </w:r>
            <w:r>
              <w:t>ing</w:t>
            </w:r>
            <w:r w:rsidRPr="0039361C">
              <w:t xml:space="preserve"> intellectual property submitted with a tender to obtain prices from, or negotiate with, other tenderers for like or similar scope</w:t>
            </w:r>
          </w:p>
          <w:p w14:paraId="7CC0BC47" w14:textId="3D06C4FD" w:rsidR="002101E5" w:rsidRPr="0085315C" w:rsidRDefault="002101E5" w:rsidP="001D2615">
            <w:pPr>
              <w:pStyle w:val="Tablebullet"/>
              <w:cnfStyle w:val="000000010000" w:firstRow="0" w:lastRow="0" w:firstColumn="0" w:lastColumn="0" w:oddVBand="0" w:evenVBand="0" w:oddHBand="0" w:evenHBand="1" w:firstRowFirstColumn="0" w:firstRowLastColumn="0" w:lastRowFirstColumn="0" w:lastRowLastColumn="0"/>
            </w:pPr>
            <w:r>
              <w:t>e</w:t>
            </w:r>
            <w:r w:rsidRPr="0085315C">
              <w:t>xhaust</w:t>
            </w:r>
            <w:r>
              <w:t>ing</w:t>
            </w:r>
            <w:r w:rsidRPr="0085315C">
              <w:t xml:space="preserve"> negotiations with the initial best</w:t>
            </w:r>
            <w:r w:rsidR="008A320A">
              <w:t>-</w:t>
            </w:r>
            <w:r w:rsidRPr="0085315C">
              <w:t xml:space="preserve">value </w:t>
            </w:r>
            <w:r w:rsidR="00605B8E">
              <w:t>respondent</w:t>
            </w:r>
            <w:r w:rsidR="00605B8E" w:rsidRPr="0085315C">
              <w:t xml:space="preserve"> </w:t>
            </w:r>
            <w:r w:rsidRPr="0085315C">
              <w:t xml:space="preserve">before negotiating with subsequent </w:t>
            </w:r>
            <w:r w:rsidR="0092715A">
              <w:t>respondents</w:t>
            </w:r>
          </w:p>
          <w:p w14:paraId="0903EC8D" w14:textId="06029D5C" w:rsidR="002101E5" w:rsidRPr="003C7509" w:rsidRDefault="002101E5" w:rsidP="001D2615">
            <w:pPr>
              <w:pStyle w:val="Tablebullet"/>
              <w:cnfStyle w:val="000000010000" w:firstRow="0" w:lastRow="0" w:firstColumn="0" w:lastColumn="0" w:oddVBand="0" w:evenVBand="0" w:oddHBand="0" w:evenHBand="1" w:firstRowFirstColumn="0" w:firstRowLastColumn="0" w:lastRowFirstColumn="0" w:lastRowLastColumn="0"/>
              <w:rPr>
                <w:bCs/>
              </w:rPr>
            </w:pPr>
            <w:r>
              <w:t xml:space="preserve">not </w:t>
            </w:r>
            <w:r w:rsidRPr="0085315C">
              <w:t>negotiat</w:t>
            </w:r>
            <w:r>
              <w:t>ing</w:t>
            </w:r>
            <w:r w:rsidRPr="0085315C">
              <w:t xml:space="preserve"> with more than one </w:t>
            </w:r>
            <w:r w:rsidR="0092715A">
              <w:t>respondent</w:t>
            </w:r>
            <w:r w:rsidR="0092715A" w:rsidRPr="0085315C">
              <w:t xml:space="preserve"> </w:t>
            </w:r>
            <w:r w:rsidRPr="0085315C">
              <w:t xml:space="preserve">at a time, </w:t>
            </w:r>
            <w:r w:rsidR="1FA29167">
              <w:t>unless the tender process has been designed t</w:t>
            </w:r>
            <w:r w:rsidR="3B664BB8">
              <w:t xml:space="preserve">o </w:t>
            </w:r>
            <w:r w:rsidR="1FA29167">
              <w:t>allow</w:t>
            </w:r>
            <w:r w:rsidR="2FABC4A7">
              <w:t xml:space="preserve"> this</w:t>
            </w:r>
            <w:r w:rsidR="5B40E5D2">
              <w:t xml:space="preserve">, </w:t>
            </w:r>
            <w:r w:rsidRPr="0085315C">
              <w:t>or trad</w:t>
            </w:r>
            <w:r>
              <w:t>ing</w:t>
            </w:r>
            <w:r w:rsidRPr="0085315C">
              <w:t xml:space="preserve"> off one </w:t>
            </w:r>
            <w:r w:rsidR="0092715A">
              <w:t>respondent’s</w:t>
            </w:r>
            <w:r w:rsidR="0092715A" w:rsidRPr="0085315C">
              <w:t xml:space="preserve"> </w:t>
            </w:r>
            <w:r w:rsidRPr="0085315C">
              <w:t>price against another, in an attempt to obtain a lower price.</w:t>
            </w:r>
          </w:p>
          <w:p w14:paraId="7696A154" w14:textId="5D6C49BA" w:rsidR="002101E5" w:rsidRPr="003C7509" w:rsidRDefault="002101E5" w:rsidP="00171CF8">
            <w:pPr>
              <w:pStyle w:val="Tabletext"/>
              <w:cnfStyle w:val="000000010000" w:firstRow="0" w:lastRow="0" w:firstColumn="0" w:lastColumn="0" w:oddVBand="0" w:evenVBand="0" w:oddHBand="0" w:evenHBand="1" w:firstRowFirstColumn="0" w:firstRowLastColumn="0" w:lastRowFirstColumn="0" w:lastRowLastColumn="0"/>
              <w:rPr>
                <w:bCs/>
              </w:rPr>
            </w:pPr>
            <w:r w:rsidRPr="003C7509">
              <w:rPr>
                <w:bCs/>
              </w:rPr>
              <w:t xml:space="preserve">For further information on applying probity to government procurements, including requirements for appointing a probity </w:t>
            </w:r>
            <w:r w:rsidRPr="003C7509">
              <w:rPr>
                <w:bCs/>
                <w:color w:val="auto"/>
              </w:rPr>
              <w:t>advis</w:t>
            </w:r>
            <w:r>
              <w:rPr>
                <w:bCs/>
                <w:color w:val="auto"/>
              </w:rPr>
              <w:t>er</w:t>
            </w:r>
            <w:r w:rsidRPr="003C7509">
              <w:rPr>
                <w:bCs/>
                <w:color w:val="auto"/>
              </w:rPr>
              <w:t xml:space="preserve"> or auditor, see </w:t>
            </w:r>
            <w:hyperlink r:id="rId47" w:history="1">
              <w:r w:rsidRPr="003C7509">
                <w:rPr>
                  <w:rStyle w:val="Hyperlink"/>
                  <w:rFonts w:ascii="VIC" w:hAnsi="VIC"/>
                  <w:szCs w:val="18"/>
                </w:rPr>
                <w:t>https://www.buyingfor.vic.gov.au/plan-probity</w:t>
              </w:r>
            </w:hyperlink>
            <w:r w:rsidR="002A4E7D" w:rsidRPr="000C4D72">
              <w:rPr>
                <w:szCs w:val="20"/>
              </w:rPr>
              <w:t>.</w:t>
            </w:r>
          </w:p>
        </w:tc>
      </w:tr>
      <w:tr w:rsidR="002101E5" w:rsidRPr="003C048D" w14:paraId="4E5B63F3" w14:textId="77777777" w:rsidTr="2A57419C">
        <w:tc>
          <w:tcPr>
            <w:cnfStyle w:val="001000000000" w:firstRow="0" w:lastRow="0" w:firstColumn="1" w:lastColumn="0" w:oddVBand="0" w:evenVBand="0" w:oddHBand="0" w:evenHBand="0" w:firstRowFirstColumn="0" w:firstRowLastColumn="0" w:lastRowFirstColumn="0" w:lastRowLastColumn="0"/>
            <w:tcW w:w="1998" w:type="dxa"/>
          </w:tcPr>
          <w:p w14:paraId="307D2425" w14:textId="77777777" w:rsidR="002101E5" w:rsidRPr="00687718" w:rsidRDefault="002101E5" w:rsidP="00F7602B">
            <w:pPr>
              <w:pStyle w:val="Tabletext"/>
              <w:rPr>
                <w:rFonts w:asciiTheme="majorHAnsi" w:hAnsiTheme="majorHAnsi"/>
              </w:rPr>
            </w:pPr>
            <w:r w:rsidRPr="00687718">
              <w:rPr>
                <w:rFonts w:asciiTheme="majorHAnsi" w:hAnsiTheme="majorHAnsi"/>
              </w:rPr>
              <w:t>Scalability and efficiency</w:t>
            </w:r>
          </w:p>
          <w:p w14:paraId="4BE0741C" w14:textId="77777777" w:rsidR="002101E5" w:rsidRPr="00687718" w:rsidRDefault="002101E5" w:rsidP="00F7602B">
            <w:pPr>
              <w:pStyle w:val="Tabletext"/>
              <w:rPr>
                <w:rFonts w:asciiTheme="majorHAnsi" w:hAnsiTheme="majorHAnsi"/>
              </w:rPr>
            </w:pPr>
            <w:r w:rsidRPr="000E73BE">
              <w:rPr>
                <w:rFonts w:ascii="VIC SemiBold" w:hAnsi="VIC SemiBold"/>
                <w:noProof/>
                <w:color w:val="C00000"/>
              </w:rPr>
              <w:drawing>
                <wp:inline distT="0" distB="0" distL="0" distR="0" wp14:anchorId="72B86FBB" wp14:editId="71B35EB3">
                  <wp:extent cx="405727" cy="411480"/>
                  <wp:effectExtent l="0" t="0" r="0" b="7620"/>
                  <wp:docPr id="329790067" name="Graphic 329790067" descr="Scalability and effici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0067" name="Picture 329790067" descr="Scalability and efficiency icon"/>
                          <pic:cNvPicPr/>
                        </pic:nvPicPr>
                        <pic:blipFill>
                          <a:blip r:embed="rId48" cstate="screen">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05727" cy="411480"/>
                          </a:xfrm>
                          <a:prstGeom prst="rect">
                            <a:avLst/>
                          </a:prstGeom>
                        </pic:spPr>
                      </pic:pic>
                    </a:graphicData>
                  </a:graphic>
                </wp:inline>
              </w:drawing>
            </w:r>
          </w:p>
        </w:tc>
        <w:tc>
          <w:tcPr>
            <w:tcW w:w="6300" w:type="dxa"/>
          </w:tcPr>
          <w:p w14:paraId="7CD339C0" w14:textId="51084218" w:rsidR="002101E5" w:rsidRPr="003C048D" w:rsidRDefault="002101E5" w:rsidP="00F7602B">
            <w:pPr>
              <w:pStyle w:val="Tabletext"/>
              <w:cnfStyle w:val="000000000000" w:firstRow="0" w:lastRow="0" w:firstColumn="0" w:lastColumn="0" w:oddVBand="0" w:evenVBand="0" w:oddHBand="0" w:evenHBand="0" w:firstRowFirstColumn="0" w:firstRowLastColumn="0" w:lastRowFirstColumn="0" w:lastRowLastColumn="0"/>
            </w:pPr>
            <w:r w:rsidRPr="0085315C">
              <w:t>Tender processes are efficient</w:t>
            </w:r>
            <w:r>
              <w:t xml:space="preserve">, </w:t>
            </w:r>
            <w:r w:rsidRPr="0085315C">
              <w:t>timely and reduce unnecessary burden</w:t>
            </w:r>
            <w:r>
              <w:t>s</w:t>
            </w:r>
            <w:r w:rsidRPr="0085315C">
              <w:t xml:space="preserve"> </w:t>
            </w:r>
            <w:r>
              <w:t>on</w:t>
            </w:r>
            <w:r w:rsidRPr="0085315C">
              <w:t xml:space="preserve"> all parties.</w:t>
            </w:r>
            <w:r>
              <w:t xml:space="preserve"> In practice this involves </w:t>
            </w:r>
            <w:r w:rsidR="00E276D3">
              <w:t>us</w:t>
            </w:r>
            <w:r>
              <w:t>ing</w:t>
            </w:r>
            <w:r w:rsidRPr="0085315C">
              <w:t xml:space="preserve"> appropriate procurement models and processes</w:t>
            </w:r>
            <w:r>
              <w:t>,</w:t>
            </w:r>
            <w:r w:rsidRPr="0085315C">
              <w:t xml:space="preserve"> </w:t>
            </w:r>
            <w:r w:rsidR="00BE4BB7" w:rsidRPr="0085315C">
              <w:t>considering</w:t>
            </w:r>
            <w:r w:rsidR="0040275E">
              <w:t xml:space="preserve"> </w:t>
            </w:r>
            <w:r w:rsidRPr="0085315C">
              <w:t>the complexity and value of the project and</w:t>
            </w:r>
            <w:r>
              <w:t xml:space="preserve"> its </w:t>
            </w:r>
            <w:r w:rsidRPr="0085315C">
              <w:t>market capability.</w:t>
            </w:r>
          </w:p>
        </w:tc>
      </w:tr>
      <w:tr w:rsidR="002101E5" w:rsidRPr="0085315C" w14:paraId="0C963008" w14:textId="77777777" w:rsidTr="2A5741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14:paraId="23163C05" w14:textId="77777777" w:rsidR="002101E5" w:rsidRPr="00687718" w:rsidRDefault="002101E5" w:rsidP="00F7602B">
            <w:pPr>
              <w:pStyle w:val="Tabletext"/>
              <w:rPr>
                <w:rFonts w:asciiTheme="majorHAnsi" w:hAnsiTheme="majorHAnsi"/>
              </w:rPr>
            </w:pPr>
            <w:r w:rsidRPr="00687718">
              <w:rPr>
                <w:rFonts w:asciiTheme="majorHAnsi" w:hAnsiTheme="majorHAnsi"/>
              </w:rPr>
              <w:t>Building skills and capability</w:t>
            </w:r>
          </w:p>
          <w:p w14:paraId="27093E05" w14:textId="77777777" w:rsidR="002101E5" w:rsidRPr="00687718" w:rsidRDefault="002101E5" w:rsidP="00F7602B">
            <w:pPr>
              <w:pStyle w:val="Tabletext"/>
              <w:rPr>
                <w:rFonts w:asciiTheme="majorHAnsi" w:hAnsiTheme="majorHAnsi"/>
              </w:rPr>
            </w:pPr>
            <w:r w:rsidRPr="000E73BE">
              <w:rPr>
                <w:rFonts w:ascii="VIC SemiBold" w:hAnsi="VIC SemiBold"/>
                <w:noProof/>
                <w:color w:val="C00000"/>
              </w:rPr>
              <w:drawing>
                <wp:inline distT="0" distB="0" distL="0" distR="0" wp14:anchorId="1DD8E2E1" wp14:editId="072C27EF">
                  <wp:extent cx="409219" cy="411480"/>
                  <wp:effectExtent l="0" t="0" r="0" b="7620"/>
                  <wp:docPr id="63" name="Graphic 63" descr="Building skills and cap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uilding skills and capability icon"/>
                          <pic:cNvPicPr/>
                        </pic:nvPicPr>
                        <pic:blipFill>
                          <a:blip r:embed="rId50" cstate="screen">
                            <a:extLst>
                              <a:ext uri="{28A0092B-C50C-407E-A947-70E740481C1C}">
                                <a14:useLocalDpi xmlns:a14="http://schemas.microsoft.com/office/drawing/2010/main"/>
                              </a:ext>
                              <a:ext uri="{96DAC541-7B7A-43D3-8B79-37D633B846F1}">
                                <asvg:svgBlip xmlns:asvg="http://schemas.microsoft.com/office/drawing/2016/SVG/main" r:embed="rId51"/>
                              </a:ext>
                            </a:extLst>
                          </a:blip>
                          <a:stretch>
                            <a:fillRect/>
                          </a:stretch>
                        </pic:blipFill>
                        <pic:spPr>
                          <a:xfrm>
                            <a:off x="0" y="0"/>
                            <a:ext cx="409219" cy="411480"/>
                          </a:xfrm>
                          <a:prstGeom prst="rect">
                            <a:avLst/>
                          </a:prstGeom>
                        </pic:spPr>
                      </pic:pic>
                    </a:graphicData>
                  </a:graphic>
                </wp:inline>
              </w:drawing>
            </w:r>
          </w:p>
        </w:tc>
        <w:tc>
          <w:tcPr>
            <w:tcW w:w="6300" w:type="dxa"/>
          </w:tcPr>
          <w:p w14:paraId="289D141E" w14:textId="2D5B8C1E" w:rsidR="002101E5" w:rsidRDefault="7ED7EC66" w:rsidP="00F7602B">
            <w:pPr>
              <w:pStyle w:val="Tabletext"/>
              <w:cnfStyle w:val="000000010000" w:firstRow="0" w:lastRow="0" w:firstColumn="0" w:lastColumn="0" w:oddVBand="0" w:evenVBand="0" w:oddHBand="0" w:evenHBand="1" w:firstRowFirstColumn="0" w:firstRowLastColumn="0" w:lastRowFirstColumn="0" w:lastRowLastColumn="0"/>
            </w:pPr>
            <w:r>
              <w:t xml:space="preserve">Procurement is leveraged to foster capability development and intergenerational skills transfer in </w:t>
            </w:r>
            <w:r w:rsidR="00EC176D">
              <w:t xml:space="preserve">infrastructure </w:t>
            </w:r>
            <w:r>
              <w:t>across both the public and private sectors. Key aspects of this principle include:</w:t>
            </w:r>
          </w:p>
          <w:p w14:paraId="2D19959F" w14:textId="776DBEBE" w:rsidR="002101E5" w:rsidRPr="0085315C" w:rsidRDefault="002101E5" w:rsidP="001D2615">
            <w:pPr>
              <w:pStyle w:val="Tablebullet"/>
              <w:cnfStyle w:val="000000010000" w:firstRow="0" w:lastRow="0" w:firstColumn="0" w:lastColumn="0" w:oddVBand="0" w:evenVBand="0" w:oddHBand="0" w:evenHBand="1" w:firstRowFirstColumn="0" w:firstRowLastColumn="0" w:lastRowFirstColumn="0" w:lastRowLastColumn="0"/>
            </w:pPr>
            <w:r>
              <w:t>i</w:t>
            </w:r>
            <w:r w:rsidRPr="0085315C">
              <w:t>dentify</w:t>
            </w:r>
            <w:r>
              <w:t>ing</w:t>
            </w:r>
            <w:r w:rsidRPr="0085315C">
              <w:t xml:space="preserve"> lessons learn</w:t>
            </w:r>
            <w:r w:rsidR="00AD7B39">
              <w:t>t</w:t>
            </w:r>
            <w:r w:rsidRPr="0085315C">
              <w:t xml:space="preserve"> from past projects to inform new project development and delivery approaches, better risk management practices and improved contractor management</w:t>
            </w:r>
          </w:p>
          <w:p w14:paraId="498DBC9E" w14:textId="2873DF4E" w:rsidR="002101E5" w:rsidRPr="0085315C" w:rsidRDefault="7ED7EC66" w:rsidP="001D2615">
            <w:pPr>
              <w:pStyle w:val="Tablebullet"/>
              <w:cnfStyle w:val="000000010000" w:firstRow="0" w:lastRow="0" w:firstColumn="0" w:lastColumn="0" w:oddVBand="0" w:evenVBand="0" w:oddHBand="0" w:evenHBand="1" w:firstRowFirstColumn="0" w:firstRowLastColumn="0" w:lastRowFirstColumn="0" w:lastRowLastColumn="0"/>
            </w:pPr>
            <w:r>
              <w:t>leveraging government procurement to identify and address skills gaps and support capability development by Victorian public sector and industry practitioners</w:t>
            </w:r>
          </w:p>
          <w:p w14:paraId="5D89DAA7" w14:textId="77777777" w:rsidR="002101E5" w:rsidRPr="0085315C" w:rsidRDefault="002101E5" w:rsidP="001D2615">
            <w:pPr>
              <w:pStyle w:val="Tablebullet"/>
              <w:cnfStyle w:val="000000010000" w:firstRow="0" w:lastRow="0" w:firstColumn="0" w:lastColumn="0" w:oddVBand="0" w:evenVBand="0" w:oddHBand="0" w:evenHBand="1" w:firstRowFirstColumn="0" w:firstRowLastColumn="0" w:lastRowFirstColumn="0" w:lastRowLastColumn="0"/>
            </w:pPr>
            <w:r>
              <w:t>s</w:t>
            </w:r>
            <w:r w:rsidRPr="0085315C">
              <w:t>iz</w:t>
            </w:r>
            <w:r>
              <w:t>ing</w:t>
            </w:r>
            <w:r w:rsidRPr="0085315C">
              <w:t xml:space="preserve"> and packag</w:t>
            </w:r>
            <w:r>
              <w:t>ing</w:t>
            </w:r>
            <w:r w:rsidRPr="0085315C">
              <w:t xml:space="preserve"> works in a way that best considers market capacity across all tiers of industry.</w:t>
            </w:r>
          </w:p>
        </w:tc>
      </w:tr>
      <w:tr w:rsidR="002101E5" w:rsidRPr="0085315C" w14:paraId="3D1A1016" w14:textId="77777777" w:rsidTr="2A57419C">
        <w:tc>
          <w:tcPr>
            <w:cnfStyle w:val="001000000000" w:firstRow="0" w:lastRow="0" w:firstColumn="1" w:lastColumn="0" w:oddVBand="0" w:evenVBand="0" w:oddHBand="0" w:evenHBand="0" w:firstRowFirstColumn="0" w:firstRowLastColumn="0" w:lastRowFirstColumn="0" w:lastRowLastColumn="0"/>
            <w:tcW w:w="1998" w:type="dxa"/>
          </w:tcPr>
          <w:p w14:paraId="78BD63F1" w14:textId="77777777" w:rsidR="002101E5" w:rsidRDefault="002101E5" w:rsidP="00F7602B">
            <w:pPr>
              <w:pStyle w:val="Tabletext"/>
              <w:rPr>
                <w:rFonts w:asciiTheme="majorHAnsi" w:hAnsiTheme="majorHAnsi"/>
              </w:rPr>
            </w:pPr>
            <w:r w:rsidRPr="00687718">
              <w:rPr>
                <w:rFonts w:asciiTheme="majorHAnsi" w:hAnsiTheme="majorHAnsi"/>
              </w:rPr>
              <w:t>Continuous improvement</w:t>
            </w:r>
          </w:p>
          <w:p w14:paraId="14B007DE" w14:textId="77777777" w:rsidR="002101E5" w:rsidRPr="00687718" w:rsidRDefault="002101E5" w:rsidP="00F7602B">
            <w:pPr>
              <w:pStyle w:val="Tabletext"/>
              <w:rPr>
                <w:rFonts w:asciiTheme="majorHAnsi" w:hAnsiTheme="majorHAnsi"/>
              </w:rPr>
            </w:pPr>
            <w:r w:rsidRPr="000E73BE">
              <w:rPr>
                <w:rFonts w:ascii="VIC SemiBold" w:hAnsi="VIC SemiBold"/>
                <w:noProof/>
                <w:color w:val="C00000"/>
              </w:rPr>
              <w:drawing>
                <wp:inline distT="0" distB="0" distL="0" distR="0" wp14:anchorId="0B16FF3C" wp14:editId="59AC7585">
                  <wp:extent cx="411480" cy="411480"/>
                  <wp:effectExtent l="0" t="0" r="7620" b="7620"/>
                  <wp:docPr id="82" name="Graphic 82" descr="Continuous improv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ontinuous improvement icon"/>
                          <pic:cNvPicPr/>
                        </pic:nvPicPr>
                        <pic:blipFill>
                          <a:blip r:embed="rId52" cstate="screen">
                            <a:extLst>
                              <a:ext uri="{28A0092B-C50C-407E-A947-70E740481C1C}">
                                <a14:useLocalDpi xmlns:a14="http://schemas.microsoft.com/office/drawing/2010/main"/>
                              </a:ext>
                              <a:ext uri="{96DAC541-7B7A-43D3-8B79-37D633B846F1}">
                                <asvg:svgBlip xmlns:asvg="http://schemas.microsoft.com/office/drawing/2016/SVG/main" r:embed="rId53"/>
                              </a:ext>
                            </a:extLst>
                          </a:blip>
                          <a:stretch>
                            <a:fillRect/>
                          </a:stretch>
                        </pic:blipFill>
                        <pic:spPr>
                          <a:xfrm>
                            <a:off x="0" y="0"/>
                            <a:ext cx="411480" cy="411480"/>
                          </a:xfrm>
                          <a:prstGeom prst="rect">
                            <a:avLst/>
                          </a:prstGeom>
                        </pic:spPr>
                      </pic:pic>
                    </a:graphicData>
                  </a:graphic>
                </wp:inline>
              </w:drawing>
            </w:r>
          </w:p>
        </w:tc>
        <w:tc>
          <w:tcPr>
            <w:tcW w:w="6300" w:type="dxa"/>
          </w:tcPr>
          <w:p w14:paraId="402A981B" w14:textId="4C6607D2" w:rsidR="002101E5" w:rsidRPr="0085315C" w:rsidRDefault="7ED7EC66" w:rsidP="00F7602B">
            <w:pPr>
              <w:pStyle w:val="Tabletext"/>
              <w:cnfStyle w:val="000000000000" w:firstRow="0" w:lastRow="0" w:firstColumn="0" w:lastColumn="0" w:oddVBand="0" w:evenVBand="0" w:oddHBand="0" w:evenHBand="0" w:firstRowFirstColumn="0" w:firstRowLastColumn="0" w:lastRowFirstColumn="0" w:lastRowLastColumn="0"/>
            </w:pPr>
            <w:r>
              <w:t xml:space="preserve">Adoption of innovative and modern methods of </w:t>
            </w:r>
            <w:r w:rsidR="44BAD85F">
              <w:t xml:space="preserve">infrastructure </w:t>
            </w:r>
            <w:r>
              <w:t xml:space="preserve">to drive continuous, incremental improvements to productivity in </w:t>
            </w:r>
            <w:r w:rsidR="6809EB41">
              <w:t xml:space="preserve">infrastructure </w:t>
            </w:r>
            <w:r>
              <w:t>sector</w:t>
            </w:r>
            <w:r w:rsidR="000E1A15">
              <w:t>s</w:t>
            </w:r>
            <w:r>
              <w:t>. This will encourage appropriate innovation and responsiveness from the market.</w:t>
            </w:r>
          </w:p>
        </w:tc>
      </w:tr>
    </w:tbl>
    <w:p w14:paraId="11CFFB5E" w14:textId="62DF52D6" w:rsidR="00C5770E" w:rsidRPr="00C5770E" w:rsidRDefault="00840045" w:rsidP="001D2615">
      <w:pPr>
        <w:pStyle w:val="Heading2numbered"/>
      </w:pPr>
      <w:bookmarkStart w:id="33" w:name="_Toc25662675"/>
      <w:bookmarkStart w:id="34" w:name="_Toc161321750"/>
      <w:r w:rsidRPr="00C5770E">
        <w:t xml:space="preserve">Procurement </w:t>
      </w:r>
      <w:r w:rsidR="00C55FC3" w:rsidRPr="00C5770E">
        <w:t xml:space="preserve">legislation and </w:t>
      </w:r>
      <w:r w:rsidRPr="00C5770E">
        <w:t>policy</w:t>
      </w:r>
      <w:bookmarkEnd w:id="33"/>
      <w:bookmarkEnd w:id="34"/>
    </w:p>
    <w:p w14:paraId="7C25BD72" w14:textId="0AE7CF81" w:rsidR="00254C9A" w:rsidRDefault="00254C9A" w:rsidP="003274F9">
      <w:pPr>
        <w:pStyle w:val="NormalIndent"/>
      </w:pPr>
      <w:r w:rsidRPr="00C70EB4">
        <w:t>State, Commonwealth and local government legislation, policies and frameworks establish accountabilities, mandatory requirements and expectations for both government and industry practitioners in the procurement of government infrastructure.</w:t>
      </w:r>
    </w:p>
    <w:tbl>
      <w:tblPr>
        <w:tblStyle w:val="MD"/>
        <w:tblW w:w="0" w:type="auto"/>
        <w:tblInd w:w="792" w:type="dxa"/>
        <w:shd w:val="clear" w:color="auto" w:fill="F2F2F2" w:themeFill="background1" w:themeFillShade="F2"/>
        <w:tblLayout w:type="fixed"/>
        <w:tblLook w:val="06A0" w:firstRow="1" w:lastRow="0" w:firstColumn="1" w:lastColumn="0" w:noHBand="1" w:noVBand="1"/>
      </w:tblPr>
      <w:tblGrid>
        <w:gridCol w:w="709"/>
        <w:gridCol w:w="7409"/>
      </w:tblGrid>
      <w:tr w:rsidR="00254C9A" w:rsidRPr="00F45416" w14:paraId="1571C875" w14:textId="77777777" w:rsidTr="005D30F6">
        <w:trPr>
          <w:trHeight w:val="300"/>
        </w:trPr>
        <w:tc>
          <w:tcPr>
            <w:tcW w:w="709" w:type="dxa"/>
            <w:shd w:val="clear" w:color="auto" w:fill="F2F2F2" w:themeFill="background1" w:themeFillShade="F2"/>
          </w:tcPr>
          <w:p w14:paraId="4EE1B95F" w14:textId="77777777" w:rsidR="00254C9A" w:rsidRDefault="00254C9A" w:rsidP="00580132">
            <w:pPr>
              <w:ind w:left="-90"/>
              <w:jc w:val="center"/>
              <w:rPr>
                <w:rFonts w:ascii="VIC" w:hAnsi="VIC"/>
                <w:b/>
                <w:sz w:val="24"/>
                <w:szCs w:val="24"/>
              </w:rPr>
            </w:pPr>
            <w:r>
              <w:rPr>
                <w:noProof/>
              </w:rPr>
              <w:drawing>
                <wp:inline distT="0" distB="0" distL="0" distR="0" wp14:anchorId="14640133" wp14:editId="1095F54E">
                  <wp:extent cx="342900" cy="257175"/>
                  <wp:effectExtent l="0" t="0" r="0" b="9525"/>
                  <wp:docPr id="2091229785" name="Picture 209122978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29785" name="Picture 2091229785" descr="Information icon"/>
                          <pic:cNvPicPr/>
                        </pic:nvPicPr>
                        <pic:blipFill>
                          <a:blip r:embed="rId54"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47519" cy="260639"/>
                          </a:xfrm>
                          <a:prstGeom prst="rect">
                            <a:avLst/>
                          </a:prstGeom>
                        </pic:spPr>
                      </pic:pic>
                    </a:graphicData>
                  </a:graphic>
                </wp:inline>
              </w:drawing>
            </w:r>
          </w:p>
        </w:tc>
        <w:tc>
          <w:tcPr>
            <w:tcW w:w="7409" w:type="dxa"/>
            <w:shd w:val="clear" w:color="auto" w:fill="F2F2F2" w:themeFill="background1" w:themeFillShade="F2"/>
          </w:tcPr>
          <w:p w14:paraId="44914E33" w14:textId="0146EB72" w:rsidR="00254C9A" w:rsidRPr="00315863" w:rsidRDefault="00254C9A" w:rsidP="00580132">
            <w:pPr>
              <w:pStyle w:val="Tabletext"/>
            </w:pPr>
            <w:r w:rsidRPr="00315863">
              <w:t>M</w:t>
            </w:r>
            <w:r w:rsidR="00B32B45">
              <w:t>inisterial Direction</w:t>
            </w:r>
            <w:r w:rsidRPr="00315863">
              <w:t xml:space="preserve"> 7.2.1 requires agencies to ensure public construction contracts comply with relevant legislative and policy requirements and mandates compliance with a selection of policies.</w:t>
            </w:r>
          </w:p>
        </w:tc>
      </w:tr>
    </w:tbl>
    <w:p w14:paraId="4923E062" w14:textId="5F50F089" w:rsidR="00254C9A" w:rsidRPr="005D4998" w:rsidRDefault="00254C9A" w:rsidP="003274F9">
      <w:pPr>
        <w:pStyle w:val="NormalIndent"/>
      </w:pPr>
      <w:r w:rsidRPr="005D4998">
        <w:t>This section outlines key</w:t>
      </w:r>
      <w:r w:rsidR="00DC350B">
        <w:rPr>
          <w:rFonts w:ascii="ZWAdobeF" w:hAnsi="ZWAdobeF" w:cs="ZWAdobeF"/>
          <w:color w:val="auto"/>
          <w:sz w:val="2"/>
          <w:szCs w:val="2"/>
        </w:rPr>
        <w:t>0F</w:t>
      </w:r>
      <w:r w:rsidRPr="00977577">
        <w:rPr>
          <w:vertAlign w:val="superscript"/>
        </w:rPr>
        <w:footnoteReference w:id="2"/>
      </w:r>
      <w:r w:rsidRPr="005D4998">
        <w:t xml:space="preserve"> legislation and policies </w:t>
      </w:r>
      <w:r w:rsidR="00347FF9">
        <w:t>t</w:t>
      </w:r>
      <w:r w:rsidR="009921B1">
        <w:t>hat</w:t>
      </w:r>
      <w:r w:rsidR="00347FF9" w:rsidRPr="005D4998">
        <w:t xml:space="preserve"> </w:t>
      </w:r>
      <w:r w:rsidRPr="005D4998">
        <w:t xml:space="preserve">agencies may need to consider in the planning, implementation and outcomes of procurements. </w:t>
      </w:r>
      <w:r w:rsidR="006D4EEB">
        <w:fldChar w:fldCharType="begin" w:fldLock="1"/>
      </w:r>
      <w:r w:rsidR="006D4EEB">
        <w:instrText xml:space="preserve"> REF _Ref145593014 \h </w:instrText>
      </w:r>
      <w:r w:rsidR="006D4EEB">
        <w:fldChar w:fldCharType="separate"/>
      </w:r>
      <w:r w:rsidR="0064051F">
        <w:t>Appendix A –</w:t>
      </w:r>
      <w:r w:rsidR="003D4A19">
        <w:t xml:space="preserve"> Legislation and policy</w:t>
      </w:r>
      <w:r w:rsidR="006D4EEB">
        <w:fldChar w:fldCharType="end"/>
      </w:r>
      <w:r w:rsidRPr="005D4998">
        <w:t xml:space="preserve"> provides further detail on these, including the purpose of </w:t>
      </w:r>
      <w:r>
        <w:t xml:space="preserve">the </w:t>
      </w:r>
      <w:r w:rsidRPr="005D4998">
        <w:t xml:space="preserve">legislation or policy and </w:t>
      </w:r>
      <w:r w:rsidR="00554E09">
        <w:t xml:space="preserve">its </w:t>
      </w:r>
      <w:r w:rsidRPr="005D4998">
        <w:t>impact on infrastructure procurement and delivery.</w:t>
      </w:r>
    </w:p>
    <w:p w14:paraId="0063EC11" w14:textId="37C95094" w:rsidR="00254C9A" w:rsidRPr="005D4998" w:rsidRDefault="00254C9A" w:rsidP="003274F9">
      <w:pPr>
        <w:pStyle w:val="NormalIndent"/>
      </w:pPr>
      <w:r w:rsidRPr="005D4998">
        <w:t>This section is not exhaustive</w:t>
      </w:r>
      <w:r w:rsidR="00A35D39">
        <w:t>. L</w:t>
      </w:r>
      <w:r>
        <w:t>egislation and government requirements evolve over time. A</w:t>
      </w:r>
      <w:r w:rsidRPr="005D4998">
        <w:t xml:space="preserve">gencies </w:t>
      </w:r>
      <w:r w:rsidR="00A35D39">
        <w:t>should</w:t>
      </w:r>
      <w:r w:rsidRPr="005D4998">
        <w:t xml:space="preserve"> undertake their own due diligence at procurement commencement to identify any legislative or policy requirements they will need to </w:t>
      </w:r>
      <w:r w:rsidR="00591835">
        <w:t>address</w:t>
      </w:r>
      <w:r w:rsidR="00591835" w:rsidRPr="005D4998">
        <w:t xml:space="preserve"> </w:t>
      </w:r>
      <w:r>
        <w:t>for</w:t>
      </w:r>
      <w:r w:rsidRPr="005D4998">
        <w:t xml:space="preserve"> a project</w:t>
      </w:r>
      <w:r w:rsidR="00A35D39">
        <w:t>.</w:t>
      </w:r>
    </w:p>
    <w:p w14:paraId="2B5511A1" w14:textId="77777777" w:rsidR="00EC6F02" w:rsidRDefault="00EC6F02" w:rsidP="001D2615">
      <w:pPr>
        <w:pStyle w:val="Heading3numbered"/>
      </w:pPr>
      <w:r w:rsidRPr="34C04582">
        <w:t>Primary enabling legislation and policies for infrastructure procurement</w:t>
      </w:r>
    </w:p>
    <w:p w14:paraId="79920E99" w14:textId="242F9412" w:rsidR="00EC6F02" w:rsidRPr="00F67DE0" w:rsidRDefault="00EC6F02" w:rsidP="00834461">
      <w:pPr>
        <w:pStyle w:val="NormalIndent"/>
      </w:pPr>
      <w:r w:rsidRPr="00F67DE0">
        <w:t xml:space="preserve">For public money to be spent for any purpose, there must be lawful authority for an agency to spend it for that purpose. </w:t>
      </w:r>
      <w:r w:rsidR="00A35D39">
        <w:t xml:space="preserve">The following Acts are examples of </w:t>
      </w:r>
      <w:r w:rsidR="00A35D39" w:rsidRPr="134274A1">
        <w:t>p</w:t>
      </w:r>
      <w:r w:rsidRPr="134274A1">
        <w:t>rimary</w:t>
      </w:r>
      <w:r w:rsidRPr="00F67DE0">
        <w:t xml:space="preserve"> legislation that govern how agencies can use money </w:t>
      </w:r>
      <w:r>
        <w:t>for infrastructure investment and delivery</w:t>
      </w:r>
      <w:r w:rsidR="00A35D39">
        <w:t>. These</w:t>
      </w:r>
      <w:r>
        <w:t xml:space="preserve"> includ</w:t>
      </w:r>
      <w:r w:rsidR="00A35D39">
        <w:t xml:space="preserve">e </w:t>
      </w:r>
      <w:r w:rsidRPr="00F67DE0">
        <w:t xml:space="preserve">requirements for ministers to account to </w:t>
      </w:r>
      <w:r w:rsidR="004F61CD">
        <w:t>P</w:t>
      </w:r>
      <w:r w:rsidR="004F61CD" w:rsidRPr="134274A1">
        <w:t>arliament</w:t>
      </w:r>
      <w:r w:rsidR="004F61CD" w:rsidRPr="00F67DE0">
        <w:t xml:space="preserve"> </w:t>
      </w:r>
      <w:r w:rsidRPr="00F67DE0">
        <w:t>to ensure financial resources are appropriately managed</w:t>
      </w:r>
      <w:r w:rsidR="00A35D39" w:rsidRPr="134274A1">
        <w:t>.</w:t>
      </w:r>
    </w:p>
    <w:p w14:paraId="0E8D18D4" w14:textId="018FEC08" w:rsidR="00B200D6" w:rsidRPr="00B200D6" w:rsidRDefault="009C1B68" w:rsidP="00171CF8">
      <w:pPr>
        <w:pStyle w:val="Heading4"/>
      </w:pPr>
      <w:r>
        <w:fldChar w:fldCharType="begin"/>
      </w:r>
      <w:r>
        <w:instrText xml:space="preserve"> REF Legislation \h </w:instrText>
      </w:r>
      <w:r>
        <w:fldChar w:fldCharType="separate"/>
      </w:r>
      <w:r w:rsidR="008A4B3E">
        <w:t>Legislation</w:t>
      </w:r>
      <w:r>
        <w:fldChar w:fldCharType="end"/>
      </w:r>
      <w:r w:rsidR="00B200D6" w:rsidRPr="00DC25D5">
        <w:t xml:space="preserve"> that enables and regulates </w:t>
      </w:r>
      <w:r w:rsidR="007C7B50">
        <w:t>g</w:t>
      </w:r>
      <w:r w:rsidR="00B200D6" w:rsidRPr="00DC25D5">
        <w:t>overnment spending on infrastructure</w:t>
      </w:r>
    </w:p>
    <w:p w14:paraId="55FE3F2D" w14:textId="4F396EEF" w:rsidR="00B200D6" w:rsidRDefault="00196135" w:rsidP="001D2615">
      <w:pPr>
        <w:pStyle w:val="Bulletindent"/>
      </w:pPr>
      <w:r w:rsidRPr="007811D0">
        <w:t xml:space="preserve">The </w:t>
      </w:r>
      <w:hyperlink r:id="rId55" w:history="1">
        <w:r w:rsidR="00B200D6" w:rsidRPr="001E1092">
          <w:rPr>
            <w:rStyle w:val="Hyperlink"/>
            <w:b/>
            <w:bCs/>
            <w:i/>
            <w:iCs/>
          </w:rPr>
          <w:t>Financial Management Act 199</w:t>
        </w:r>
        <w:r w:rsidR="004E0AD4" w:rsidRPr="001E1092">
          <w:rPr>
            <w:rStyle w:val="Hyperlink"/>
            <w:b/>
            <w:bCs/>
            <w:i/>
            <w:iCs/>
          </w:rPr>
          <w:t>4</w:t>
        </w:r>
      </w:hyperlink>
      <w:r>
        <w:t xml:space="preserve"> s</w:t>
      </w:r>
      <w:r w:rsidR="00B200D6">
        <w:t>ets out requirements for the use of public money, including:</w:t>
      </w:r>
    </w:p>
    <w:p w14:paraId="15CA8A1A" w14:textId="51F9A9F7" w:rsidR="00B200D6" w:rsidRDefault="00B200D6" w:rsidP="001D2615">
      <w:pPr>
        <w:pStyle w:val="Bulletindent2"/>
      </w:pPr>
      <w:r>
        <w:t>the Treasurer</w:t>
      </w:r>
      <w:r w:rsidR="00344D3F">
        <w:t>’</w:t>
      </w:r>
      <w:r>
        <w:t>s and Assistant Treasurer</w:t>
      </w:r>
      <w:r w:rsidR="00344D3F">
        <w:t>’</w:t>
      </w:r>
      <w:r>
        <w:t>s accountabilities for the Government</w:t>
      </w:r>
      <w:r w:rsidR="00344D3F">
        <w:t>’</w:t>
      </w:r>
      <w:r>
        <w:t xml:space="preserve">s overall financial performance, including for the delivery of </w:t>
      </w:r>
      <w:r w:rsidR="004477B9">
        <w:t>the Government</w:t>
      </w:r>
      <w:r w:rsidR="00344D3F">
        <w:t>’</w:t>
      </w:r>
      <w:r>
        <w:t>s capital program</w:t>
      </w:r>
    </w:p>
    <w:p w14:paraId="1620B860" w14:textId="77777777" w:rsidR="00B200D6" w:rsidRDefault="00B200D6" w:rsidP="001D2615">
      <w:pPr>
        <w:pStyle w:val="Bulletindent2"/>
      </w:pPr>
      <w:r>
        <w:t>principles and ministerial and agency accountabilities for infrastructure procurement.</w:t>
      </w:r>
    </w:p>
    <w:p w14:paraId="004E05CF" w14:textId="636173A1" w:rsidR="00B200D6" w:rsidRDefault="00B16587" w:rsidP="001D2615">
      <w:pPr>
        <w:pStyle w:val="Bulletindent"/>
        <w:keepNext/>
      </w:pPr>
      <w:r w:rsidRPr="00325A7F">
        <w:t xml:space="preserve">The </w:t>
      </w:r>
      <w:r w:rsidR="00B200D6" w:rsidRPr="000732E5">
        <w:rPr>
          <w:b/>
        </w:rPr>
        <w:t>Annual Appropriations Bill</w:t>
      </w:r>
      <w:r>
        <w:t xml:space="preserve"> s</w:t>
      </w:r>
      <w:r w:rsidR="00B200D6">
        <w:t>ets out the Government</w:t>
      </w:r>
      <w:r w:rsidR="00344D3F">
        <w:t>’</w:t>
      </w:r>
      <w:r w:rsidR="00B200D6">
        <w:t xml:space="preserve">s infrastructure priorities and outlines the amount of public money appropriated to each </w:t>
      </w:r>
      <w:r w:rsidR="00EB3349">
        <w:t>d</w:t>
      </w:r>
      <w:r w:rsidR="00B200D6">
        <w:t>epartment</w:t>
      </w:r>
      <w:r w:rsidR="003431E9">
        <w:t>, and its relevant agencies,</w:t>
      </w:r>
      <w:r w:rsidR="00B200D6">
        <w:t xml:space="preserve"> to deliver the asset proposals approved in the annual State Budget.</w:t>
      </w:r>
    </w:p>
    <w:p w14:paraId="4C417BE3" w14:textId="23E6863D" w:rsidR="00B200D6" w:rsidRDefault="00B200D6" w:rsidP="001D2615">
      <w:pPr>
        <w:pStyle w:val="Bulletindent"/>
      </w:pPr>
      <w:r>
        <w:t xml:space="preserve">The </w:t>
      </w:r>
      <w:hyperlink r:id="rId56" w:history="1">
        <w:r w:rsidRPr="000B333C">
          <w:rPr>
            <w:rStyle w:val="Hyperlink"/>
            <w:b/>
            <w:bCs/>
            <w:i/>
            <w:iCs/>
          </w:rPr>
          <w:t xml:space="preserve">Public Administration Act </w:t>
        </w:r>
        <w:r w:rsidRPr="000B333C">
          <w:rPr>
            <w:rStyle w:val="Hyperlink"/>
            <w:b/>
            <w:i/>
          </w:rPr>
          <w:t>2004</w:t>
        </w:r>
      </w:hyperlink>
      <w:r>
        <w:t xml:space="preserve"> and the </w:t>
      </w:r>
      <w:hyperlink r:id="rId57" w:history="1">
        <w:r w:rsidRPr="00C87241">
          <w:rPr>
            <w:rStyle w:val="Hyperlink"/>
            <w:b/>
            <w:bCs/>
            <w:i/>
            <w:iCs/>
          </w:rPr>
          <w:t>Audit Act</w:t>
        </w:r>
        <w:r w:rsidRPr="00C87241">
          <w:rPr>
            <w:rStyle w:val="Hyperlink"/>
            <w:b/>
            <w:bCs/>
          </w:rPr>
          <w:t xml:space="preserve"> </w:t>
        </w:r>
        <w:r w:rsidRPr="00C87241">
          <w:rPr>
            <w:rStyle w:val="Hyperlink"/>
            <w:b/>
            <w:i/>
          </w:rPr>
          <w:t>1994</w:t>
        </w:r>
      </w:hyperlink>
      <w:r w:rsidR="00EB3349">
        <w:t xml:space="preserve"> e</w:t>
      </w:r>
      <w:r>
        <w:t>stablish accountabilities for decision</w:t>
      </w:r>
      <w:r w:rsidR="00194FA3">
        <w:t>-</w:t>
      </w:r>
      <w:r>
        <w:t xml:space="preserve">making and resource management and ensure </w:t>
      </w:r>
      <w:r w:rsidR="00B10602">
        <w:t xml:space="preserve">the </w:t>
      </w:r>
      <w:r>
        <w:t>Government is held to account for the responsible and appropriate spending of public money.</w:t>
      </w:r>
    </w:p>
    <w:p w14:paraId="6E655135" w14:textId="3A3B9EF6" w:rsidR="00B200D6" w:rsidRPr="00DC25D5" w:rsidRDefault="00B200D6" w:rsidP="00171CF8">
      <w:pPr>
        <w:pStyle w:val="Heading4"/>
      </w:pPr>
      <w:r w:rsidRPr="00DC25D5">
        <w:t>Legislation that facilitates infrastructure project procurement and delivery</w:t>
      </w:r>
    </w:p>
    <w:p w14:paraId="3FE955D7" w14:textId="7FAC60FB" w:rsidR="00B200D6" w:rsidRDefault="000C6BD0" w:rsidP="001D2615">
      <w:pPr>
        <w:pStyle w:val="Bulletindent"/>
      </w:pPr>
      <w:r w:rsidRPr="00325A7F">
        <w:t xml:space="preserve">The </w:t>
      </w:r>
      <w:hyperlink r:id="rId58" w:history="1">
        <w:r w:rsidR="00B200D6" w:rsidRPr="00285052">
          <w:rPr>
            <w:rStyle w:val="Hyperlink"/>
            <w:b/>
            <w:bCs/>
            <w:i/>
            <w:iCs/>
          </w:rPr>
          <w:t>Project Development and Construction Management Act 199</w:t>
        </w:r>
        <w:r w:rsidR="00A35D39" w:rsidRPr="00285052">
          <w:rPr>
            <w:rStyle w:val="Hyperlink"/>
            <w:b/>
            <w:bCs/>
            <w:i/>
            <w:iCs/>
          </w:rPr>
          <w:t>4</w:t>
        </w:r>
        <w:r w:rsidR="00B200D6" w:rsidRPr="00285052">
          <w:rPr>
            <w:rStyle w:val="Hyperlink"/>
          </w:rPr>
          <w:t xml:space="preserve"> </w:t>
        </w:r>
        <w:r w:rsidR="00B200D6" w:rsidRPr="00285052">
          <w:rPr>
            <w:rStyle w:val="Hyperlink"/>
            <w:b/>
          </w:rPr>
          <w:t>(PDCM</w:t>
        </w:r>
        <w:r w:rsidR="00A35D39" w:rsidRPr="00285052">
          <w:rPr>
            <w:rStyle w:val="Hyperlink"/>
            <w:b/>
          </w:rPr>
          <w:t xml:space="preserve"> </w:t>
        </w:r>
        <w:r w:rsidR="00B200D6" w:rsidRPr="00285052">
          <w:rPr>
            <w:rStyle w:val="Hyperlink"/>
            <w:b/>
          </w:rPr>
          <w:t>A</w:t>
        </w:r>
        <w:r w:rsidR="00A35D39" w:rsidRPr="00285052">
          <w:rPr>
            <w:rStyle w:val="Hyperlink"/>
            <w:b/>
          </w:rPr>
          <w:t>ct</w:t>
        </w:r>
        <w:r w:rsidR="00B200D6" w:rsidRPr="00285052">
          <w:rPr>
            <w:rStyle w:val="Hyperlink"/>
            <w:b/>
          </w:rPr>
          <w:t>)</w:t>
        </w:r>
      </w:hyperlink>
      <w:r w:rsidR="00B200D6" w:rsidRPr="1A13D085">
        <w:rPr>
          <w:b/>
        </w:rPr>
        <w:t xml:space="preserve"> </w:t>
      </w:r>
      <w:r w:rsidR="00B200D6" w:rsidRPr="0026640A">
        <w:t xml:space="preserve">and associated </w:t>
      </w:r>
      <w:r w:rsidR="007F72E7">
        <w:t>MDs</w:t>
      </w:r>
      <w:r w:rsidR="001E3EB4">
        <w:t xml:space="preserve"> is t</w:t>
      </w:r>
      <w:r w:rsidR="00B200D6">
        <w:t>he primary legislation used by agencies to procure construction works and services. It sets out the framework, rules and requirements for procuring infrastructure, including:</w:t>
      </w:r>
    </w:p>
    <w:p w14:paraId="758EEF0C" w14:textId="2D7634A3" w:rsidR="00B200D6" w:rsidRDefault="00A35D39" w:rsidP="001D2615">
      <w:pPr>
        <w:pStyle w:val="Bulletindent2"/>
      </w:pPr>
      <w:r>
        <w:t>c</w:t>
      </w:r>
      <w:r w:rsidR="00B200D6">
        <w:t>ompetition and contestability requirements, including thresholds for limited, selective and open tendering</w:t>
      </w:r>
    </w:p>
    <w:p w14:paraId="07758651" w14:textId="4FFB40E6" w:rsidR="00B200D6" w:rsidRDefault="00A35D39" w:rsidP="001D2615">
      <w:pPr>
        <w:pStyle w:val="Bulletindent2"/>
      </w:pPr>
      <w:r>
        <w:t>t</w:t>
      </w:r>
      <w:r w:rsidR="00B200D6">
        <w:t>ransparency requirements, including for communicating tender open times and evaluation criteria</w:t>
      </w:r>
    </w:p>
    <w:p w14:paraId="42AE74B8" w14:textId="79091096" w:rsidR="00B200D6" w:rsidRDefault="00A35D39" w:rsidP="001D2615">
      <w:pPr>
        <w:pStyle w:val="Bulletindent2"/>
      </w:pPr>
      <w:r>
        <w:t>p</w:t>
      </w:r>
      <w:r w:rsidR="00B200D6">
        <w:t>robity requirements to ensure procurement processes are robust</w:t>
      </w:r>
    </w:p>
    <w:p w14:paraId="39C07F86" w14:textId="7A380612" w:rsidR="00B200D6" w:rsidRDefault="00A35D39" w:rsidP="001D2615">
      <w:pPr>
        <w:pStyle w:val="Bulletindent2"/>
      </w:pPr>
      <w:r>
        <w:t>r</w:t>
      </w:r>
      <w:r w:rsidR="00B200D6">
        <w:t xml:space="preserve">equirements for compliance with subordinate legislation and policies, including </w:t>
      </w:r>
      <w:r w:rsidR="0061098B">
        <w:t>international</w:t>
      </w:r>
      <w:r w:rsidR="00B200D6">
        <w:t xml:space="preserve"> </w:t>
      </w:r>
      <w:r w:rsidR="00116FC6">
        <w:t>a</w:t>
      </w:r>
      <w:r w:rsidR="00B200D6">
        <w:t xml:space="preserve">greements and </w:t>
      </w:r>
      <w:r w:rsidR="001647D0">
        <w:t>s</w:t>
      </w:r>
      <w:r w:rsidR="00B200D6">
        <w:t>tate and Commonwealth policy requirements</w:t>
      </w:r>
    </w:p>
    <w:p w14:paraId="458CC944" w14:textId="53B1C446" w:rsidR="00A35D39" w:rsidRDefault="00A35D39" w:rsidP="001D2615">
      <w:pPr>
        <w:pStyle w:val="Bulletindent2"/>
      </w:pPr>
      <w:r>
        <w:t>c</w:t>
      </w:r>
      <w:r w:rsidR="00B200D6">
        <w:t>ontracting requirements.</w:t>
      </w:r>
    </w:p>
    <w:p w14:paraId="64E6FF58" w14:textId="59A80E58" w:rsidR="005322AB" w:rsidRDefault="00B200D6" w:rsidP="232E2A9F">
      <w:pPr>
        <w:ind w:left="792"/>
      </w:pPr>
      <w:r>
        <w:t>The MDs apply to the procurement of construction works or services undertaken by, or on behalf of, a government agency.</w:t>
      </w:r>
    </w:p>
    <w:p w14:paraId="68F20895" w14:textId="41DE27F3" w:rsidR="00B200D6" w:rsidRDefault="00B200D6" w:rsidP="232E2A9F">
      <w:pPr>
        <w:ind w:left="792"/>
      </w:pPr>
      <w:r>
        <w:t xml:space="preserve">All agencies are required to comply with the MDs, except for </w:t>
      </w:r>
      <w:r w:rsidR="6CF1FE02">
        <w:t>E</w:t>
      </w:r>
      <w:r>
        <w:t xml:space="preserve">xcluded </w:t>
      </w:r>
      <w:r w:rsidDel="00B200D6">
        <w:t>E</w:t>
      </w:r>
      <w:r>
        <w:t>ntities such as school councils, cemeteries, some committees of management and certain emergency services bodies such as volunteer fire brigades.</w:t>
      </w:r>
    </w:p>
    <w:p w14:paraId="28402F12" w14:textId="6B90C469" w:rsidR="00B200D6" w:rsidRDefault="00851FAF" w:rsidP="001D2615">
      <w:pPr>
        <w:pStyle w:val="Bulletindent"/>
      </w:pPr>
      <w:r w:rsidRPr="00325A7F">
        <w:t>The</w:t>
      </w:r>
      <w:r w:rsidRPr="19D09FFE">
        <w:rPr>
          <w:b/>
          <w:i/>
        </w:rPr>
        <w:t xml:space="preserve"> </w:t>
      </w:r>
      <w:hyperlink r:id="rId59" w:history="1">
        <w:r w:rsidR="00B200D6" w:rsidRPr="006A2BC3">
          <w:rPr>
            <w:rStyle w:val="Hyperlink"/>
            <w:b/>
            <w:i/>
          </w:rPr>
          <w:t xml:space="preserve">Major Transport Projects Facilitation Act </w:t>
        </w:r>
        <w:r w:rsidR="00B200D6" w:rsidRPr="006A2BC3">
          <w:rPr>
            <w:rStyle w:val="Hyperlink"/>
            <w:b/>
            <w:bCs/>
            <w:i/>
            <w:iCs/>
          </w:rPr>
          <w:t>2009</w:t>
        </w:r>
        <w:r w:rsidR="00B200D6" w:rsidRPr="006A2BC3">
          <w:rPr>
            <w:rStyle w:val="Hyperlink"/>
            <w:bCs/>
          </w:rPr>
          <w:t xml:space="preserve"> </w:t>
        </w:r>
        <w:r w:rsidR="001B19D1" w:rsidRPr="006A2BC3">
          <w:rPr>
            <w:rStyle w:val="Hyperlink"/>
            <w:bCs/>
            <w:iCs/>
          </w:rPr>
          <w:t>(MTPF Act)</w:t>
        </w:r>
      </w:hyperlink>
      <w:r w:rsidR="001B19D1" w:rsidRPr="007334C6">
        <w:rPr>
          <w:bCs/>
        </w:rPr>
        <w:t xml:space="preserve"> </w:t>
      </w:r>
      <w:r w:rsidR="00B200D6" w:rsidRPr="007334C6">
        <w:rPr>
          <w:bCs/>
        </w:rPr>
        <w:t>and</w:t>
      </w:r>
      <w:r w:rsidR="00B200D6" w:rsidRPr="005322AB">
        <w:rPr>
          <w:b/>
          <w:bCs/>
        </w:rPr>
        <w:t xml:space="preserve"> </w:t>
      </w:r>
      <w:hyperlink r:id="rId60" w:history="1">
        <w:r w:rsidR="00B200D6" w:rsidRPr="006A2BC3">
          <w:rPr>
            <w:rStyle w:val="Hyperlink"/>
            <w:b/>
            <w:i/>
          </w:rPr>
          <w:t>Development Victoria Act</w:t>
        </w:r>
        <w:r w:rsidR="00B200D6" w:rsidRPr="006A2BC3">
          <w:rPr>
            <w:rStyle w:val="Hyperlink"/>
            <w:b/>
            <w:bCs/>
          </w:rPr>
          <w:t xml:space="preserve"> </w:t>
        </w:r>
        <w:r w:rsidR="00B200D6" w:rsidRPr="006A2BC3">
          <w:rPr>
            <w:rStyle w:val="Hyperlink"/>
            <w:b/>
            <w:i/>
          </w:rPr>
          <w:t>2003</w:t>
        </w:r>
      </w:hyperlink>
      <w:r w:rsidR="00B200D6">
        <w:t xml:space="preserve"> </w:t>
      </w:r>
      <w:r>
        <w:t>p</w:t>
      </w:r>
      <w:r w:rsidR="00B200D6">
        <w:t>rovide alternative legislation to facilitate the delivery of major transport projects</w:t>
      </w:r>
      <w:r w:rsidR="00A35D39">
        <w:t xml:space="preserve">, </w:t>
      </w:r>
      <w:r w:rsidR="00B200D6">
        <w:t>property development and social and economic capital works projects</w:t>
      </w:r>
      <w:r w:rsidR="00A35D39">
        <w:t>,</w:t>
      </w:r>
      <w:r w:rsidR="00B200D6">
        <w:t xml:space="preserve"> respectively. This legislation enables planning and environmental assessments and approvals</w:t>
      </w:r>
      <w:r w:rsidR="00A35D39">
        <w:t xml:space="preserve"> to be sought efficiently</w:t>
      </w:r>
      <w:r w:rsidR="006028DA">
        <w:t>.</w:t>
      </w:r>
    </w:p>
    <w:p w14:paraId="5C285F93" w14:textId="3FA5C230" w:rsidR="00E33725" w:rsidRDefault="13005A8D" w:rsidP="00171CF8">
      <w:pPr>
        <w:pStyle w:val="Captionindent"/>
      </w:pPr>
      <w:bookmarkStart w:id="35" w:name="_Toc145621469"/>
      <w:bookmarkStart w:id="36" w:name="_Toc145621598"/>
      <w:bookmarkStart w:id="37" w:name="_Toc160457774"/>
      <w:r>
        <w:t xml:space="preserve">Figure </w:t>
      </w:r>
      <w:r w:rsidR="00E33725" w:rsidRPr="76AB2BEA">
        <w:fldChar w:fldCharType="begin"/>
      </w:r>
      <w:r w:rsidR="00E33725">
        <w:instrText xml:space="preserve"> SEQ Figure \* ARABIC </w:instrText>
      </w:r>
      <w:r w:rsidR="00E33725" w:rsidRPr="76AB2BEA">
        <w:fldChar w:fldCharType="separate"/>
      </w:r>
      <w:r w:rsidR="008A4B3E">
        <w:rPr>
          <w:noProof/>
        </w:rPr>
        <w:t>5</w:t>
      </w:r>
      <w:r w:rsidR="00E33725" w:rsidRPr="76AB2BEA">
        <w:rPr>
          <w:noProof/>
        </w:rPr>
        <w:fldChar w:fldCharType="end"/>
      </w:r>
      <w:r w:rsidR="005504CB">
        <w:t xml:space="preserve"> – </w:t>
      </w:r>
      <w:r>
        <w:t>Primary legislation for infrastructure procurement</w:t>
      </w:r>
      <w:bookmarkEnd w:id="35"/>
      <w:bookmarkEnd w:id="36"/>
      <w:bookmarkEnd w:id="37"/>
    </w:p>
    <w:p w14:paraId="070B2544" w14:textId="367DD177" w:rsidR="00E33725" w:rsidRDefault="00811661" w:rsidP="001C2DF3">
      <w:pPr>
        <w:pStyle w:val="NormalIndent"/>
        <w:keepNext/>
      </w:pPr>
      <w:r>
        <w:rPr>
          <w:noProof/>
        </w:rPr>
        <w:drawing>
          <wp:inline distT="0" distB="0" distL="0" distR="0" wp14:anchorId="1CF422D9" wp14:editId="6CA4521A">
            <wp:extent cx="5217091" cy="2189490"/>
            <wp:effectExtent l="0" t="0" r="3175" b="1270"/>
            <wp:docPr id="329790051" name="Picture 329790051" descr="Figure 5 provides an overview of the legislative landscape for infrastructure 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0051" name="Picture 329790051" descr="Figure 5 provides an overview of the legislative landscape for infrastructure procurement.​"/>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230979" cy="2195318"/>
                    </a:xfrm>
                    <a:prstGeom prst="rect">
                      <a:avLst/>
                    </a:prstGeom>
                    <a:noFill/>
                    <a:ln>
                      <a:noFill/>
                    </a:ln>
                  </pic:spPr>
                </pic:pic>
              </a:graphicData>
            </a:graphic>
          </wp:inline>
        </w:drawing>
      </w:r>
    </w:p>
    <w:p w14:paraId="0D3B7BA5" w14:textId="77777777" w:rsidR="00E6194D" w:rsidRDefault="00E6194D" w:rsidP="001D2615">
      <w:pPr>
        <w:pStyle w:val="Heading3numbered"/>
      </w:pPr>
      <w:r w:rsidRPr="34C04582">
        <w:t>Secondary legislation and policy frameworks for infrastructure procurement</w:t>
      </w:r>
    </w:p>
    <w:p w14:paraId="1A7CAE7E" w14:textId="524DE40A" w:rsidR="00E6194D" w:rsidRPr="00E6194D" w:rsidRDefault="00E6194D" w:rsidP="00834461">
      <w:pPr>
        <w:pStyle w:val="NormalIndent"/>
      </w:pPr>
      <w:r>
        <w:t>S</w:t>
      </w:r>
      <w:r w:rsidRPr="00D92D2A">
        <w:t xml:space="preserve">econdary legislation and policy frameworks also need to be considered throughout infrastructure procurement. </w:t>
      </w:r>
      <w:r>
        <w:fldChar w:fldCharType="begin" w:fldLock="1"/>
      </w:r>
      <w:r>
        <w:instrText xml:space="preserve"> REF _Ref144236218 \h </w:instrText>
      </w:r>
      <w:r>
        <w:fldChar w:fldCharType="separate"/>
      </w:r>
      <w:r w:rsidR="003D4A19">
        <w:t xml:space="preserve">Table </w:t>
      </w:r>
      <w:r w:rsidR="003D4A19">
        <w:rPr>
          <w:noProof/>
        </w:rPr>
        <w:t>2</w:t>
      </w:r>
      <w:r>
        <w:fldChar w:fldCharType="end"/>
      </w:r>
      <w:r w:rsidRPr="00D92D2A">
        <w:t xml:space="preserve"> provides a high-level overview of legislation and policy that agencies commonly need to consider at each stage of the investment lifecycle procurement process.</w:t>
      </w:r>
    </w:p>
    <w:p w14:paraId="15FBD053" w14:textId="70D4BD3A" w:rsidR="00E6194D" w:rsidRDefault="00E6194D" w:rsidP="00171CF8">
      <w:pPr>
        <w:pStyle w:val="Captionindent"/>
      </w:pPr>
      <w:bookmarkStart w:id="38" w:name="_Ref144236218"/>
      <w:bookmarkStart w:id="39" w:name="_Toc145621350"/>
      <w:bookmarkStart w:id="40" w:name="_Toc146097244"/>
      <w:r>
        <w:t xml:space="preserve">Table </w:t>
      </w:r>
      <w:r>
        <w:fldChar w:fldCharType="begin"/>
      </w:r>
      <w:r>
        <w:instrText>SEQ Table \* ARABIC</w:instrText>
      </w:r>
      <w:r>
        <w:fldChar w:fldCharType="separate"/>
      </w:r>
      <w:r w:rsidR="008A4B3E">
        <w:rPr>
          <w:noProof/>
        </w:rPr>
        <w:t>2</w:t>
      </w:r>
      <w:r>
        <w:fldChar w:fldCharType="end"/>
      </w:r>
      <w:bookmarkEnd w:id="38"/>
      <w:r w:rsidR="00F640CE">
        <w:t xml:space="preserve"> –</w:t>
      </w:r>
      <w:r>
        <w:t xml:space="preserve"> </w:t>
      </w:r>
      <w:r w:rsidRPr="00251068">
        <w:t>Subordinate legislation and policy that governs infrastructure procurement</w:t>
      </w:r>
      <w:bookmarkEnd w:id="39"/>
      <w:bookmarkEnd w:id="40"/>
    </w:p>
    <w:tbl>
      <w:tblPr>
        <w:tblStyle w:val="DTFtexttableindent"/>
        <w:tblW w:w="8298" w:type="dxa"/>
        <w:tblLook w:val="04A0" w:firstRow="1" w:lastRow="0" w:firstColumn="1" w:lastColumn="0" w:noHBand="0" w:noVBand="1"/>
      </w:tblPr>
      <w:tblGrid>
        <w:gridCol w:w="3258"/>
        <w:gridCol w:w="5040"/>
      </w:tblGrid>
      <w:tr w:rsidR="00E6194D" w14:paraId="1D0A09B0" w14:textId="77777777" w:rsidTr="00EF6EC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258" w:type="dxa"/>
          </w:tcPr>
          <w:p w14:paraId="3C3ECB8D" w14:textId="4B49A2C4" w:rsidR="00E6194D" w:rsidRPr="005B2F3D" w:rsidRDefault="008274BE" w:rsidP="005B2F3D">
            <w:pPr>
              <w:pStyle w:val="Tableheader"/>
            </w:pPr>
            <w:r>
              <w:t>Function</w:t>
            </w:r>
          </w:p>
        </w:tc>
        <w:tc>
          <w:tcPr>
            <w:tcW w:w="5040" w:type="dxa"/>
          </w:tcPr>
          <w:p w14:paraId="5013A767" w14:textId="12A9E7B0" w:rsidR="00E6194D" w:rsidRPr="005B2F3D" w:rsidRDefault="008274BE" w:rsidP="005B2F3D">
            <w:pPr>
              <w:pStyle w:val="Tableheader"/>
              <w:cnfStyle w:val="100000000000" w:firstRow="1" w:lastRow="0" w:firstColumn="0" w:lastColumn="0" w:oddVBand="0" w:evenVBand="0" w:oddHBand="0" w:evenHBand="0" w:firstRowFirstColumn="0" w:firstRowLastColumn="0" w:lastRowFirstColumn="0" w:lastRowLastColumn="0"/>
            </w:pPr>
            <w:r>
              <w:t>Legislation or policy</w:t>
            </w:r>
          </w:p>
        </w:tc>
      </w:tr>
      <w:tr w:rsidR="00E6194D" w14:paraId="17ABE21E" w14:textId="77777777" w:rsidTr="00EF6EC7">
        <w:tc>
          <w:tcPr>
            <w:cnfStyle w:val="001000000000" w:firstRow="0" w:lastRow="0" w:firstColumn="1" w:lastColumn="0" w:oddVBand="0" w:evenVBand="0" w:oddHBand="0" w:evenHBand="0" w:firstRowFirstColumn="0" w:firstRowLastColumn="0" w:lastRowFirstColumn="0" w:lastRowLastColumn="0"/>
            <w:tcW w:w="3258" w:type="dxa"/>
          </w:tcPr>
          <w:p w14:paraId="252274AA" w14:textId="62F624A6" w:rsidR="00E6194D" w:rsidRDefault="00E6194D" w:rsidP="005B2F3D">
            <w:pPr>
              <w:pStyle w:val="Tabletext"/>
            </w:pPr>
            <w:r>
              <w:t>Facilitates project development and due diligence to scope and cost project risks</w:t>
            </w:r>
          </w:p>
        </w:tc>
        <w:tc>
          <w:tcPr>
            <w:tcW w:w="5040" w:type="dxa"/>
          </w:tcPr>
          <w:p w14:paraId="35E25B6D" w14:textId="243390D4" w:rsidR="00E6194D" w:rsidRPr="00171CF8" w:rsidRDefault="00894832" w:rsidP="001D2615">
            <w:pPr>
              <w:pStyle w:val="Tablebullet"/>
              <w:cnfStyle w:val="000000000000" w:firstRow="0" w:lastRow="0" w:firstColumn="0" w:lastColumn="0" w:oddVBand="0" w:evenVBand="0" w:oddHBand="0" w:evenHBand="0" w:firstRowFirstColumn="0" w:firstRowLastColumn="0" w:lastRowFirstColumn="0" w:lastRowLastColumn="0"/>
              <w:rPr>
                <w:i/>
                <w:iCs/>
              </w:rPr>
            </w:pPr>
            <w:hyperlink r:id="rId62" w:history="1">
              <w:r w:rsidR="00E6194D" w:rsidRPr="00C91EB2">
                <w:rPr>
                  <w:rStyle w:val="Hyperlink"/>
                  <w:rFonts w:eastAsiaTheme="minorEastAsia"/>
                  <w:i/>
                  <w:iCs/>
                  <w:spacing w:val="0"/>
                  <w:szCs w:val="20"/>
                  <w:lang w:eastAsia="en-AU"/>
                </w:rPr>
                <w:t>Building Act 1993</w:t>
              </w:r>
            </w:hyperlink>
          </w:p>
          <w:bookmarkStart w:id="41" w:name="OLE_LINK1"/>
          <w:bookmarkStart w:id="42" w:name="OLE_LINK2"/>
          <w:p w14:paraId="47DA2AE1" w14:textId="027B33C2" w:rsidR="00E6194D" w:rsidRPr="00171CF8" w:rsidRDefault="003520AD" w:rsidP="001D2615">
            <w:pPr>
              <w:pStyle w:val="Tablebullet"/>
              <w:cnfStyle w:val="000000000000" w:firstRow="0" w:lastRow="0" w:firstColumn="0" w:lastColumn="0" w:oddVBand="0" w:evenVBand="0" w:oddHBand="0" w:evenHBand="0" w:firstRowFirstColumn="0" w:firstRowLastColumn="0" w:lastRowFirstColumn="0" w:lastRowLastColumn="0"/>
              <w:rPr>
                <w:i/>
                <w:iCs/>
              </w:rPr>
            </w:pPr>
            <w:r>
              <w:rPr>
                <w:i/>
                <w:iCs/>
              </w:rPr>
              <w:fldChar w:fldCharType="begin"/>
            </w:r>
            <w:r>
              <w:rPr>
                <w:i/>
                <w:iCs/>
              </w:rPr>
              <w:instrText>HYPERLINK "https://www.legislation.vic.gov.au/in-force/acts/climate-change-act-2017/009"</w:instrText>
            </w:r>
            <w:r>
              <w:rPr>
                <w:i/>
                <w:iCs/>
              </w:rPr>
            </w:r>
            <w:r>
              <w:rPr>
                <w:i/>
                <w:iCs/>
              </w:rPr>
              <w:fldChar w:fldCharType="separate"/>
            </w:r>
            <w:r w:rsidR="00E6194D" w:rsidRPr="003520AD">
              <w:rPr>
                <w:rStyle w:val="Hyperlink"/>
                <w:rFonts w:eastAsiaTheme="minorEastAsia"/>
                <w:i/>
                <w:iCs/>
                <w:spacing w:val="0"/>
                <w:szCs w:val="20"/>
                <w:lang w:eastAsia="en-AU"/>
              </w:rPr>
              <w:t>Climate Change Act 2017</w:t>
            </w:r>
            <w:bookmarkEnd w:id="41"/>
            <w:bookmarkEnd w:id="42"/>
            <w:r>
              <w:rPr>
                <w:i/>
                <w:iCs/>
              </w:rPr>
              <w:fldChar w:fldCharType="end"/>
            </w:r>
          </w:p>
        </w:tc>
      </w:tr>
      <w:tr w:rsidR="00E6194D" w14:paraId="3C79D948" w14:textId="77777777" w:rsidTr="00EF6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380E4D59" w14:textId="17E8E047" w:rsidR="00E6194D" w:rsidRDefault="00E6194D" w:rsidP="005B2F3D">
            <w:pPr>
              <w:pStyle w:val="Tabletext"/>
              <w:rPr>
                <w:rFonts w:ascii="VIC" w:eastAsia="Calibri" w:hAnsi="VIC" w:cs="Calibri"/>
                <w:color w:val="000000"/>
              </w:rPr>
            </w:pPr>
            <w:r>
              <w:t>Supports assessment and approvals of project risks and seeks to address stakeholder issues</w:t>
            </w:r>
          </w:p>
        </w:tc>
        <w:bookmarkStart w:id="43" w:name="OLE_LINK3"/>
        <w:bookmarkStart w:id="44" w:name="OLE_LINK4"/>
        <w:tc>
          <w:tcPr>
            <w:tcW w:w="5040" w:type="dxa"/>
          </w:tcPr>
          <w:p w14:paraId="17BA2EDE" w14:textId="076B9611" w:rsidR="00E6194D" w:rsidRPr="00171CF8" w:rsidRDefault="00E07BE8" w:rsidP="001D2615">
            <w:pPr>
              <w:pStyle w:val="Tablebullet"/>
              <w:cnfStyle w:val="000000010000" w:firstRow="0" w:lastRow="0" w:firstColumn="0" w:lastColumn="0" w:oddVBand="0" w:evenVBand="0" w:oddHBand="0" w:evenHBand="1" w:firstRowFirstColumn="0" w:firstRowLastColumn="0" w:lastRowFirstColumn="0" w:lastRowLastColumn="0"/>
              <w:rPr>
                <w:i/>
                <w:iCs/>
              </w:rPr>
            </w:pPr>
            <w:r>
              <w:rPr>
                <w:i/>
                <w:iCs/>
              </w:rPr>
              <w:fldChar w:fldCharType="begin"/>
            </w:r>
            <w:r>
              <w:rPr>
                <w:i/>
                <w:iCs/>
              </w:rPr>
              <w:instrText>HYPERLINK "https://www.legislation.vic.gov.au/in-force/acts/planning-and-environment-act-1987/155"</w:instrText>
            </w:r>
            <w:r>
              <w:rPr>
                <w:i/>
                <w:iCs/>
              </w:rPr>
            </w:r>
            <w:r>
              <w:rPr>
                <w:i/>
                <w:iCs/>
              </w:rPr>
              <w:fldChar w:fldCharType="separate"/>
            </w:r>
            <w:r w:rsidR="00E6194D" w:rsidRPr="00E07BE8">
              <w:rPr>
                <w:rStyle w:val="Hyperlink"/>
                <w:rFonts w:eastAsiaTheme="minorEastAsia"/>
                <w:i/>
                <w:iCs/>
                <w:spacing w:val="0"/>
                <w:szCs w:val="20"/>
                <w:lang w:eastAsia="en-AU"/>
              </w:rPr>
              <w:t>Planning and Environment Act 1987</w:t>
            </w:r>
            <w:r>
              <w:rPr>
                <w:i/>
                <w:iCs/>
              </w:rPr>
              <w:fldChar w:fldCharType="end"/>
            </w:r>
          </w:p>
          <w:bookmarkStart w:id="45" w:name="OLE_LINK59"/>
          <w:bookmarkStart w:id="46" w:name="OLE_LINK60"/>
          <w:bookmarkStart w:id="47" w:name="OLE_LINK5"/>
          <w:bookmarkStart w:id="48" w:name="OLE_LINK6"/>
          <w:bookmarkEnd w:id="43"/>
          <w:bookmarkEnd w:id="44"/>
          <w:p w14:paraId="5CA4C4D3" w14:textId="15BA2215" w:rsidR="00E6194D" w:rsidRPr="00171CF8" w:rsidRDefault="007C0EE2" w:rsidP="001D2615">
            <w:pPr>
              <w:pStyle w:val="Tablebullet"/>
              <w:cnfStyle w:val="000000010000" w:firstRow="0" w:lastRow="0" w:firstColumn="0" w:lastColumn="0" w:oddVBand="0" w:evenVBand="0" w:oddHBand="0" w:evenHBand="1" w:firstRowFirstColumn="0" w:firstRowLastColumn="0" w:lastRowFirstColumn="0" w:lastRowLastColumn="0"/>
              <w:rPr>
                <w:i/>
                <w:iCs/>
              </w:rPr>
            </w:pPr>
            <w:r>
              <w:rPr>
                <w:i/>
                <w:iCs/>
              </w:rPr>
              <w:fldChar w:fldCharType="begin"/>
            </w:r>
            <w:r>
              <w:rPr>
                <w:i/>
                <w:iCs/>
              </w:rPr>
              <w:instrText>HYPERLINK "https://www.legislation.gov.au/C2004A00485/latest/versions"</w:instrText>
            </w:r>
            <w:r>
              <w:rPr>
                <w:i/>
                <w:iCs/>
              </w:rPr>
            </w:r>
            <w:r>
              <w:rPr>
                <w:i/>
                <w:iCs/>
              </w:rPr>
              <w:fldChar w:fldCharType="separate"/>
            </w:r>
            <w:r w:rsidR="00E6194D" w:rsidRPr="007C0EE2">
              <w:rPr>
                <w:rStyle w:val="Hyperlink"/>
                <w:rFonts w:eastAsiaTheme="minorEastAsia"/>
                <w:i/>
                <w:iCs/>
                <w:spacing w:val="0"/>
                <w:szCs w:val="20"/>
                <w:lang w:eastAsia="en-AU"/>
              </w:rPr>
              <w:t xml:space="preserve">Environment Protection and Biodiversity Conservation Act </w:t>
            </w:r>
            <w:bookmarkEnd w:id="45"/>
            <w:bookmarkEnd w:id="46"/>
            <w:r w:rsidR="00E6194D" w:rsidRPr="007C0EE2">
              <w:rPr>
                <w:rStyle w:val="Hyperlink"/>
                <w:rFonts w:eastAsiaTheme="minorEastAsia"/>
                <w:i/>
                <w:iCs/>
                <w:spacing w:val="0"/>
                <w:szCs w:val="20"/>
                <w:lang w:eastAsia="en-AU"/>
              </w:rPr>
              <w:t>1999</w:t>
            </w:r>
            <w:r w:rsidR="003521D3" w:rsidRPr="007C0EE2">
              <w:rPr>
                <w:rStyle w:val="Hyperlink"/>
              </w:rPr>
              <w:t xml:space="preserve"> (Cth)</w:t>
            </w:r>
            <w:r>
              <w:rPr>
                <w:i/>
                <w:iCs/>
              </w:rPr>
              <w:fldChar w:fldCharType="end"/>
            </w:r>
          </w:p>
          <w:bookmarkStart w:id="49" w:name="OLE_LINK7"/>
          <w:bookmarkStart w:id="50" w:name="OLE_LINK8"/>
          <w:bookmarkEnd w:id="47"/>
          <w:bookmarkEnd w:id="48"/>
          <w:p w14:paraId="381FCC1D" w14:textId="0693E409" w:rsidR="00E6194D" w:rsidRPr="00171CF8" w:rsidRDefault="008A1FFE" w:rsidP="001D2615">
            <w:pPr>
              <w:pStyle w:val="Tablebullet"/>
              <w:cnfStyle w:val="000000010000" w:firstRow="0" w:lastRow="0" w:firstColumn="0" w:lastColumn="0" w:oddVBand="0" w:evenVBand="0" w:oddHBand="0" w:evenHBand="1" w:firstRowFirstColumn="0" w:firstRowLastColumn="0" w:lastRowFirstColumn="0" w:lastRowLastColumn="0"/>
              <w:rPr>
                <w:i/>
                <w:iCs/>
              </w:rPr>
            </w:pPr>
            <w:r>
              <w:rPr>
                <w:i/>
                <w:iCs/>
              </w:rPr>
              <w:fldChar w:fldCharType="begin"/>
            </w:r>
            <w:r>
              <w:rPr>
                <w:i/>
                <w:iCs/>
              </w:rPr>
              <w:instrText>HYPERLINK "https://www.legislation.vic.gov.au/in-force/acts/environment-effects-act-1978/026"</w:instrText>
            </w:r>
            <w:r>
              <w:rPr>
                <w:i/>
                <w:iCs/>
              </w:rPr>
            </w:r>
            <w:r>
              <w:rPr>
                <w:i/>
                <w:iCs/>
              </w:rPr>
              <w:fldChar w:fldCharType="separate"/>
            </w:r>
            <w:r w:rsidR="00E6194D" w:rsidRPr="008A1FFE">
              <w:rPr>
                <w:rStyle w:val="Hyperlink"/>
                <w:rFonts w:eastAsiaTheme="minorEastAsia"/>
                <w:i/>
                <w:iCs/>
                <w:spacing w:val="0"/>
                <w:szCs w:val="20"/>
                <w:lang w:eastAsia="en-AU"/>
              </w:rPr>
              <w:t>Environment Effects Act 1978</w:t>
            </w:r>
            <w:r>
              <w:rPr>
                <w:i/>
                <w:iCs/>
              </w:rPr>
              <w:fldChar w:fldCharType="end"/>
            </w:r>
          </w:p>
          <w:bookmarkStart w:id="51" w:name="OLE_LINK9"/>
          <w:bookmarkStart w:id="52" w:name="OLE_LINK10"/>
          <w:bookmarkEnd w:id="49"/>
          <w:bookmarkEnd w:id="50"/>
          <w:p w14:paraId="36E638DF" w14:textId="2029F3AC" w:rsidR="00E6194D" w:rsidRPr="00171CF8" w:rsidRDefault="008A1FFE" w:rsidP="001D2615">
            <w:pPr>
              <w:pStyle w:val="Tablebullet"/>
              <w:cnfStyle w:val="000000010000" w:firstRow="0" w:lastRow="0" w:firstColumn="0" w:lastColumn="0" w:oddVBand="0" w:evenVBand="0" w:oddHBand="0" w:evenHBand="1" w:firstRowFirstColumn="0" w:firstRowLastColumn="0" w:lastRowFirstColumn="0" w:lastRowLastColumn="0"/>
              <w:rPr>
                <w:i/>
                <w:iCs/>
              </w:rPr>
            </w:pPr>
            <w:r>
              <w:rPr>
                <w:i/>
                <w:iCs/>
              </w:rPr>
              <w:fldChar w:fldCharType="begin"/>
            </w:r>
            <w:r>
              <w:rPr>
                <w:i/>
                <w:iCs/>
              </w:rPr>
              <w:instrText>HYPERLINK "https://www.legislation.vic.gov.au/in-force/acts/aboriginal-heritage-act-2006/027"</w:instrText>
            </w:r>
            <w:r>
              <w:rPr>
                <w:i/>
                <w:iCs/>
              </w:rPr>
            </w:r>
            <w:r>
              <w:rPr>
                <w:i/>
                <w:iCs/>
              </w:rPr>
              <w:fldChar w:fldCharType="separate"/>
            </w:r>
            <w:r w:rsidR="00E6194D" w:rsidRPr="008A1FFE">
              <w:rPr>
                <w:rStyle w:val="Hyperlink"/>
                <w:rFonts w:eastAsiaTheme="minorEastAsia"/>
                <w:i/>
                <w:iCs/>
                <w:spacing w:val="0"/>
                <w:szCs w:val="20"/>
                <w:lang w:eastAsia="en-AU"/>
              </w:rPr>
              <w:t xml:space="preserve">Aboriginal Heritage Act </w:t>
            </w:r>
            <w:r w:rsidR="00D816C8" w:rsidRPr="008A1FFE">
              <w:rPr>
                <w:rStyle w:val="Hyperlink"/>
                <w:i/>
                <w:iCs/>
              </w:rPr>
              <w:t>2006</w:t>
            </w:r>
            <w:r>
              <w:rPr>
                <w:i/>
                <w:iCs/>
              </w:rPr>
              <w:fldChar w:fldCharType="end"/>
            </w:r>
          </w:p>
          <w:bookmarkEnd w:id="51"/>
          <w:bookmarkEnd w:id="52"/>
          <w:p w14:paraId="39208FAA" w14:textId="36AA7384" w:rsidR="00E6194D" w:rsidRPr="00171CF8" w:rsidRDefault="006E6924" w:rsidP="001D2615">
            <w:pPr>
              <w:pStyle w:val="Tablebullet"/>
              <w:cnfStyle w:val="000000010000" w:firstRow="0" w:lastRow="0" w:firstColumn="0" w:lastColumn="0" w:oddVBand="0" w:evenVBand="0" w:oddHBand="0" w:evenHBand="1" w:firstRowFirstColumn="0" w:firstRowLastColumn="0" w:lastRowFirstColumn="0" w:lastRowLastColumn="0"/>
              <w:rPr>
                <w:i/>
                <w:iCs/>
              </w:rPr>
            </w:pPr>
            <w:r>
              <w:rPr>
                <w:i/>
                <w:iCs/>
              </w:rPr>
              <w:fldChar w:fldCharType="begin"/>
            </w:r>
            <w:r>
              <w:rPr>
                <w:i/>
                <w:iCs/>
              </w:rPr>
              <w:instrText>HYPERLINK "https://www.legislation.vic.gov.au/in-force/acts/heritage-act-2017/005"</w:instrText>
            </w:r>
            <w:r>
              <w:rPr>
                <w:i/>
                <w:iCs/>
              </w:rPr>
            </w:r>
            <w:r>
              <w:rPr>
                <w:i/>
                <w:iCs/>
              </w:rPr>
              <w:fldChar w:fldCharType="separate"/>
            </w:r>
            <w:r w:rsidR="00E6194D" w:rsidRPr="006E6924">
              <w:rPr>
                <w:rStyle w:val="Hyperlink"/>
                <w:rFonts w:eastAsiaTheme="minorEastAsia"/>
                <w:i/>
                <w:iCs/>
                <w:spacing w:val="0"/>
                <w:szCs w:val="20"/>
                <w:lang w:eastAsia="en-AU"/>
              </w:rPr>
              <w:t>Heritage Act 2017</w:t>
            </w:r>
            <w:r>
              <w:rPr>
                <w:i/>
                <w:iCs/>
              </w:rPr>
              <w:fldChar w:fldCharType="end"/>
            </w:r>
          </w:p>
          <w:bookmarkStart w:id="53" w:name="OLE_LINK11"/>
          <w:bookmarkStart w:id="54" w:name="OLE_LINK12"/>
          <w:p w14:paraId="31343FA1" w14:textId="2886A7C9" w:rsidR="00E6194D" w:rsidRPr="00171CF8" w:rsidRDefault="006E6924" w:rsidP="001D2615">
            <w:pPr>
              <w:pStyle w:val="Tablebullet"/>
              <w:cnfStyle w:val="000000010000" w:firstRow="0" w:lastRow="0" w:firstColumn="0" w:lastColumn="0" w:oddVBand="0" w:evenVBand="0" w:oddHBand="0" w:evenHBand="1" w:firstRowFirstColumn="0" w:firstRowLastColumn="0" w:lastRowFirstColumn="0" w:lastRowLastColumn="0"/>
              <w:rPr>
                <w:i/>
                <w:iCs/>
              </w:rPr>
            </w:pPr>
            <w:r>
              <w:rPr>
                <w:i/>
                <w:iCs/>
              </w:rPr>
              <w:fldChar w:fldCharType="begin"/>
            </w:r>
            <w:r>
              <w:rPr>
                <w:i/>
                <w:iCs/>
              </w:rPr>
              <w:instrText>HYPERLINK "https://www.legislation.vic.gov.au/in-force/acts/victorian-civil-and-administrative-tribunal-act-1998/137"</w:instrText>
            </w:r>
            <w:r>
              <w:rPr>
                <w:i/>
                <w:iCs/>
              </w:rPr>
            </w:r>
            <w:r>
              <w:rPr>
                <w:i/>
                <w:iCs/>
              </w:rPr>
              <w:fldChar w:fldCharType="separate"/>
            </w:r>
            <w:r w:rsidR="00E6194D" w:rsidRPr="006E6924">
              <w:rPr>
                <w:rStyle w:val="Hyperlink"/>
                <w:rFonts w:eastAsiaTheme="minorEastAsia"/>
                <w:i/>
                <w:iCs/>
                <w:spacing w:val="0"/>
                <w:szCs w:val="20"/>
                <w:lang w:eastAsia="en-AU"/>
              </w:rPr>
              <w:t xml:space="preserve">Victorian Civil and Administrative Tribunal Act </w:t>
            </w:r>
            <w:bookmarkEnd w:id="53"/>
            <w:bookmarkEnd w:id="54"/>
            <w:r w:rsidR="00D04E09" w:rsidRPr="006E6924">
              <w:rPr>
                <w:rStyle w:val="Hyperlink"/>
                <w:i/>
                <w:iCs/>
              </w:rPr>
              <w:t>1998</w:t>
            </w:r>
            <w:r>
              <w:rPr>
                <w:i/>
                <w:iCs/>
              </w:rPr>
              <w:fldChar w:fldCharType="end"/>
            </w:r>
          </w:p>
        </w:tc>
      </w:tr>
      <w:tr w:rsidR="00E6194D" w14:paraId="44095D2B" w14:textId="77777777" w:rsidTr="00EF6EC7">
        <w:tc>
          <w:tcPr>
            <w:cnfStyle w:val="001000000000" w:firstRow="0" w:lastRow="0" w:firstColumn="1" w:lastColumn="0" w:oddVBand="0" w:evenVBand="0" w:oddHBand="0" w:evenHBand="0" w:firstRowFirstColumn="0" w:firstRowLastColumn="0" w:lastRowFirstColumn="0" w:lastRowLastColumn="0"/>
            <w:tcW w:w="3258" w:type="dxa"/>
          </w:tcPr>
          <w:p w14:paraId="2991782C" w14:textId="5BF0D3D1" w:rsidR="00E6194D" w:rsidRDefault="00E6194D" w:rsidP="005B2F3D">
            <w:pPr>
              <w:pStyle w:val="Tabletext"/>
              <w:rPr>
                <w:rFonts w:ascii="VIC" w:eastAsia="Calibri" w:hAnsi="VIC" w:cs="Calibri"/>
                <w:color w:val="000000"/>
              </w:rPr>
            </w:pPr>
            <w:r>
              <w:rPr>
                <w:rFonts w:ascii="VIC" w:eastAsia="Calibri" w:hAnsi="VIC" w:cs="Calibri"/>
                <w:color w:val="000000"/>
              </w:rPr>
              <w:t xml:space="preserve">Facilitates site acquisition and readiness and early </w:t>
            </w:r>
            <w:r w:rsidRPr="005B2F3D">
              <w:t>works</w:t>
            </w:r>
          </w:p>
        </w:tc>
        <w:bookmarkStart w:id="55" w:name="OLE_LINK13"/>
        <w:bookmarkStart w:id="56" w:name="OLE_LINK14"/>
        <w:tc>
          <w:tcPr>
            <w:tcW w:w="5040" w:type="dxa"/>
          </w:tcPr>
          <w:p w14:paraId="4CBC01BB" w14:textId="5D3F63DB" w:rsidR="00E6194D" w:rsidRPr="00171CF8" w:rsidRDefault="00412B38" w:rsidP="001D2615">
            <w:pPr>
              <w:pStyle w:val="Tablebullet"/>
              <w:cnfStyle w:val="000000000000" w:firstRow="0" w:lastRow="0" w:firstColumn="0" w:lastColumn="0" w:oddVBand="0" w:evenVBand="0" w:oddHBand="0" w:evenHBand="0" w:firstRowFirstColumn="0" w:firstRowLastColumn="0" w:lastRowFirstColumn="0" w:lastRowLastColumn="0"/>
              <w:rPr>
                <w:i/>
                <w:iCs/>
              </w:rPr>
            </w:pPr>
            <w:r>
              <w:rPr>
                <w:i/>
                <w:iCs/>
              </w:rPr>
              <w:fldChar w:fldCharType="begin"/>
            </w:r>
            <w:r>
              <w:rPr>
                <w:i/>
                <w:iCs/>
              </w:rPr>
              <w:instrText>HYPERLINK "https://www.legislation.vic.gov.au/in-force/acts/crown-land-reserves-act-1978/130"</w:instrText>
            </w:r>
            <w:r>
              <w:rPr>
                <w:i/>
                <w:iCs/>
              </w:rPr>
            </w:r>
            <w:r>
              <w:rPr>
                <w:i/>
                <w:iCs/>
              </w:rPr>
              <w:fldChar w:fldCharType="separate"/>
            </w:r>
            <w:r w:rsidR="00E6194D" w:rsidRPr="00412B38">
              <w:rPr>
                <w:rStyle w:val="Hyperlink"/>
                <w:rFonts w:eastAsiaTheme="minorEastAsia"/>
                <w:i/>
                <w:iCs/>
                <w:spacing w:val="0"/>
                <w:szCs w:val="20"/>
                <w:lang w:eastAsia="en-AU"/>
              </w:rPr>
              <w:t>Crown Land (Reserves) Act 1978</w:t>
            </w:r>
            <w:bookmarkEnd w:id="55"/>
            <w:bookmarkEnd w:id="56"/>
            <w:r>
              <w:rPr>
                <w:i/>
                <w:iCs/>
              </w:rPr>
              <w:fldChar w:fldCharType="end"/>
            </w:r>
          </w:p>
          <w:p w14:paraId="639B434A" w14:textId="7D15EA46" w:rsidR="00E6194D" w:rsidRPr="00171CF8" w:rsidRDefault="00894832" w:rsidP="001D2615">
            <w:pPr>
              <w:pStyle w:val="Tablebullet"/>
              <w:cnfStyle w:val="000000000000" w:firstRow="0" w:lastRow="0" w:firstColumn="0" w:lastColumn="0" w:oddVBand="0" w:evenVBand="0" w:oddHBand="0" w:evenHBand="0" w:firstRowFirstColumn="0" w:firstRowLastColumn="0" w:lastRowFirstColumn="0" w:lastRowLastColumn="0"/>
              <w:rPr>
                <w:i/>
                <w:iCs/>
              </w:rPr>
            </w:pPr>
            <w:hyperlink r:id="rId63" w:history="1">
              <w:r w:rsidR="00E6194D" w:rsidRPr="008E43B7">
                <w:rPr>
                  <w:rStyle w:val="Hyperlink"/>
                  <w:rFonts w:eastAsiaTheme="minorEastAsia"/>
                  <w:i/>
                  <w:iCs/>
                  <w:spacing w:val="0"/>
                  <w:szCs w:val="20"/>
                  <w:lang w:eastAsia="en-AU"/>
                </w:rPr>
                <w:t>Land Act 1958</w:t>
              </w:r>
            </w:hyperlink>
          </w:p>
          <w:p w14:paraId="56715E59" w14:textId="557E750D" w:rsidR="00E6194D" w:rsidRPr="00171CF8" w:rsidRDefault="00894832" w:rsidP="001D2615">
            <w:pPr>
              <w:pStyle w:val="Tablebullet"/>
              <w:cnfStyle w:val="000000000000" w:firstRow="0" w:lastRow="0" w:firstColumn="0" w:lastColumn="0" w:oddVBand="0" w:evenVBand="0" w:oddHBand="0" w:evenHBand="0" w:firstRowFirstColumn="0" w:firstRowLastColumn="0" w:lastRowFirstColumn="0" w:lastRowLastColumn="0"/>
              <w:rPr>
                <w:i/>
                <w:iCs/>
              </w:rPr>
            </w:pPr>
            <w:hyperlink r:id="rId64" w:history="1">
              <w:r w:rsidR="00E6194D" w:rsidRPr="008E43B7">
                <w:rPr>
                  <w:rStyle w:val="Hyperlink"/>
                  <w:rFonts w:eastAsiaTheme="minorEastAsia"/>
                  <w:i/>
                  <w:iCs/>
                  <w:spacing w:val="0"/>
                  <w:szCs w:val="20"/>
                  <w:lang w:eastAsia="en-AU"/>
                </w:rPr>
                <w:t>Sale of Land Act 1962</w:t>
              </w:r>
            </w:hyperlink>
          </w:p>
          <w:bookmarkStart w:id="57" w:name="OLE_LINK15"/>
          <w:bookmarkStart w:id="58" w:name="OLE_LINK16"/>
          <w:p w14:paraId="563D6ED2" w14:textId="5B39AF65" w:rsidR="00E6194D" w:rsidRPr="00171CF8" w:rsidRDefault="00B85F47" w:rsidP="001D2615">
            <w:pPr>
              <w:pStyle w:val="Tablebullet"/>
              <w:cnfStyle w:val="000000000000" w:firstRow="0" w:lastRow="0" w:firstColumn="0" w:lastColumn="0" w:oddVBand="0" w:evenVBand="0" w:oddHBand="0" w:evenHBand="0" w:firstRowFirstColumn="0" w:firstRowLastColumn="0" w:lastRowFirstColumn="0" w:lastRowLastColumn="0"/>
              <w:rPr>
                <w:i/>
                <w:iCs/>
              </w:rPr>
            </w:pPr>
            <w:r>
              <w:rPr>
                <w:i/>
                <w:iCs/>
              </w:rPr>
              <w:fldChar w:fldCharType="begin"/>
            </w:r>
            <w:r>
              <w:rPr>
                <w:i/>
                <w:iCs/>
              </w:rPr>
              <w:instrText>HYPERLINK "https://www.legislation.vic.gov.au/in-force/acts/subdivision-act-1988/081"</w:instrText>
            </w:r>
            <w:r>
              <w:rPr>
                <w:i/>
                <w:iCs/>
              </w:rPr>
            </w:r>
            <w:r>
              <w:rPr>
                <w:i/>
                <w:iCs/>
              </w:rPr>
              <w:fldChar w:fldCharType="separate"/>
            </w:r>
            <w:r w:rsidR="00E6194D" w:rsidRPr="00B85F47">
              <w:rPr>
                <w:rStyle w:val="Hyperlink"/>
                <w:rFonts w:eastAsiaTheme="minorEastAsia"/>
                <w:i/>
                <w:iCs/>
                <w:spacing w:val="0"/>
                <w:szCs w:val="20"/>
                <w:lang w:eastAsia="en-AU"/>
              </w:rPr>
              <w:t>Subdivision Act 1988</w:t>
            </w:r>
            <w:r>
              <w:rPr>
                <w:i/>
                <w:iCs/>
              </w:rPr>
              <w:fldChar w:fldCharType="end"/>
            </w:r>
          </w:p>
          <w:bookmarkEnd w:id="57"/>
          <w:bookmarkEnd w:id="58"/>
          <w:p w14:paraId="0DD15D1D" w14:textId="68B20E54" w:rsidR="00E6194D" w:rsidRPr="00171CF8" w:rsidRDefault="005B3C50" w:rsidP="001D2615">
            <w:pPr>
              <w:pStyle w:val="Tablebullet"/>
              <w:cnfStyle w:val="000000000000" w:firstRow="0" w:lastRow="0" w:firstColumn="0" w:lastColumn="0" w:oddVBand="0" w:evenVBand="0" w:oddHBand="0" w:evenHBand="0" w:firstRowFirstColumn="0" w:firstRowLastColumn="0" w:lastRowFirstColumn="0" w:lastRowLastColumn="0"/>
              <w:rPr>
                <w:i/>
                <w:iCs/>
              </w:rPr>
            </w:pPr>
            <w:r>
              <w:rPr>
                <w:i/>
                <w:iCs/>
              </w:rPr>
              <w:fldChar w:fldCharType="begin"/>
            </w:r>
            <w:r>
              <w:rPr>
                <w:i/>
                <w:iCs/>
              </w:rPr>
              <w:instrText>HYPERLINK "https://www.legislation.vic.gov.au/in-force/acts/traditional-owner-settlement-act-2010/025"</w:instrText>
            </w:r>
            <w:r>
              <w:rPr>
                <w:i/>
                <w:iCs/>
              </w:rPr>
            </w:r>
            <w:r>
              <w:rPr>
                <w:i/>
                <w:iCs/>
              </w:rPr>
              <w:fldChar w:fldCharType="separate"/>
            </w:r>
            <w:r w:rsidR="00E6194D" w:rsidRPr="005B3C50">
              <w:rPr>
                <w:rStyle w:val="Hyperlink"/>
                <w:rFonts w:eastAsiaTheme="minorEastAsia"/>
                <w:i/>
                <w:iCs/>
                <w:spacing w:val="0"/>
                <w:szCs w:val="20"/>
                <w:lang w:eastAsia="en-AU"/>
              </w:rPr>
              <w:t>Traditional Owners Settlement Act 2010</w:t>
            </w:r>
            <w:r>
              <w:rPr>
                <w:i/>
                <w:iCs/>
              </w:rPr>
              <w:fldChar w:fldCharType="end"/>
            </w:r>
          </w:p>
          <w:p w14:paraId="33EDC773" w14:textId="3374F1E3" w:rsidR="00E6194D" w:rsidRPr="00171CF8" w:rsidRDefault="00894832" w:rsidP="001D2615">
            <w:pPr>
              <w:pStyle w:val="Tablebullet"/>
              <w:cnfStyle w:val="000000000000" w:firstRow="0" w:lastRow="0" w:firstColumn="0" w:lastColumn="0" w:oddVBand="0" w:evenVBand="0" w:oddHBand="0" w:evenHBand="0" w:firstRowFirstColumn="0" w:firstRowLastColumn="0" w:lastRowFirstColumn="0" w:lastRowLastColumn="0"/>
              <w:rPr>
                <w:i/>
                <w:iCs/>
              </w:rPr>
            </w:pPr>
            <w:hyperlink r:id="rId65" w:history="1">
              <w:r w:rsidR="00E6194D" w:rsidRPr="005B3C50">
                <w:rPr>
                  <w:rStyle w:val="Hyperlink"/>
                  <w:rFonts w:eastAsiaTheme="minorEastAsia"/>
                  <w:i/>
                  <w:iCs/>
                  <w:spacing w:val="0"/>
                  <w:szCs w:val="20"/>
                  <w:lang w:eastAsia="en-AU"/>
                </w:rPr>
                <w:t>Transfer of Land Act 1958</w:t>
              </w:r>
            </w:hyperlink>
          </w:p>
        </w:tc>
      </w:tr>
      <w:tr w:rsidR="00E6194D" w14:paraId="6B45472F" w14:textId="77777777" w:rsidTr="00EF6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08C107F6" w14:textId="24806D51" w:rsidR="00E6194D" w:rsidRDefault="00E6194D" w:rsidP="00171CF8">
            <w:pPr>
              <w:pStyle w:val="Tabletext"/>
            </w:pPr>
            <w:r w:rsidRPr="00E42906">
              <w:t>Sets rules and requirements for the conduct of government procurement</w:t>
            </w:r>
          </w:p>
        </w:tc>
        <w:tc>
          <w:tcPr>
            <w:tcW w:w="5040" w:type="dxa"/>
          </w:tcPr>
          <w:p w14:paraId="705B255B" w14:textId="4B122567" w:rsidR="00E6194D" w:rsidRPr="00814773" w:rsidRDefault="00894832" w:rsidP="001D2615">
            <w:pPr>
              <w:pStyle w:val="Tablebullet"/>
              <w:cnfStyle w:val="000000010000" w:firstRow="0" w:lastRow="0" w:firstColumn="0" w:lastColumn="0" w:oddVBand="0" w:evenVBand="0" w:oddHBand="0" w:evenHBand="1" w:firstRowFirstColumn="0" w:firstRowLastColumn="0" w:lastRowFirstColumn="0" w:lastRowLastColumn="0"/>
            </w:pPr>
            <w:hyperlink r:id="rId66" w:history="1">
              <w:r w:rsidR="00E6194D" w:rsidRPr="00FF123E">
                <w:rPr>
                  <w:rStyle w:val="Hyperlink"/>
                  <w:rFonts w:eastAsiaTheme="minorEastAsia"/>
                  <w:spacing w:val="0"/>
                  <w:szCs w:val="20"/>
                  <w:lang w:eastAsia="en-AU"/>
                </w:rPr>
                <w:t xml:space="preserve">Ministerial Directions </w:t>
              </w:r>
              <w:r w:rsidR="001D34C3">
                <w:rPr>
                  <w:rStyle w:val="Hyperlink"/>
                  <w:rFonts w:eastAsiaTheme="minorEastAsia"/>
                  <w:spacing w:val="0"/>
                  <w:szCs w:val="20"/>
                  <w:lang w:eastAsia="en-AU"/>
                </w:rPr>
                <w:t>a</w:t>
              </w:r>
              <w:r w:rsidR="001D34C3">
                <w:rPr>
                  <w:rStyle w:val="Hyperlink"/>
                </w:rPr>
                <w:t xml:space="preserve">nd Instructions </w:t>
              </w:r>
              <w:r w:rsidR="00E6194D" w:rsidRPr="00FF123E">
                <w:rPr>
                  <w:rStyle w:val="Hyperlink"/>
                  <w:rFonts w:eastAsiaTheme="minorEastAsia"/>
                  <w:spacing w:val="0"/>
                  <w:szCs w:val="20"/>
                  <w:lang w:eastAsia="en-AU"/>
                </w:rPr>
                <w:t>for Public Construction Procurement</w:t>
              </w:r>
            </w:hyperlink>
          </w:p>
          <w:p w14:paraId="73B50EB7" w14:textId="228AD694" w:rsidR="00E6194D" w:rsidRPr="00814773" w:rsidRDefault="00894832" w:rsidP="001D2615">
            <w:pPr>
              <w:pStyle w:val="Tablebullet"/>
              <w:cnfStyle w:val="000000010000" w:firstRow="0" w:lastRow="0" w:firstColumn="0" w:lastColumn="0" w:oddVBand="0" w:evenVBand="0" w:oddHBand="0" w:evenHBand="1" w:firstRowFirstColumn="0" w:firstRowLastColumn="0" w:lastRowFirstColumn="0" w:lastRowLastColumn="0"/>
            </w:pPr>
            <w:hyperlink r:id="rId67" w:history="1">
              <w:r w:rsidR="00E6194D" w:rsidRPr="00F47D57">
                <w:rPr>
                  <w:rStyle w:val="Hyperlink"/>
                  <w:rFonts w:eastAsiaTheme="minorEastAsia"/>
                  <w:spacing w:val="0"/>
                  <w:szCs w:val="20"/>
                  <w:lang w:eastAsia="en-AU"/>
                </w:rPr>
                <w:t>International agreements</w:t>
              </w:r>
            </w:hyperlink>
          </w:p>
          <w:bookmarkStart w:id="59" w:name="OLE_LINK17"/>
          <w:bookmarkStart w:id="60" w:name="OLE_LINK18"/>
          <w:p w14:paraId="040269A9" w14:textId="4571B489" w:rsidR="00E6194D" w:rsidRPr="00814773" w:rsidRDefault="00FF4878" w:rsidP="001D2615">
            <w:pPr>
              <w:pStyle w:val="Tablebullet"/>
              <w:cnfStyle w:val="000000010000" w:firstRow="0" w:lastRow="0" w:firstColumn="0" w:lastColumn="0" w:oddVBand="0" w:evenVBand="0" w:oddHBand="0" w:evenHBand="1" w:firstRowFirstColumn="0" w:firstRowLastColumn="0" w:lastRowFirstColumn="0" w:lastRowLastColumn="0"/>
            </w:pPr>
            <w:r>
              <w:fldChar w:fldCharType="begin"/>
            </w:r>
            <w:r>
              <w:instrText>HYPERLINK "https://www.infrastructure.gov.au/infrastructure-transport-vehicles/infrastructure-investment-project-delivery/national-guidelines-infrastructure-project-delivery" \l "anc_alliance"</w:instrText>
            </w:r>
            <w:r>
              <w:fldChar w:fldCharType="separate"/>
            </w:r>
            <w:r w:rsidR="00E6194D" w:rsidRPr="00FF4878">
              <w:rPr>
                <w:rStyle w:val="Hyperlink"/>
                <w:rFonts w:eastAsiaTheme="minorEastAsia"/>
                <w:spacing w:val="0"/>
                <w:szCs w:val="20"/>
                <w:lang w:eastAsia="en-AU"/>
              </w:rPr>
              <w:t xml:space="preserve">National </w:t>
            </w:r>
            <w:r w:rsidR="004903D9" w:rsidRPr="00FF4878">
              <w:rPr>
                <w:rStyle w:val="Hyperlink"/>
              </w:rPr>
              <w:t xml:space="preserve">alliance contracting policy </w:t>
            </w:r>
            <w:r w:rsidR="00E6194D" w:rsidRPr="00FF4878">
              <w:rPr>
                <w:rStyle w:val="Hyperlink"/>
              </w:rPr>
              <w:t xml:space="preserve">and </w:t>
            </w:r>
            <w:r w:rsidR="004903D9" w:rsidRPr="00FF4878">
              <w:rPr>
                <w:rStyle w:val="Hyperlink"/>
              </w:rPr>
              <w:t>guidelines</w:t>
            </w:r>
            <w:r>
              <w:fldChar w:fldCharType="end"/>
            </w:r>
          </w:p>
          <w:bookmarkStart w:id="61" w:name="OLE_LINK21"/>
          <w:bookmarkStart w:id="62" w:name="OLE_LINK22"/>
          <w:bookmarkEnd w:id="59"/>
          <w:bookmarkEnd w:id="60"/>
          <w:p w14:paraId="6B9C3083" w14:textId="00E13131" w:rsidR="00E6194D" w:rsidRPr="00814773" w:rsidRDefault="00532D07" w:rsidP="001D2615">
            <w:pPr>
              <w:pStyle w:val="Tablebullet"/>
              <w:cnfStyle w:val="000000010000" w:firstRow="0" w:lastRow="0" w:firstColumn="0" w:lastColumn="0" w:oddVBand="0" w:evenVBand="0" w:oddHBand="0" w:evenHBand="1" w:firstRowFirstColumn="0" w:firstRowLastColumn="0" w:lastRowFirstColumn="0" w:lastRowLastColumn="0"/>
            </w:pPr>
            <w:r>
              <w:fldChar w:fldCharType="begin"/>
            </w:r>
            <w:r>
              <w:instrText>HYPERLINK "https://www.infrastructure.gov.au/infrastructure-transport-vehicles/infrastructure-investment-project-delivery/national-guidelines-infrastructure-project-delivery" \l "anc_public-private"</w:instrText>
            </w:r>
            <w:r>
              <w:fldChar w:fldCharType="separate"/>
            </w:r>
            <w:r w:rsidR="00E6194D" w:rsidRPr="00532D07">
              <w:rPr>
                <w:rStyle w:val="Hyperlink"/>
                <w:rFonts w:eastAsiaTheme="minorEastAsia"/>
                <w:spacing w:val="0"/>
                <w:szCs w:val="20"/>
                <w:lang w:eastAsia="en-AU"/>
              </w:rPr>
              <w:t xml:space="preserve">National </w:t>
            </w:r>
            <w:r w:rsidR="00BE3FB2" w:rsidRPr="00532D07">
              <w:rPr>
                <w:rStyle w:val="Hyperlink"/>
              </w:rPr>
              <w:t>p</w:t>
            </w:r>
            <w:r w:rsidR="00E6194D" w:rsidRPr="00532D07">
              <w:rPr>
                <w:rStyle w:val="Hyperlink"/>
              </w:rPr>
              <w:t xml:space="preserve">ublic </w:t>
            </w:r>
            <w:r w:rsidR="00BE3FB2" w:rsidRPr="00532D07">
              <w:rPr>
                <w:rStyle w:val="Hyperlink"/>
              </w:rPr>
              <w:t xml:space="preserve">private partnerships </w:t>
            </w:r>
            <w:r w:rsidR="0066672B" w:rsidRPr="00532D07">
              <w:rPr>
                <w:rStyle w:val="Hyperlink"/>
              </w:rPr>
              <w:t xml:space="preserve">(PPP) </w:t>
            </w:r>
            <w:r w:rsidR="00BE3FB2" w:rsidRPr="00532D07">
              <w:rPr>
                <w:rStyle w:val="Hyperlink"/>
              </w:rPr>
              <w:t xml:space="preserve">policy </w:t>
            </w:r>
            <w:r w:rsidR="00E6194D" w:rsidRPr="00532D07">
              <w:rPr>
                <w:rStyle w:val="Hyperlink"/>
              </w:rPr>
              <w:t xml:space="preserve">and </w:t>
            </w:r>
            <w:r w:rsidR="00BE3FB2" w:rsidRPr="00532D07">
              <w:rPr>
                <w:rStyle w:val="Hyperlink"/>
              </w:rPr>
              <w:t>guidelines</w:t>
            </w:r>
            <w:r>
              <w:fldChar w:fldCharType="end"/>
            </w:r>
          </w:p>
          <w:bookmarkStart w:id="63" w:name="OLE_LINK57"/>
          <w:bookmarkStart w:id="64" w:name="OLE_LINK58"/>
          <w:bookmarkEnd w:id="61"/>
          <w:bookmarkEnd w:id="62"/>
          <w:p w14:paraId="61FE13AA" w14:textId="21406F32" w:rsidR="00E6194D" w:rsidRPr="00814773" w:rsidRDefault="00045E0D" w:rsidP="001D2615">
            <w:pPr>
              <w:pStyle w:val="Tablebullet"/>
              <w:cnfStyle w:val="000000010000" w:firstRow="0" w:lastRow="0" w:firstColumn="0" w:lastColumn="0" w:oddVBand="0" w:evenVBand="0" w:oddHBand="0" w:evenHBand="1" w:firstRowFirstColumn="0" w:firstRowLastColumn="0" w:lastRowFirstColumn="0" w:lastRowLastColumn="0"/>
            </w:pPr>
            <w:r>
              <w:fldChar w:fldCharType="begin"/>
            </w:r>
            <w:r>
              <w:instrText>HYPERLINK "https://www.buyingfor.vic.gov.au/victorian-government-purchasing-board-vgpb"</w:instrText>
            </w:r>
            <w:r>
              <w:fldChar w:fldCharType="separate"/>
            </w:r>
            <w:r w:rsidR="00E6194D" w:rsidRPr="00045E0D">
              <w:rPr>
                <w:rStyle w:val="Hyperlink"/>
                <w:rFonts w:eastAsiaTheme="minorEastAsia"/>
                <w:spacing w:val="0"/>
                <w:szCs w:val="20"/>
                <w:lang w:eastAsia="en-AU"/>
              </w:rPr>
              <w:t xml:space="preserve">Victorian Government </w:t>
            </w:r>
            <w:r w:rsidR="00D768A9" w:rsidRPr="00045E0D">
              <w:rPr>
                <w:rStyle w:val="Hyperlink"/>
              </w:rPr>
              <w:t xml:space="preserve">Purchasing </w:t>
            </w:r>
            <w:r w:rsidR="00E6194D" w:rsidRPr="00045E0D">
              <w:rPr>
                <w:rStyle w:val="Hyperlink"/>
              </w:rPr>
              <w:t>Board</w:t>
            </w:r>
            <w:bookmarkEnd w:id="63"/>
            <w:bookmarkEnd w:id="64"/>
            <w:r>
              <w:fldChar w:fldCharType="end"/>
            </w:r>
          </w:p>
        </w:tc>
      </w:tr>
      <w:tr w:rsidR="00E6194D" w14:paraId="275704FE" w14:textId="77777777" w:rsidTr="00EF6EC7">
        <w:tc>
          <w:tcPr>
            <w:cnfStyle w:val="001000000000" w:firstRow="0" w:lastRow="0" w:firstColumn="1" w:lastColumn="0" w:oddVBand="0" w:evenVBand="0" w:oddHBand="0" w:evenHBand="0" w:firstRowFirstColumn="0" w:firstRowLastColumn="0" w:lastRowFirstColumn="0" w:lastRowLastColumn="0"/>
            <w:tcW w:w="3258" w:type="dxa"/>
          </w:tcPr>
          <w:p w14:paraId="5BC8BB87" w14:textId="0A06A73C" w:rsidR="00E6194D" w:rsidRPr="007E17F8" w:rsidRDefault="00E6194D" w:rsidP="005B2F3D">
            <w:pPr>
              <w:pStyle w:val="Tabletext"/>
            </w:pPr>
            <w:r>
              <w:t>R</w:t>
            </w:r>
            <w:r w:rsidRPr="00AE7E50">
              <w:t>egulates construction practices to ensure work is undertaken safely by appropriately qualified practitioners</w:t>
            </w:r>
          </w:p>
        </w:tc>
        <w:bookmarkStart w:id="65" w:name="OLE_LINK23"/>
        <w:bookmarkStart w:id="66" w:name="OLE_LINK24"/>
        <w:tc>
          <w:tcPr>
            <w:tcW w:w="5040" w:type="dxa"/>
          </w:tcPr>
          <w:p w14:paraId="3ECF01C9" w14:textId="2AC91D2B" w:rsidR="00E6194D" w:rsidRPr="00814773" w:rsidRDefault="00812501" w:rsidP="001D2615">
            <w:pPr>
              <w:pStyle w:val="Tablebullet"/>
              <w:cnfStyle w:val="000000000000" w:firstRow="0" w:lastRow="0" w:firstColumn="0" w:lastColumn="0" w:oddVBand="0" w:evenVBand="0" w:oddHBand="0" w:evenHBand="0" w:firstRowFirstColumn="0" w:firstRowLastColumn="0" w:lastRowFirstColumn="0" w:lastRowLastColumn="0"/>
            </w:pPr>
            <w:r>
              <w:fldChar w:fldCharType="begin"/>
            </w:r>
            <w:r>
              <w:instrText>HYPERLINK "https://www.fsc.gov.au/scheme-accreditation"</w:instrText>
            </w:r>
            <w:r>
              <w:fldChar w:fldCharType="separate"/>
            </w:r>
            <w:r w:rsidR="00E6194D" w:rsidRPr="00812501">
              <w:rPr>
                <w:rStyle w:val="Hyperlink"/>
                <w:rFonts w:eastAsiaTheme="minorEastAsia"/>
                <w:spacing w:val="0"/>
                <w:szCs w:val="20"/>
                <w:lang w:eastAsia="en-AU"/>
              </w:rPr>
              <w:t xml:space="preserve">Australian Government Building and Construction </w:t>
            </w:r>
            <w:r w:rsidR="00A839B9" w:rsidRPr="00812501">
              <w:rPr>
                <w:rStyle w:val="Hyperlink"/>
              </w:rPr>
              <w:t>Work</w:t>
            </w:r>
            <w:r w:rsidR="00711291" w:rsidRPr="00812501">
              <w:rPr>
                <w:rStyle w:val="Hyperlink"/>
              </w:rPr>
              <w:t xml:space="preserve"> Health and Safe</w:t>
            </w:r>
            <w:r w:rsidR="001D116F" w:rsidRPr="00812501">
              <w:rPr>
                <w:rStyle w:val="Hyperlink"/>
              </w:rPr>
              <w:t xml:space="preserve">ty </w:t>
            </w:r>
            <w:r w:rsidR="001F0D12" w:rsidRPr="00812501">
              <w:rPr>
                <w:rStyle w:val="Hyperlink"/>
              </w:rPr>
              <w:t>(</w:t>
            </w:r>
            <w:r w:rsidR="001D116F" w:rsidRPr="00812501">
              <w:rPr>
                <w:rStyle w:val="Hyperlink"/>
              </w:rPr>
              <w:t>WHS</w:t>
            </w:r>
            <w:r w:rsidR="001F0D12" w:rsidRPr="00812501">
              <w:rPr>
                <w:rStyle w:val="Hyperlink"/>
              </w:rPr>
              <w:t>)</w:t>
            </w:r>
            <w:r w:rsidR="00E045A6" w:rsidRPr="00812501">
              <w:rPr>
                <w:rStyle w:val="Hyperlink"/>
              </w:rPr>
              <w:t xml:space="preserve"> A</w:t>
            </w:r>
            <w:r w:rsidR="00E6194D" w:rsidRPr="00812501">
              <w:rPr>
                <w:rStyle w:val="Hyperlink"/>
              </w:rPr>
              <w:t>ccreditation Scheme</w:t>
            </w:r>
            <w:r>
              <w:fldChar w:fldCharType="end"/>
            </w:r>
          </w:p>
          <w:bookmarkEnd w:id="65"/>
          <w:bookmarkEnd w:id="66"/>
          <w:p w14:paraId="26844A65" w14:textId="29B2E418" w:rsidR="00E6194D" w:rsidRPr="00814773" w:rsidRDefault="00493297">
            <w:pPr>
              <w:pStyle w:val="Tablebullet"/>
              <w:cnfStyle w:val="000000000000" w:firstRow="0" w:lastRow="0" w:firstColumn="0" w:lastColumn="0" w:oddVBand="0" w:evenVBand="0" w:oddHBand="0" w:evenHBand="0" w:firstRowFirstColumn="0" w:firstRowLastColumn="0" w:lastRowFirstColumn="0" w:lastRowLastColumn="0"/>
            </w:pPr>
            <w:r w:rsidRPr="00493297">
              <w:rPr>
                <w:i/>
                <w:iCs/>
              </w:rPr>
              <w:fldChar w:fldCharType="begin"/>
            </w:r>
            <w:r w:rsidRPr="00493297">
              <w:rPr>
                <w:i/>
                <w:iCs/>
              </w:rPr>
              <w:instrText>HYPERLINK "https://www.legislation.vic.gov.au/in-force/acts/building-act-1993/138"</w:instrText>
            </w:r>
            <w:r w:rsidRPr="00493297">
              <w:rPr>
                <w:i/>
                <w:iCs/>
              </w:rPr>
            </w:r>
            <w:r w:rsidRPr="00493297">
              <w:rPr>
                <w:i/>
                <w:iCs/>
              </w:rPr>
              <w:fldChar w:fldCharType="separate"/>
            </w:r>
            <w:r w:rsidRPr="008B0A6E">
              <w:rPr>
                <w:rStyle w:val="Hyperlink"/>
                <w:i/>
              </w:rPr>
              <w:t>Building Act 1993</w:t>
            </w:r>
            <w:r w:rsidRPr="00493297">
              <w:rPr>
                <w:i/>
                <w:iCs/>
              </w:rPr>
              <w:fldChar w:fldCharType="end"/>
            </w:r>
            <w:r w:rsidRPr="00493297">
              <w:rPr>
                <w:i/>
                <w:iCs/>
              </w:rPr>
              <w:t xml:space="preserve"> </w:t>
            </w:r>
            <w:r w:rsidR="00E6194D" w:rsidRPr="00814773">
              <w:t xml:space="preserve">and </w:t>
            </w:r>
            <w:hyperlink r:id="rId68" w:history="1">
              <w:r w:rsidR="00F64E02" w:rsidRPr="00F64E02">
                <w:rPr>
                  <w:rStyle w:val="Hyperlink"/>
                  <w:rFonts w:eastAsiaTheme="minorEastAsia"/>
                  <w:spacing w:val="0"/>
                  <w:szCs w:val="20"/>
                  <w:lang w:eastAsia="en-AU"/>
                </w:rPr>
                <w:t>Building</w:t>
              </w:r>
              <w:r w:rsidR="00F64E02" w:rsidRPr="00F64E02">
                <w:rPr>
                  <w:rStyle w:val="Hyperlink"/>
                </w:rPr>
                <w:t xml:space="preserve"> R</w:t>
              </w:r>
              <w:r w:rsidR="00E6194D" w:rsidRPr="00F64E02">
                <w:rPr>
                  <w:rStyle w:val="Hyperlink"/>
                </w:rPr>
                <w:t>egulations</w:t>
              </w:r>
              <w:r w:rsidR="00F64E02" w:rsidRPr="00F64E02">
                <w:rPr>
                  <w:rStyle w:val="Hyperlink"/>
                </w:rPr>
                <w:t xml:space="preserve"> 2018</w:t>
              </w:r>
            </w:hyperlink>
          </w:p>
          <w:p w14:paraId="3C26DE62" w14:textId="70CF05D9" w:rsidR="00E6194D" w:rsidRPr="00814773" w:rsidRDefault="00894832" w:rsidP="001D2615">
            <w:pPr>
              <w:pStyle w:val="Tablebullet"/>
              <w:cnfStyle w:val="000000000000" w:firstRow="0" w:lastRow="0" w:firstColumn="0" w:lastColumn="0" w:oddVBand="0" w:evenVBand="0" w:oddHBand="0" w:evenHBand="0" w:firstRowFirstColumn="0" w:firstRowLastColumn="0" w:lastRowFirstColumn="0" w:lastRowLastColumn="0"/>
            </w:pPr>
            <w:hyperlink r:id="rId69" w:history="1">
              <w:r w:rsidR="00C03E0D">
                <w:rPr>
                  <w:rStyle w:val="Hyperlink"/>
                  <w:rFonts w:eastAsiaTheme="minorEastAsia"/>
                  <w:spacing w:val="0"/>
                  <w:szCs w:val="20"/>
                  <w:lang w:eastAsia="en-AU"/>
                </w:rPr>
                <w:t>National Construction Code</w:t>
              </w:r>
            </w:hyperlink>
          </w:p>
          <w:p w14:paraId="3A2E1956" w14:textId="75FAF20E" w:rsidR="00E6194D" w:rsidRPr="00171CF8" w:rsidRDefault="00894832" w:rsidP="001D2615">
            <w:pPr>
              <w:pStyle w:val="Tablebullet"/>
              <w:cnfStyle w:val="000000000000" w:firstRow="0" w:lastRow="0" w:firstColumn="0" w:lastColumn="0" w:oddVBand="0" w:evenVBand="0" w:oddHBand="0" w:evenHBand="0" w:firstRowFirstColumn="0" w:firstRowLastColumn="0" w:lastRowFirstColumn="0" w:lastRowLastColumn="0"/>
              <w:rPr>
                <w:i/>
                <w:iCs/>
              </w:rPr>
            </w:pPr>
            <w:hyperlink r:id="rId70" w:history="1">
              <w:r w:rsidR="00E6194D" w:rsidRPr="001D3045">
                <w:rPr>
                  <w:rStyle w:val="Hyperlink"/>
                  <w:rFonts w:eastAsiaTheme="minorEastAsia"/>
                  <w:i/>
                  <w:iCs/>
                  <w:spacing w:val="0"/>
                  <w:szCs w:val="20"/>
                  <w:lang w:eastAsia="en-AU"/>
                </w:rPr>
                <w:t>Occupational Health and Safety Act 2004</w:t>
              </w:r>
            </w:hyperlink>
          </w:p>
          <w:bookmarkStart w:id="67" w:name="OLE_LINK25"/>
          <w:bookmarkStart w:id="68" w:name="OLE_LINK26"/>
          <w:p w14:paraId="158ED9E0" w14:textId="07308EA5" w:rsidR="00E6194D" w:rsidRPr="00171CF8" w:rsidRDefault="001D3045" w:rsidP="001D2615">
            <w:pPr>
              <w:pStyle w:val="Tablebullet"/>
              <w:cnfStyle w:val="000000000000" w:firstRow="0" w:lastRow="0" w:firstColumn="0" w:lastColumn="0" w:oddVBand="0" w:evenVBand="0" w:oddHBand="0" w:evenHBand="0" w:firstRowFirstColumn="0" w:firstRowLastColumn="0" w:lastRowFirstColumn="0" w:lastRowLastColumn="0"/>
              <w:rPr>
                <w:i/>
                <w:iCs/>
              </w:rPr>
            </w:pPr>
            <w:r>
              <w:rPr>
                <w:i/>
                <w:iCs/>
              </w:rPr>
              <w:fldChar w:fldCharType="begin"/>
            </w:r>
            <w:r>
              <w:rPr>
                <w:i/>
                <w:iCs/>
              </w:rPr>
              <w:instrText>HYPERLINK "https://www.legislation.vic.gov.au/as-made/acts/professional-engineers-registration-act-2019"</w:instrText>
            </w:r>
            <w:r>
              <w:rPr>
                <w:i/>
                <w:iCs/>
              </w:rPr>
            </w:r>
            <w:r>
              <w:rPr>
                <w:i/>
                <w:iCs/>
              </w:rPr>
              <w:fldChar w:fldCharType="separate"/>
            </w:r>
            <w:r w:rsidR="00E6194D" w:rsidRPr="001D3045">
              <w:rPr>
                <w:rStyle w:val="Hyperlink"/>
                <w:rFonts w:eastAsiaTheme="minorEastAsia"/>
                <w:i/>
                <w:iCs/>
                <w:spacing w:val="0"/>
                <w:szCs w:val="20"/>
                <w:lang w:eastAsia="en-AU"/>
              </w:rPr>
              <w:t>Professional Engineers Registration Act 2019</w:t>
            </w:r>
            <w:r>
              <w:rPr>
                <w:i/>
                <w:iCs/>
              </w:rPr>
              <w:fldChar w:fldCharType="end"/>
            </w:r>
          </w:p>
          <w:bookmarkStart w:id="69" w:name="OLE_LINK27"/>
          <w:bookmarkStart w:id="70" w:name="OLE_LINK28"/>
          <w:bookmarkEnd w:id="67"/>
          <w:bookmarkEnd w:id="68"/>
          <w:p w14:paraId="244933DA" w14:textId="2F07272C" w:rsidR="00E6194D" w:rsidRPr="00814773" w:rsidRDefault="001259A9" w:rsidP="001D2615">
            <w:pPr>
              <w:pStyle w:val="Tablebullet"/>
              <w:cnfStyle w:val="000000000000" w:firstRow="0" w:lastRow="0" w:firstColumn="0" w:lastColumn="0" w:oddVBand="0" w:evenVBand="0" w:oddHBand="0" w:evenHBand="0" w:firstRowFirstColumn="0" w:firstRowLastColumn="0" w:lastRowFirstColumn="0" w:lastRowLastColumn="0"/>
            </w:pPr>
            <w:r>
              <w:fldChar w:fldCharType="begin"/>
            </w:r>
            <w:r>
              <w:instrText>HYPERLINK "https://www.vba.vic.gov.au/__data/assets/pdf_file/0019/134290/Advisory-note-Prohibition-of-High-Risk-Cladding.pdf"</w:instrText>
            </w:r>
            <w:r>
              <w:fldChar w:fldCharType="separate"/>
            </w:r>
            <w:r w:rsidR="00E6194D" w:rsidRPr="001259A9">
              <w:rPr>
                <w:rStyle w:val="Hyperlink"/>
                <w:rFonts w:eastAsiaTheme="minorEastAsia"/>
                <w:spacing w:val="0"/>
                <w:szCs w:val="20"/>
                <w:lang w:eastAsia="en-AU"/>
              </w:rPr>
              <w:t>Prohibition of High-Risk Cladding Products Declaration</w:t>
            </w:r>
            <w:bookmarkEnd w:id="69"/>
            <w:bookmarkEnd w:id="70"/>
            <w:r>
              <w:fldChar w:fldCharType="end"/>
            </w:r>
          </w:p>
        </w:tc>
      </w:tr>
      <w:tr w:rsidR="00E6194D" w14:paraId="5689725F" w14:textId="77777777" w:rsidTr="00EF6E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50675319" w14:textId="651999FC" w:rsidR="00E6194D" w:rsidRPr="00155430" w:rsidRDefault="00E6194D" w:rsidP="005B2F3D">
            <w:pPr>
              <w:pStyle w:val="Tabletext"/>
            </w:pPr>
            <w:r>
              <w:t>A</w:t>
            </w:r>
            <w:r w:rsidRPr="007E17F8">
              <w:t>ddresses industrial relations issues to ensure fair work practices and payment is upheld</w:t>
            </w:r>
          </w:p>
        </w:tc>
        <w:bookmarkStart w:id="71" w:name="OLE_LINK29"/>
        <w:bookmarkStart w:id="72" w:name="OLE_LINK30"/>
        <w:tc>
          <w:tcPr>
            <w:tcW w:w="5040" w:type="dxa"/>
          </w:tcPr>
          <w:p w14:paraId="26EBC338" w14:textId="264E93E6" w:rsidR="00E6194D" w:rsidRPr="00171CF8" w:rsidRDefault="003024B8" w:rsidP="001D2615">
            <w:pPr>
              <w:pStyle w:val="Tablebullet"/>
              <w:cnfStyle w:val="000000010000" w:firstRow="0" w:lastRow="0" w:firstColumn="0" w:lastColumn="0" w:oddVBand="0" w:evenVBand="0" w:oddHBand="0" w:evenHBand="1" w:firstRowFirstColumn="0" w:firstRowLastColumn="0" w:lastRowFirstColumn="0" w:lastRowLastColumn="0"/>
              <w:rPr>
                <w:i/>
                <w:iCs/>
              </w:rPr>
            </w:pPr>
            <w:r>
              <w:rPr>
                <w:i/>
                <w:iCs/>
              </w:rPr>
              <w:fldChar w:fldCharType="begin"/>
            </w:r>
            <w:r>
              <w:rPr>
                <w:i/>
                <w:iCs/>
              </w:rPr>
              <w:instrText>HYPERLINK "https://www.legislation.vic.gov.au/in-force/acts/building-and-construction-industry-security-payment-act-2002/013"</w:instrText>
            </w:r>
            <w:r>
              <w:rPr>
                <w:i/>
                <w:iCs/>
              </w:rPr>
            </w:r>
            <w:r>
              <w:rPr>
                <w:i/>
                <w:iCs/>
              </w:rPr>
              <w:fldChar w:fldCharType="separate"/>
            </w:r>
            <w:r w:rsidR="00E6194D" w:rsidRPr="003024B8">
              <w:rPr>
                <w:rStyle w:val="Hyperlink"/>
                <w:rFonts w:eastAsiaTheme="minorEastAsia"/>
                <w:i/>
                <w:iCs/>
                <w:spacing w:val="0"/>
                <w:szCs w:val="20"/>
                <w:lang w:eastAsia="en-AU"/>
              </w:rPr>
              <w:t>Building and Construction Industry Security of Payment Act 2002</w:t>
            </w:r>
            <w:r>
              <w:rPr>
                <w:i/>
                <w:iCs/>
              </w:rPr>
              <w:fldChar w:fldCharType="end"/>
            </w:r>
          </w:p>
          <w:bookmarkEnd w:id="71"/>
          <w:bookmarkEnd w:id="72"/>
          <w:p w14:paraId="3DAD0CB7" w14:textId="64D61C27" w:rsidR="00E6194D" w:rsidRPr="00814773" w:rsidRDefault="002C1676" w:rsidP="001D2615">
            <w:pPr>
              <w:pStyle w:val="Tablebullet"/>
              <w:cnfStyle w:val="000000010000" w:firstRow="0" w:lastRow="0" w:firstColumn="0" w:lastColumn="0" w:oddVBand="0" w:evenVBand="0" w:oddHBand="0" w:evenHBand="1" w:firstRowFirstColumn="0" w:firstRowLastColumn="0" w:lastRowFirstColumn="0" w:lastRowLastColumn="0"/>
            </w:pPr>
            <w:r>
              <w:fldChar w:fldCharType="begin"/>
            </w:r>
            <w:r>
              <w:instrText>HYPERLINK "https://www.buyingfor.vic.gov.au/fair-jobs-code-suppliers-and-businesses"</w:instrText>
            </w:r>
            <w:r>
              <w:fldChar w:fldCharType="separate"/>
            </w:r>
            <w:r w:rsidR="00E6194D" w:rsidRPr="002C1676">
              <w:rPr>
                <w:rStyle w:val="Hyperlink"/>
                <w:rFonts w:eastAsiaTheme="minorEastAsia"/>
                <w:spacing w:val="0"/>
                <w:szCs w:val="20"/>
                <w:lang w:eastAsia="en-AU"/>
              </w:rPr>
              <w:t>Fair Jobs Code</w:t>
            </w:r>
            <w:r>
              <w:fldChar w:fldCharType="end"/>
            </w:r>
          </w:p>
          <w:p w14:paraId="32CDAC5C" w14:textId="5FC2790D" w:rsidR="00E6194D" w:rsidRPr="00214243" w:rsidRDefault="00214243" w:rsidP="001D2615">
            <w:pPr>
              <w:pStyle w:val="Tablebullet"/>
              <w:cnfStyle w:val="000000010000" w:firstRow="0" w:lastRow="0" w:firstColumn="0" w:lastColumn="0" w:oddVBand="0" w:evenVBand="0" w:oddHBand="0" w:evenHBand="1" w:firstRowFirstColumn="0" w:firstRowLastColumn="0" w:lastRowFirstColumn="0" w:lastRowLastColumn="0"/>
              <w:rPr>
                <w:rStyle w:val="Hyperlink"/>
              </w:rPr>
            </w:pPr>
            <w:r>
              <w:t xml:space="preserve">Victorian Government </w:t>
            </w:r>
            <w:r>
              <w:fldChar w:fldCharType="begin"/>
            </w:r>
            <w:r>
              <w:rPr>
                <w:rFonts w:eastAsiaTheme="minorEastAsia"/>
                <w:spacing w:val="0"/>
                <w:szCs w:val="20"/>
                <w:lang w:eastAsia="en-AU"/>
              </w:rPr>
              <w:instrText xml:space="preserve">HYPERLINK </w:instrText>
            </w:r>
            <w:r>
              <w:instrText>"https://djpr.vic.gov.au/__data/assets/pdf_file/0003/1955730/Victorian-Government-Fair-Payments-Policy.pdf"</w:instrText>
            </w:r>
            <w:r>
              <w:fldChar w:fldCharType="separate"/>
            </w:r>
            <w:r w:rsidR="00E6194D" w:rsidRPr="0033748E">
              <w:rPr>
                <w:rStyle w:val="Hyperlink"/>
              </w:rPr>
              <w:t>Fair Payments Policy</w:t>
            </w:r>
          </w:p>
          <w:p w14:paraId="175A2422" w14:textId="09C37D16" w:rsidR="00E6194D" w:rsidRPr="00814773" w:rsidRDefault="00214243" w:rsidP="001D2615">
            <w:pPr>
              <w:pStyle w:val="Tablebullet"/>
              <w:cnfStyle w:val="000000010000" w:firstRow="0" w:lastRow="0" w:firstColumn="0" w:lastColumn="0" w:oddVBand="0" w:evenVBand="0" w:oddHBand="0" w:evenHBand="1" w:firstRowFirstColumn="0" w:firstRowLastColumn="0" w:lastRowFirstColumn="0" w:lastRowLastColumn="0"/>
            </w:pPr>
            <w:r>
              <w:fldChar w:fldCharType="end"/>
            </w:r>
            <w:hyperlink r:id="rId71" w:history="1">
              <w:r w:rsidR="00517741">
                <w:rPr>
                  <w:rStyle w:val="Hyperlink"/>
                </w:rPr>
                <w:t>Tip Truck Owner Drivers Policy</w:t>
              </w:r>
            </w:hyperlink>
          </w:p>
          <w:bookmarkStart w:id="73" w:name="OLE_LINK31"/>
          <w:bookmarkStart w:id="74" w:name="OLE_LINK32"/>
          <w:p w14:paraId="7828F69A" w14:textId="23AC124D" w:rsidR="00E6194D" w:rsidRPr="00171CF8" w:rsidRDefault="005D4642" w:rsidP="001D2615">
            <w:pPr>
              <w:pStyle w:val="Tablebullet"/>
              <w:cnfStyle w:val="000000010000" w:firstRow="0" w:lastRow="0" w:firstColumn="0" w:lastColumn="0" w:oddVBand="0" w:evenVBand="0" w:oddHBand="0" w:evenHBand="1" w:firstRowFirstColumn="0" w:firstRowLastColumn="0" w:lastRowFirstColumn="0" w:lastRowLastColumn="0"/>
              <w:rPr>
                <w:i/>
                <w:iCs/>
              </w:rPr>
            </w:pPr>
            <w:r>
              <w:rPr>
                <w:i/>
                <w:iCs/>
              </w:rPr>
              <w:fldChar w:fldCharType="begin"/>
            </w:r>
            <w:r>
              <w:rPr>
                <w:i/>
                <w:iCs/>
              </w:rPr>
              <w:instrText>HYPERLINK "https://www.legislation.gov.au/C2004A00109/2010-04-15/text"</w:instrText>
            </w:r>
            <w:r>
              <w:rPr>
                <w:i/>
                <w:iCs/>
              </w:rPr>
            </w:r>
            <w:r>
              <w:rPr>
                <w:i/>
                <w:iCs/>
              </w:rPr>
              <w:fldChar w:fldCharType="separate"/>
            </w:r>
            <w:r w:rsidR="00E6194D" w:rsidRPr="005D4642">
              <w:rPr>
                <w:rStyle w:val="Hyperlink"/>
                <w:rFonts w:eastAsiaTheme="minorEastAsia"/>
                <w:i/>
                <w:iCs/>
                <w:spacing w:val="0"/>
                <w:szCs w:val="20"/>
                <w:lang w:eastAsia="en-AU"/>
              </w:rPr>
              <w:t>Trade Practices Act 1974</w:t>
            </w:r>
            <w:bookmarkEnd w:id="73"/>
            <w:bookmarkEnd w:id="74"/>
            <w:r>
              <w:rPr>
                <w:i/>
                <w:iCs/>
              </w:rPr>
              <w:fldChar w:fldCharType="end"/>
            </w:r>
          </w:p>
        </w:tc>
      </w:tr>
      <w:tr w:rsidR="00E6194D" w14:paraId="1C1E9FF8" w14:textId="77777777" w:rsidTr="00EF6EC7">
        <w:tc>
          <w:tcPr>
            <w:cnfStyle w:val="001000000000" w:firstRow="0" w:lastRow="0" w:firstColumn="1" w:lastColumn="0" w:oddVBand="0" w:evenVBand="0" w:oddHBand="0" w:evenHBand="0" w:firstRowFirstColumn="0" w:firstRowLastColumn="0" w:lastRowFirstColumn="0" w:lastRowLastColumn="0"/>
            <w:tcW w:w="3258" w:type="dxa"/>
          </w:tcPr>
          <w:p w14:paraId="7438381F" w14:textId="1FCE1C28" w:rsidR="00E6194D" w:rsidRDefault="00E6194D" w:rsidP="00171CF8">
            <w:pPr>
              <w:pStyle w:val="Tabletext"/>
            </w:pPr>
            <w:r>
              <w:t>S</w:t>
            </w:r>
            <w:r w:rsidRPr="00155430">
              <w:t>ets rules and requirements to optimise social, environmental and economic values in the outcomes of government procurement</w:t>
            </w:r>
          </w:p>
        </w:tc>
        <w:tc>
          <w:tcPr>
            <w:tcW w:w="5040" w:type="dxa"/>
          </w:tcPr>
          <w:p w14:paraId="2BCDEAE2" w14:textId="40C8CC26" w:rsidR="00E6194D" w:rsidRPr="00814773" w:rsidRDefault="00894832" w:rsidP="001D2615">
            <w:pPr>
              <w:pStyle w:val="Tablebullet"/>
              <w:cnfStyle w:val="000000000000" w:firstRow="0" w:lastRow="0" w:firstColumn="0" w:lastColumn="0" w:oddVBand="0" w:evenVBand="0" w:oddHBand="0" w:evenHBand="0" w:firstRowFirstColumn="0" w:firstRowLastColumn="0" w:lastRowFirstColumn="0" w:lastRowLastColumn="0"/>
            </w:pPr>
            <w:hyperlink r:id="rId72" w:history="1">
              <w:r w:rsidR="00E6194D" w:rsidRPr="00286DA3">
                <w:rPr>
                  <w:rStyle w:val="Hyperlink"/>
                  <w:rFonts w:eastAsiaTheme="minorEastAsia"/>
                  <w:spacing w:val="0"/>
                  <w:szCs w:val="20"/>
                  <w:lang w:eastAsia="en-AU"/>
                </w:rPr>
                <w:t>Building Equality Policy</w:t>
              </w:r>
            </w:hyperlink>
          </w:p>
          <w:bookmarkStart w:id="75" w:name="OLE_LINK33"/>
          <w:bookmarkStart w:id="76" w:name="OLE_LINK34"/>
          <w:p w14:paraId="15B8B00E" w14:textId="4CEE65C6" w:rsidR="00E6194D" w:rsidRPr="00814773" w:rsidRDefault="00B725F6" w:rsidP="001D2615">
            <w:pPr>
              <w:pStyle w:val="Tablebullet"/>
              <w:cnfStyle w:val="000000000000" w:firstRow="0" w:lastRow="0" w:firstColumn="0" w:lastColumn="0" w:oddVBand="0" w:evenVBand="0" w:oddHBand="0" w:evenHBand="0" w:firstRowFirstColumn="0" w:firstRowLastColumn="0" w:lastRowFirstColumn="0" w:lastRowLastColumn="0"/>
            </w:pPr>
            <w:r>
              <w:fldChar w:fldCharType="begin"/>
            </w:r>
            <w:r>
              <w:instrText>HYPERLINK "https://www.data.vic.gov.au/datavic-access-policy"</w:instrText>
            </w:r>
            <w:r>
              <w:fldChar w:fldCharType="separate"/>
            </w:r>
            <w:r w:rsidR="00E6194D" w:rsidRPr="00B725F6">
              <w:rPr>
                <w:rStyle w:val="Hyperlink"/>
                <w:rFonts w:eastAsiaTheme="minorEastAsia"/>
                <w:spacing w:val="0"/>
                <w:szCs w:val="20"/>
                <w:lang w:eastAsia="en-AU"/>
              </w:rPr>
              <w:t>DataVic Access Policy</w:t>
            </w:r>
            <w:r>
              <w:fldChar w:fldCharType="end"/>
            </w:r>
          </w:p>
          <w:bookmarkEnd w:id="75"/>
          <w:bookmarkEnd w:id="76"/>
          <w:p w14:paraId="6946B54B" w14:textId="6708D187" w:rsidR="00E6194D" w:rsidRPr="00814773" w:rsidRDefault="00A6760B" w:rsidP="001D2615">
            <w:pPr>
              <w:pStyle w:val="Tablebullet"/>
              <w:cnfStyle w:val="000000000000" w:firstRow="0" w:lastRow="0" w:firstColumn="0" w:lastColumn="0" w:oddVBand="0" w:evenVBand="0" w:oddHBand="0" w:evenHBand="0" w:firstRowFirstColumn="0" w:firstRowLastColumn="0" w:lastRowFirstColumn="0" w:lastRowLastColumn="0"/>
            </w:pPr>
            <w:r>
              <w:fldChar w:fldCharType="begin"/>
            </w:r>
            <w:r>
              <w:instrText>HYPERLINK "https://www.dtf.vic.gov.au/investment-lifecycle-and-high-value-high-risk-guidelines/stage-1-business-case"</w:instrText>
            </w:r>
            <w:r>
              <w:fldChar w:fldCharType="separate"/>
            </w:r>
            <w:r w:rsidR="00E6194D" w:rsidRPr="00A6760B">
              <w:rPr>
                <w:rStyle w:val="Hyperlink"/>
                <w:rFonts w:eastAsiaTheme="minorEastAsia"/>
                <w:spacing w:val="0"/>
                <w:szCs w:val="20"/>
                <w:lang w:eastAsia="en-AU"/>
              </w:rPr>
              <w:t>Digital Asset Policy</w:t>
            </w:r>
            <w:r>
              <w:fldChar w:fldCharType="end"/>
            </w:r>
          </w:p>
          <w:bookmarkStart w:id="77" w:name="OLE_LINK35"/>
          <w:bookmarkStart w:id="78" w:name="OLE_LINK36"/>
          <w:p w14:paraId="58A5DE87" w14:textId="04A3C21C" w:rsidR="00E6194D" w:rsidRPr="00171CF8" w:rsidRDefault="000A3949" w:rsidP="001D2615">
            <w:pPr>
              <w:pStyle w:val="Tablebullet"/>
              <w:cnfStyle w:val="000000000000" w:firstRow="0" w:lastRow="0" w:firstColumn="0" w:lastColumn="0" w:oddVBand="0" w:evenVBand="0" w:oddHBand="0" w:evenHBand="0" w:firstRowFirstColumn="0" w:firstRowLastColumn="0" w:lastRowFirstColumn="0" w:lastRowLastColumn="0"/>
              <w:rPr>
                <w:i/>
                <w:iCs/>
              </w:rPr>
            </w:pPr>
            <w:r>
              <w:rPr>
                <w:i/>
                <w:iCs/>
              </w:rPr>
              <w:fldChar w:fldCharType="begin"/>
            </w:r>
            <w:r>
              <w:rPr>
                <w:i/>
                <w:iCs/>
              </w:rPr>
              <w:instrText>HYPERLINK "https://www.legislation.vic.gov.au/as-made/acts/gender-equality-act-2020"</w:instrText>
            </w:r>
            <w:r>
              <w:rPr>
                <w:i/>
                <w:iCs/>
              </w:rPr>
            </w:r>
            <w:r>
              <w:rPr>
                <w:i/>
                <w:iCs/>
              </w:rPr>
              <w:fldChar w:fldCharType="separate"/>
            </w:r>
            <w:r w:rsidR="00E6194D" w:rsidRPr="000A3949">
              <w:rPr>
                <w:rStyle w:val="Hyperlink"/>
                <w:rFonts w:eastAsiaTheme="minorEastAsia"/>
                <w:i/>
                <w:iCs/>
                <w:spacing w:val="0"/>
                <w:szCs w:val="20"/>
                <w:lang w:eastAsia="en-AU"/>
              </w:rPr>
              <w:t>Gender Equ</w:t>
            </w:r>
            <w:r w:rsidR="000A04F7" w:rsidRPr="000A3949">
              <w:rPr>
                <w:rStyle w:val="Hyperlink"/>
                <w:i/>
                <w:iCs/>
              </w:rPr>
              <w:t>ali</w:t>
            </w:r>
            <w:r w:rsidR="00E6194D" w:rsidRPr="000A3949">
              <w:rPr>
                <w:rStyle w:val="Hyperlink"/>
                <w:i/>
                <w:iCs/>
              </w:rPr>
              <w:t>ty Act 2020</w:t>
            </w:r>
            <w:bookmarkEnd w:id="77"/>
            <w:bookmarkEnd w:id="78"/>
            <w:r>
              <w:rPr>
                <w:i/>
                <w:iCs/>
              </w:rPr>
              <w:fldChar w:fldCharType="end"/>
            </w:r>
          </w:p>
          <w:bookmarkStart w:id="79" w:name="OLE_LINK37"/>
          <w:bookmarkStart w:id="80" w:name="OLE_LINK38"/>
          <w:p w14:paraId="6E56CA8A" w14:textId="3710AE5D" w:rsidR="00E6194D" w:rsidRPr="00E045A6" w:rsidRDefault="006345D5" w:rsidP="001D2615">
            <w:pPr>
              <w:pStyle w:val="Tablebullet"/>
              <w:cnfStyle w:val="000000000000" w:firstRow="0" w:lastRow="0" w:firstColumn="0" w:lastColumn="0" w:oddVBand="0" w:evenVBand="0" w:oddHBand="0" w:evenHBand="0" w:firstRowFirstColumn="0" w:firstRowLastColumn="0" w:lastRowFirstColumn="0" w:lastRowLastColumn="0"/>
              <w:rPr>
                <w:i/>
                <w:iCs/>
              </w:rPr>
            </w:pPr>
            <w:r>
              <w:rPr>
                <w:i/>
                <w:iCs/>
              </w:rPr>
              <w:fldChar w:fldCharType="begin"/>
            </w:r>
            <w:r>
              <w:rPr>
                <w:i/>
                <w:iCs/>
              </w:rPr>
              <w:instrText>HYPERLINK "https://www.legislation.vic.gov.au/in-force/acts/local-jobs-first-act-2003/007"</w:instrText>
            </w:r>
            <w:r>
              <w:rPr>
                <w:i/>
                <w:iCs/>
              </w:rPr>
            </w:r>
            <w:r>
              <w:rPr>
                <w:i/>
                <w:iCs/>
              </w:rPr>
              <w:fldChar w:fldCharType="separate"/>
            </w:r>
            <w:r w:rsidR="00E6194D" w:rsidRPr="006345D5">
              <w:rPr>
                <w:rStyle w:val="Hyperlink"/>
                <w:rFonts w:eastAsiaTheme="minorEastAsia"/>
                <w:i/>
                <w:iCs/>
                <w:spacing w:val="0"/>
                <w:szCs w:val="20"/>
                <w:lang w:eastAsia="en-AU"/>
              </w:rPr>
              <w:t>Local Jobs First Act</w:t>
            </w:r>
            <w:r w:rsidR="00E21B26" w:rsidRPr="006345D5">
              <w:rPr>
                <w:rStyle w:val="Hyperlink"/>
                <w:i/>
                <w:iCs/>
              </w:rPr>
              <w:t xml:space="preserve"> 2003</w:t>
            </w:r>
            <w:r>
              <w:rPr>
                <w:i/>
                <w:iCs/>
              </w:rPr>
              <w:fldChar w:fldCharType="end"/>
            </w:r>
          </w:p>
          <w:bookmarkStart w:id="81" w:name="OLE_LINK41"/>
          <w:bookmarkStart w:id="82" w:name="OLE_LINK42"/>
          <w:bookmarkEnd w:id="79"/>
          <w:bookmarkEnd w:id="80"/>
          <w:p w14:paraId="12A506BF" w14:textId="5ABA561C" w:rsidR="00E6194D" w:rsidRPr="00814773" w:rsidRDefault="00DA176E" w:rsidP="001D2615">
            <w:pPr>
              <w:pStyle w:val="Tablebullet"/>
              <w:cnfStyle w:val="000000000000" w:firstRow="0" w:lastRow="0" w:firstColumn="0" w:lastColumn="0" w:oddVBand="0" w:evenVBand="0" w:oddHBand="0" w:evenHBand="0" w:firstRowFirstColumn="0" w:firstRowLastColumn="0" w:lastRowFirstColumn="0" w:lastRowLastColumn="0"/>
            </w:pPr>
            <w:r>
              <w:fldChar w:fldCharType="begin"/>
            </w:r>
            <w:r>
              <w:instrText>HYPERLINK "https://ovic.vic.gov.au/information-security/standards/"</w:instrText>
            </w:r>
            <w:r>
              <w:fldChar w:fldCharType="separate"/>
            </w:r>
            <w:r w:rsidR="005561D3" w:rsidRPr="00DA176E">
              <w:rPr>
                <w:rStyle w:val="Hyperlink"/>
                <w:rFonts w:eastAsiaTheme="minorEastAsia"/>
                <w:spacing w:val="0"/>
                <w:szCs w:val="20"/>
                <w:lang w:eastAsia="en-AU"/>
              </w:rPr>
              <w:t xml:space="preserve">Victorian </w:t>
            </w:r>
            <w:bookmarkStart w:id="83" w:name="OLE_LINK43"/>
            <w:bookmarkStart w:id="84" w:name="OLE_LINK44"/>
            <w:r w:rsidR="00E6194D" w:rsidRPr="00DA176E">
              <w:rPr>
                <w:rStyle w:val="Hyperlink"/>
              </w:rPr>
              <w:t>Protective Data Security Standards</w:t>
            </w:r>
            <w:bookmarkEnd w:id="83"/>
            <w:bookmarkEnd w:id="84"/>
            <w:r>
              <w:fldChar w:fldCharType="end"/>
            </w:r>
          </w:p>
          <w:bookmarkStart w:id="85" w:name="OLE_LINK47"/>
          <w:bookmarkStart w:id="86" w:name="OLE_LINK48"/>
          <w:bookmarkEnd w:id="81"/>
          <w:bookmarkEnd w:id="82"/>
          <w:p w14:paraId="6000958B" w14:textId="204C8B39" w:rsidR="00E6194D" w:rsidRPr="00814773" w:rsidRDefault="00DF03A3" w:rsidP="001D2615">
            <w:pPr>
              <w:pStyle w:val="Tablebullet"/>
              <w:cnfStyle w:val="000000000000" w:firstRow="0" w:lastRow="0" w:firstColumn="0" w:lastColumn="0" w:oddVBand="0" w:evenVBand="0" w:oddHBand="0" w:evenHBand="0" w:firstRowFirstColumn="0" w:firstRowLastColumn="0" w:lastRowFirstColumn="0" w:lastRowLastColumn="0"/>
            </w:pPr>
            <w:r>
              <w:fldChar w:fldCharType="begin"/>
            </w:r>
            <w:r>
              <w:instrText>HYPERLINK "https://bigbuild.vic.gov.au/about/ecologiq/recycled-first-policy"</w:instrText>
            </w:r>
            <w:r>
              <w:fldChar w:fldCharType="separate"/>
            </w:r>
            <w:r w:rsidR="00E6194D" w:rsidRPr="00DF03A3">
              <w:rPr>
                <w:rStyle w:val="Hyperlink"/>
                <w:rFonts w:eastAsiaTheme="minorEastAsia"/>
                <w:spacing w:val="0"/>
                <w:szCs w:val="20"/>
                <w:lang w:eastAsia="en-AU"/>
              </w:rPr>
              <w:t>Recycled First Policy</w:t>
            </w:r>
            <w:r>
              <w:fldChar w:fldCharType="end"/>
            </w:r>
          </w:p>
          <w:bookmarkStart w:id="87" w:name="OLE_LINK49"/>
          <w:bookmarkStart w:id="88" w:name="OLE_LINK50"/>
          <w:bookmarkEnd w:id="85"/>
          <w:bookmarkEnd w:id="86"/>
          <w:p w14:paraId="1175CC44" w14:textId="6D7A0A42" w:rsidR="00E6194D" w:rsidRPr="00814773" w:rsidRDefault="005909FA" w:rsidP="001D2615">
            <w:pPr>
              <w:pStyle w:val="Tablebullet"/>
              <w:cnfStyle w:val="000000000000" w:firstRow="0" w:lastRow="0" w:firstColumn="0" w:lastColumn="0" w:oddVBand="0" w:evenVBand="0" w:oddHBand="0" w:evenHBand="0" w:firstRowFirstColumn="0" w:firstRowLastColumn="0" w:lastRowFirstColumn="0" w:lastRowLastColumn="0"/>
            </w:pPr>
            <w:r>
              <w:fldChar w:fldCharType="begin"/>
            </w:r>
            <w:r>
              <w:instrText>HYPERLINK "https://www.buyingfor.vic.gov.au/social-procurement-framework"</w:instrText>
            </w:r>
            <w:r>
              <w:fldChar w:fldCharType="separate"/>
            </w:r>
            <w:r w:rsidR="00E6194D" w:rsidRPr="005909FA">
              <w:rPr>
                <w:rStyle w:val="Hyperlink"/>
                <w:rFonts w:eastAsiaTheme="minorEastAsia"/>
                <w:spacing w:val="0"/>
                <w:szCs w:val="20"/>
                <w:lang w:eastAsia="en-AU"/>
              </w:rPr>
              <w:t xml:space="preserve">Social Procurement </w:t>
            </w:r>
            <w:r w:rsidR="00DD2684" w:rsidRPr="005909FA">
              <w:rPr>
                <w:rStyle w:val="Hyperlink"/>
              </w:rPr>
              <w:t>F</w:t>
            </w:r>
            <w:r w:rsidR="00E6194D" w:rsidRPr="005909FA">
              <w:rPr>
                <w:rStyle w:val="Hyperlink"/>
              </w:rPr>
              <w:t>ramework</w:t>
            </w:r>
            <w:r>
              <w:fldChar w:fldCharType="end"/>
            </w:r>
          </w:p>
          <w:bookmarkStart w:id="89" w:name="OLE_LINK51"/>
          <w:bookmarkStart w:id="90" w:name="OLE_LINK52"/>
          <w:bookmarkEnd w:id="87"/>
          <w:bookmarkEnd w:id="88"/>
          <w:p w14:paraId="6F2A0D37" w14:textId="1F43116E" w:rsidR="00E6194D" w:rsidRPr="00814773" w:rsidRDefault="005909FA" w:rsidP="001D2615">
            <w:pPr>
              <w:pStyle w:val="Tablebullet"/>
              <w:cnfStyle w:val="000000000000" w:firstRow="0" w:lastRow="0" w:firstColumn="0" w:lastColumn="0" w:oddVBand="0" w:evenVBand="0" w:oddHBand="0" w:evenHBand="0" w:firstRowFirstColumn="0" w:firstRowLastColumn="0" w:lastRowFirstColumn="0" w:lastRowLastColumn="0"/>
            </w:pPr>
            <w:r>
              <w:fldChar w:fldCharType="begin"/>
            </w:r>
            <w:r>
              <w:instrText>HYPERLINK "https://www.buyingfor.vic.gov.au/supplier-code-conduct"</w:instrText>
            </w:r>
            <w:r>
              <w:fldChar w:fldCharType="separate"/>
            </w:r>
            <w:r w:rsidR="00E6194D" w:rsidRPr="005909FA">
              <w:rPr>
                <w:rStyle w:val="Hyperlink"/>
                <w:rFonts w:eastAsiaTheme="minorEastAsia"/>
                <w:spacing w:val="0"/>
                <w:szCs w:val="20"/>
                <w:lang w:eastAsia="en-AU"/>
              </w:rPr>
              <w:t>Supplier Code of Conduct</w:t>
            </w:r>
            <w:r>
              <w:fldChar w:fldCharType="end"/>
            </w:r>
          </w:p>
          <w:bookmarkStart w:id="91" w:name="OLE_LINK53"/>
          <w:bookmarkStart w:id="92" w:name="OLE_LINK54"/>
          <w:bookmarkEnd w:id="89"/>
          <w:bookmarkEnd w:id="90"/>
          <w:p w14:paraId="3B49DFE1" w14:textId="14142136" w:rsidR="00E6194D" w:rsidRPr="00814773" w:rsidRDefault="00B03A3F" w:rsidP="001D2615">
            <w:pPr>
              <w:pStyle w:val="Tablebullet"/>
              <w:cnfStyle w:val="000000000000" w:firstRow="0" w:lastRow="0" w:firstColumn="0" w:lastColumn="0" w:oddVBand="0" w:evenVBand="0" w:oddHBand="0" w:evenHBand="0" w:firstRowFirstColumn="0" w:firstRowLastColumn="0" w:lastRowFirstColumn="0" w:lastRowLastColumn="0"/>
            </w:pPr>
            <w:r>
              <w:fldChar w:fldCharType="begin"/>
            </w:r>
            <w:r>
              <w:instrText>HYPERLINK "https://www.vic.gov.au/value-creation-and-capture-framework"</w:instrText>
            </w:r>
            <w:r>
              <w:fldChar w:fldCharType="separate"/>
            </w:r>
            <w:r w:rsidR="001A5D02" w:rsidRPr="00B03A3F">
              <w:rPr>
                <w:rStyle w:val="Hyperlink"/>
                <w:rFonts w:eastAsiaTheme="minorEastAsia"/>
                <w:spacing w:val="0"/>
                <w:szCs w:val="20"/>
                <w:lang w:eastAsia="en-AU"/>
              </w:rPr>
              <w:t xml:space="preserve">Victoria’s </w:t>
            </w:r>
            <w:bookmarkStart w:id="93" w:name="OLE_LINK55"/>
            <w:bookmarkStart w:id="94" w:name="OLE_LINK56"/>
            <w:r w:rsidR="00E6194D" w:rsidRPr="00B03A3F">
              <w:rPr>
                <w:rStyle w:val="Hyperlink"/>
              </w:rPr>
              <w:t>Value Creation and Capture Framework</w:t>
            </w:r>
            <w:bookmarkEnd w:id="91"/>
            <w:bookmarkEnd w:id="92"/>
            <w:bookmarkEnd w:id="93"/>
            <w:bookmarkEnd w:id="94"/>
            <w:r>
              <w:fldChar w:fldCharType="end"/>
            </w:r>
          </w:p>
        </w:tc>
      </w:tr>
    </w:tbl>
    <w:p w14:paraId="2439B454" w14:textId="463802D6" w:rsidR="00B935DE" w:rsidRDefault="00B935DE" w:rsidP="00171CF8">
      <w:pPr>
        <w:pStyle w:val="Spacer"/>
      </w:pPr>
      <w:bookmarkStart w:id="95" w:name="_Hlk135727971"/>
    </w:p>
    <w:p w14:paraId="157B5E90" w14:textId="604C9279" w:rsidR="0015052E" w:rsidRPr="00A504C7" w:rsidRDefault="0015052E" w:rsidP="001D2615">
      <w:pPr>
        <w:pStyle w:val="Heading2numbered"/>
      </w:pPr>
      <w:bookmarkStart w:id="96" w:name="_Toc161321751"/>
      <w:bookmarkEnd w:id="28"/>
      <w:bookmarkEnd w:id="95"/>
      <w:r w:rsidRPr="00A504C7">
        <w:t>Project assurance</w:t>
      </w:r>
      <w:bookmarkEnd w:id="96"/>
    </w:p>
    <w:p w14:paraId="38E77369" w14:textId="5B7CA95F" w:rsidR="0015052E" w:rsidRPr="00C5770E" w:rsidRDefault="0015052E" w:rsidP="00834461">
      <w:pPr>
        <w:pStyle w:val="NormalIndent"/>
      </w:pPr>
      <w:r>
        <w:t xml:space="preserve">Project assurance is the </w:t>
      </w:r>
      <w:r w:rsidRPr="00C5770E">
        <w:t>independent monitor</w:t>
      </w:r>
      <w:r>
        <w:t>ing of</w:t>
      </w:r>
      <w:r w:rsidRPr="00C5770E">
        <w:t xml:space="preserve"> project delivery performance against service delivery outcomes</w:t>
      </w:r>
      <w:r>
        <w:t xml:space="preserve"> and</w:t>
      </w:r>
      <w:r w:rsidRPr="00C5770E">
        <w:t xml:space="preserve"> cost and time parameters, to provide </w:t>
      </w:r>
      <w:r w:rsidR="00F11B52">
        <w:t xml:space="preserve">the </w:t>
      </w:r>
      <w:r w:rsidR="009148D4">
        <w:t>G</w:t>
      </w:r>
      <w:r w:rsidRPr="00C5770E">
        <w:t>overnment</w:t>
      </w:r>
      <w:r>
        <w:t xml:space="preserve"> </w:t>
      </w:r>
      <w:r w:rsidRPr="00C5770E">
        <w:t>with confidence that a project is ready to proceed to the next stage of the project lifecycle.</w:t>
      </w:r>
    </w:p>
    <w:p w14:paraId="09EEE847" w14:textId="57BDCD11" w:rsidR="0015052E" w:rsidRPr="0015052E" w:rsidRDefault="0015052E" w:rsidP="001C2DF3">
      <w:pPr>
        <w:pStyle w:val="NormalIndent"/>
        <w:keepNext/>
      </w:pPr>
      <w:r w:rsidRPr="00737D91">
        <w:t>A</w:t>
      </w:r>
      <w:r>
        <w:t>gencies are required to apply a level of a</w:t>
      </w:r>
      <w:r w:rsidRPr="00737D91">
        <w:t xml:space="preserve">ssurance </w:t>
      </w:r>
      <w:r>
        <w:t>to their projects</w:t>
      </w:r>
      <w:r w:rsidRPr="00737D91">
        <w:t xml:space="preserve"> </w:t>
      </w:r>
      <w:r>
        <w:t xml:space="preserve">commensurate with project cost and risk, as outlined in </w:t>
      </w:r>
      <w:r>
        <w:fldChar w:fldCharType="begin" w:fldLock="1"/>
      </w:r>
      <w:r>
        <w:instrText xml:space="preserve"> REF _Ref144236350 \h </w:instrText>
      </w:r>
      <w:r>
        <w:fldChar w:fldCharType="separate"/>
      </w:r>
      <w:r w:rsidR="003D4A19">
        <w:t xml:space="preserve">Table </w:t>
      </w:r>
      <w:r w:rsidR="003D4A19">
        <w:rPr>
          <w:noProof/>
        </w:rPr>
        <w:t>3</w:t>
      </w:r>
      <w:r>
        <w:fldChar w:fldCharType="end"/>
      </w:r>
      <w:r w:rsidR="00792991">
        <w:t>.</w:t>
      </w:r>
    </w:p>
    <w:p w14:paraId="73292BF1" w14:textId="1C9D1527" w:rsidR="0015052E" w:rsidRDefault="0015052E" w:rsidP="00171CF8">
      <w:pPr>
        <w:pStyle w:val="Captionindent"/>
      </w:pPr>
      <w:bookmarkStart w:id="97" w:name="_Ref144236350"/>
      <w:bookmarkStart w:id="98" w:name="_Toc145621351"/>
      <w:bookmarkStart w:id="99" w:name="_Toc146097245"/>
      <w:r>
        <w:t xml:space="preserve">Table </w:t>
      </w:r>
      <w:r>
        <w:fldChar w:fldCharType="begin"/>
      </w:r>
      <w:r>
        <w:instrText>SEQ Table \* ARABIC</w:instrText>
      </w:r>
      <w:r>
        <w:fldChar w:fldCharType="separate"/>
      </w:r>
      <w:r w:rsidR="008A4B3E">
        <w:rPr>
          <w:noProof/>
        </w:rPr>
        <w:t>3</w:t>
      </w:r>
      <w:r>
        <w:fldChar w:fldCharType="end"/>
      </w:r>
      <w:bookmarkEnd w:id="97"/>
      <w:r w:rsidR="00F640CE">
        <w:t xml:space="preserve"> –</w:t>
      </w:r>
      <w:r>
        <w:t xml:space="preserve"> </w:t>
      </w:r>
      <w:r w:rsidRPr="00A26486">
        <w:t>Project assurance requirements by project value</w:t>
      </w:r>
      <w:bookmarkEnd w:id="98"/>
      <w:bookmarkEnd w:id="99"/>
    </w:p>
    <w:tbl>
      <w:tblPr>
        <w:tblStyle w:val="DTFtexttableindent"/>
        <w:tblW w:w="8298" w:type="dxa"/>
        <w:tblLook w:val="04A0" w:firstRow="1" w:lastRow="0" w:firstColumn="1" w:lastColumn="0" w:noHBand="0" w:noVBand="1"/>
      </w:tblPr>
      <w:tblGrid>
        <w:gridCol w:w="2643"/>
        <w:gridCol w:w="2369"/>
        <w:gridCol w:w="3286"/>
      </w:tblGrid>
      <w:tr w:rsidR="005D30F6" w:rsidRPr="003A7257" w14:paraId="40AA934D" w14:textId="77777777" w:rsidTr="005D30F6">
        <w:trPr>
          <w:cnfStyle w:val="100000000000" w:firstRow="1" w:lastRow="0" w:firstColumn="0" w:lastColumn="0" w:oddVBand="0" w:evenVBand="0" w:oddHBand="0" w:evenHBand="0" w:firstRowFirstColumn="0" w:firstRowLastColumn="0" w:lastRowFirstColumn="0" w:lastRowLastColumn="0"/>
          <w:trHeight w:val="583"/>
        </w:trPr>
        <w:tc>
          <w:tcPr>
            <w:cnfStyle w:val="001000000100" w:firstRow="0" w:lastRow="0" w:firstColumn="1" w:lastColumn="0" w:oddVBand="0" w:evenVBand="0" w:oddHBand="0" w:evenHBand="0" w:firstRowFirstColumn="1" w:firstRowLastColumn="0" w:lastRowFirstColumn="0" w:lastRowLastColumn="0"/>
            <w:tcW w:w="0" w:type="dxa"/>
          </w:tcPr>
          <w:p w14:paraId="2D51AFC1" w14:textId="77777777" w:rsidR="0015052E" w:rsidRPr="00851AB1" w:rsidRDefault="0015052E" w:rsidP="00F7602B">
            <w:pPr>
              <w:pStyle w:val="Tableheader"/>
            </w:pPr>
            <w:r w:rsidRPr="00851AB1">
              <w:t>All projects &lt;$10 million</w:t>
            </w:r>
          </w:p>
        </w:tc>
        <w:tc>
          <w:tcPr>
            <w:tcW w:w="0" w:type="dxa"/>
            <w:hideMark/>
          </w:tcPr>
          <w:p w14:paraId="31D04F4A" w14:textId="77777777" w:rsidR="0015052E" w:rsidRPr="00851AB1" w:rsidRDefault="0015052E" w:rsidP="00F7602B">
            <w:pPr>
              <w:pStyle w:val="Tableheader"/>
              <w:cnfStyle w:val="100000000000" w:firstRow="1" w:lastRow="0" w:firstColumn="0" w:lastColumn="0" w:oddVBand="0" w:evenVBand="0" w:oddHBand="0" w:evenHBand="0" w:firstRowFirstColumn="0" w:firstRowLastColumn="0" w:lastRowFirstColumn="0" w:lastRowLastColumn="0"/>
            </w:pPr>
            <w:r w:rsidRPr="00851AB1">
              <w:t>Non-</w:t>
            </w:r>
            <w:r>
              <w:t>HVHR</w:t>
            </w:r>
          </w:p>
          <w:p w14:paraId="1F7E8AFF" w14:textId="77777777" w:rsidR="0015052E" w:rsidRPr="00C85F61" w:rsidRDefault="0015052E" w:rsidP="00F7602B">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85F61">
              <w:rPr>
                <w:rFonts w:asciiTheme="minorHAnsi" w:hAnsiTheme="minorHAnsi"/>
              </w:rPr>
              <w:t>Low risk projects &gt;$10</w:t>
            </w:r>
            <w:r w:rsidRPr="00C85F61">
              <w:rPr>
                <w:rFonts w:ascii="Calibri" w:hAnsi="Calibri" w:cs="Calibri"/>
              </w:rPr>
              <w:t> </w:t>
            </w:r>
            <w:r w:rsidRPr="00C85F61">
              <w:rPr>
                <w:rFonts w:asciiTheme="minorHAnsi" w:hAnsiTheme="minorHAnsi"/>
              </w:rPr>
              <w:t>million and &lt;$250</w:t>
            </w:r>
            <w:r w:rsidRPr="00C85F61">
              <w:rPr>
                <w:rFonts w:ascii="Calibri" w:hAnsi="Calibri" w:cs="Calibri"/>
              </w:rPr>
              <w:t> </w:t>
            </w:r>
            <w:r w:rsidRPr="00C85F61">
              <w:rPr>
                <w:rFonts w:asciiTheme="minorHAnsi" w:hAnsiTheme="minorHAnsi"/>
              </w:rPr>
              <w:t xml:space="preserve">million </w:t>
            </w:r>
          </w:p>
        </w:tc>
        <w:tc>
          <w:tcPr>
            <w:tcW w:w="0" w:type="dxa"/>
          </w:tcPr>
          <w:p w14:paraId="54A72C8E" w14:textId="77777777" w:rsidR="0015052E" w:rsidRDefault="0015052E" w:rsidP="00F7602B">
            <w:pPr>
              <w:pStyle w:val="Tableheader"/>
              <w:cnfStyle w:val="100000000000" w:firstRow="1" w:lastRow="0" w:firstColumn="0" w:lastColumn="0" w:oddVBand="0" w:evenVBand="0" w:oddHBand="0" w:evenHBand="0" w:firstRowFirstColumn="0" w:firstRowLastColumn="0" w:lastRowFirstColumn="0" w:lastRowLastColumn="0"/>
              <w:rPr>
                <w:color w:val="auto"/>
              </w:rPr>
            </w:pPr>
            <w:r>
              <w:rPr>
                <w:color w:val="auto"/>
              </w:rPr>
              <w:t>HVHR</w:t>
            </w:r>
          </w:p>
          <w:p w14:paraId="2C652E36" w14:textId="242EFE36" w:rsidR="0015052E" w:rsidRPr="00C85F61" w:rsidRDefault="0015052E" w:rsidP="00F7602B">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C85F61">
              <w:rPr>
                <w:rFonts w:asciiTheme="minorHAnsi" w:hAnsiTheme="minorHAnsi"/>
                <w:color w:val="auto"/>
              </w:rPr>
              <w:t>Projects</w:t>
            </w:r>
            <w:r w:rsidR="00AE3F0F">
              <w:rPr>
                <w:rFonts w:asciiTheme="minorHAnsi" w:hAnsiTheme="minorHAnsi"/>
                <w:color w:val="auto"/>
              </w:rPr>
              <w:t xml:space="preserve"> </w:t>
            </w:r>
            <w:r w:rsidRPr="00C85F61">
              <w:rPr>
                <w:rFonts w:asciiTheme="minorHAnsi" w:hAnsiTheme="minorHAnsi"/>
                <w:color w:val="auto"/>
              </w:rPr>
              <w:t>&gt;$250</w:t>
            </w:r>
            <w:r>
              <w:rPr>
                <w:rFonts w:ascii="Calibri" w:hAnsi="Calibri" w:cs="Calibri"/>
                <w:color w:val="auto"/>
              </w:rPr>
              <w:t> </w:t>
            </w:r>
            <w:r w:rsidRPr="00C85F61">
              <w:rPr>
                <w:rFonts w:asciiTheme="minorHAnsi" w:hAnsiTheme="minorHAnsi"/>
                <w:color w:val="auto"/>
              </w:rPr>
              <w:t>million or risk-based from $100</w:t>
            </w:r>
            <w:r>
              <w:rPr>
                <w:rFonts w:ascii="Calibri" w:hAnsi="Calibri" w:cs="Calibri"/>
                <w:color w:val="auto"/>
              </w:rPr>
              <w:t> </w:t>
            </w:r>
            <w:r w:rsidRPr="00C85F61">
              <w:rPr>
                <w:rFonts w:asciiTheme="minorHAnsi" w:hAnsiTheme="minorHAnsi"/>
                <w:color w:val="auto"/>
              </w:rPr>
              <w:t>million</w:t>
            </w:r>
          </w:p>
        </w:tc>
      </w:tr>
      <w:tr w:rsidR="0015052E" w:rsidRPr="003A7257" w14:paraId="5B370AC8" w14:textId="77777777" w:rsidTr="005D30F6">
        <w:tc>
          <w:tcPr>
            <w:cnfStyle w:val="001000000000" w:firstRow="0" w:lastRow="0" w:firstColumn="1" w:lastColumn="0" w:oddVBand="0" w:evenVBand="0" w:oddHBand="0" w:evenHBand="0" w:firstRowFirstColumn="0" w:firstRowLastColumn="0" w:lastRowFirstColumn="0" w:lastRowLastColumn="0"/>
            <w:tcW w:w="0" w:type="dxa"/>
          </w:tcPr>
          <w:p w14:paraId="6AE1C7F6" w14:textId="1742BFA3" w:rsidR="0015052E" w:rsidRPr="009547BD" w:rsidRDefault="0015052E" w:rsidP="001D2615">
            <w:pPr>
              <w:pStyle w:val="Tablebullet"/>
              <w:rPr>
                <w:iCs/>
              </w:rPr>
            </w:pPr>
            <w:r>
              <w:t>Portfolio departments and agencies</w:t>
            </w:r>
            <w:r w:rsidRPr="00851AB1">
              <w:t xml:space="preserve"> apply internal assurance processes</w:t>
            </w:r>
          </w:p>
        </w:tc>
        <w:tc>
          <w:tcPr>
            <w:tcW w:w="0" w:type="dxa"/>
            <w:hideMark/>
          </w:tcPr>
          <w:p w14:paraId="72C12425" w14:textId="0FE190C2" w:rsidR="0015052E" w:rsidRPr="003A7257" w:rsidRDefault="0015052E" w:rsidP="001D2615">
            <w:pPr>
              <w:pStyle w:val="Tablebullet"/>
              <w:cnfStyle w:val="000000000000" w:firstRow="0" w:lastRow="0" w:firstColumn="0" w:lastColumn="0" w:oddVBand="0" w:evenVBand="0" w:oddHBand="0" w:evenHBand="0" w:firstRowFirstColumn="0" w:firstRowLastColumn="0" w:lastRowFirstColumn="0" w:lastRowLastColumn="0"/>
            </w:pPr>
            <w:r w:rsidRPr="00851AB1">
              <w:t xml:space="preserve">Central agency oversight through </w:t>
            </w:r>
            <w:bookmarkStart w:id="100" w:name="OLE_LINK63"/>
            <w:bookmarkStart w:id="101" w:name="OLE_LINK64"/>
            <w:r w:rsidRPr="00851AB1">
              <w:t>q</w:t>
            </w:r>
            <w:r w:rsidRPr="003A7257">
              <w:t>uarterly asset investment reporting</w:t>
            </w:r>
            <w:r w:rsidR="00140777">
              <w:t xml:space="preserve"> </w:t>
            </w:r>
            <w:bookmarkEnd w:id="100"/>
            <w:bookmarkEnd w:id="101"/>
            <w:r w:rsidRPr="003A7257">
              <w:t>(QAIR)</w:t>
            </w:r>
          </w:p>
        </w:tc>
        <w:tc>
          <w:tcPr>
            <w:tcW w:w="0" w:type="dxa"/>
          </w:tcPr>
          <w:p w14:paraId="7694A257" w14:textId="77777777" w:rsidR="0015052E" w:rsidRDefault="0015052E" w:rsidP="001D2615">
            <w:pPr>
              <w:pStyle w:val="Tablebullet"/>
              <w:cnfStyle w:val="000000000000" w:firstRow="0" w:lastRow="0" w:firstColumn="0" w:lastColumn="0" w:oddVBand="0" w:evenVBand="0" w:oddHBand="0" w:evenHBand="0" w:firstRowFirstColumn="0" w:firstRowLastColumn="0" w:lastRowFirstColumn="0" w:lastRowLastColumn="0"/>
            </w:pPr>
            <w:r w:rsidRPr="5500A5F5">
              <w:t>Central agency oversight through:</w:t>
            </w:r>
          </w:p>
          <w:p w14:paraId="3F24CA08" w14:textId="0DBA0E99" w:rsidR="0015052E" w:rsidRPr="005B2F3D" w:rsidRDefault="0015052E" w:rsidP="001D2615">
            <w:pPr>
              <w:pStyle w:val="Tabledash"/>
              <w:cnfStyle w:val="000000000000" w:firstRow="0" w:lastRow="0" w:firstColumn="0" w:lastColumn="0" w:oddVBand="0" w:evenVBand="0" w:oddHBand="0" w:evenHBand="0" w:firstRowFirstColumn="0" w:firstRowLastColumn="0" w:lastRowFirstColumn="0" w:lastRowLastColumn="0"/>
            </w:pPr>
            <w:r w:rsidRPr="005B2F3D">
              <w:t>DTF</w:t>
            </w:r>
            <w:r w:rsidR="005149AB">
              <w:t xml:space="preserve">, via </w:t>
            </w:r>
            <w:r w:rsidRPr="005B2F3D">
              <w:t xml:space="preserve">the </w:t>
            </w:r>
            <w:hyperlink r:id="rId73" w:history="1">
              <w:r w:rsidRPr="00DF0961">
                <w:rPr>
                  <w:rStyle w:val="Hyperlink"/>
                  <w:rFonts w:eastAsiaTheme="minorEastAsia"/>
                  <w:spacing w:val="0"/>
                  <w:szCs w:val="20"/>
                  <w:lang w:eastAsia="en-AU"/>
                </w:rPr>
                <w:t xml:space="preserve">HVHR </w:t>
              </w:r>
              <w:r w:rsidR="001F38CF" w:rsidRPr="00DF0961">
                <w:rPr>
                  <w:rStyle w:val="Hyperlink"/>
                </w:rPr>
                <w:t>f</w:t>
              </w:r>
              <w:r w:rsidRPr="00DF0961">
                <w:rPr>
                  <w:rStyle w:val="Hyperlink"/>
                </w:rPr>
                <w:t>ramework</w:t>
              </w:r>
            </w:hyperlink>
          </w:p>
          <w:p w14:paraId="01677A70" w14:textId="4D5E190A" w:rsidR="0015052E" w:rsidRPr="005B2F3D" w:rsidRDefault="00894832" w:rsidP="001D2615">
            <w:pPr>
              <w:pStyle w:val="Tabledash"/>
              <w:cnfStyle w:val="000000000000" w:firstRow="0" w:lastRow="0" w:firstColumn="0" w:lastColumn="0" w:oddVBand="0" w:evenVBand="0" w:oddHBand="0" w:evenHBand="0" w:firstRowFirstColumn="0" w:firstRowLastColumn="0" w:lastRowFirstColumn="0" w:lastRowLastColumn="0"/>
            </w:pPr>
            <w:hyperlink r:id="rId74" w:history="1">
              <w:r w:rsidR="0015052E" w:rsidRPr="00384F7F">
                <w:rPr>
                  <w:rStyle w:val="Hyperlink"/>
                  <w:rFonts w:eastAsiaTheme="minorEastAsia"/>
                  <w:spacing w:val="0"/>
                  <w:szCs w:val="20"/>
                  <w:lang w:eastAsia="en-AU"/>
                </w:rPr>
                <w:t>Whole</w:t>
              </w:r>
              <w:r w:rsidR="00BA6ABD" w:rsidRPr="00384F7F">
                <w:rPr>
                  <w:rStyle w:val="Hyperlink"/>
                </w:rPr>
                <w:t>-</w:t>
              </w:r>
              <w:r w:rsidR="0015052E" w:rsidRPr="00384F7F">
                <w:rPr>
                  <w:rStyle w:val="Hyperlink"/>
                </w:rPr>
                <w:t>of</w:t>
              </w:r>
              <w:r w:rsidR="00BA6ABD" w:rsidRPr="00384F7F">
                <w:rPr>
                  <w:rStyle w:val="Hyperlink"/>
                </w:rPr>
                <w:t>-</w:t>
              </w:r>
              <w:r w:rsidR="0015052E" w:rsidRPr="00384F7F">
                <w:rPr>
                  <w:rStyle w:val="Hyperlink"/>
                </w:rPr>
                <w:t>Life</w:t>
              </w:r>
            </w:hyperlink>
            <w:r w:rsidR="0015052E" w:rsidRPr="005B2F3D">
              <w:t xml:space="preserve"> Requirements (for projects delivered using the Partnerships Victoria procurement model)</w:t>
            </w:r>
          </w:p>
          <w:p w14:paraId="79D0D2E1" w14:textId="3AB6B906" w:rsidR="0015052E" w:rsidRPr="005B2F3D" w:rsidRDefault="00894832" w:rsidP="001D2615">
            <w:pPr>
              <w:pStyle w:val="Tabledash"/>
              <w:cnfStyle w:val="000000000000" w:firstRow="0" w:lastRow="0" w:firstColumn="0" w:lastColumn="0" w:oddVBand="0" w:evenVBand="0" w:oddHBand="0" w:evenHBand="0" w:firstRowFirstColumn="0" w:firstRowLastColumn="0" w:lastRowFirstColumn="0" w:lastRowLastColumn="0"/>
            </w:pPr>
            <w:hyperlink r:id="rId75" w:history="1">
              <w:r w:rsidR="0015052E" w:rsidRPr="00174791">
                <w:rPr>
                  <w:rStyle w:val="Hyperlink"/>
                  <w:rFonts w:eastAsiaTheme="minorEastAsia"/>
                  <w:spacing w:val="0"/>
                  <w:szCs w:val="20"/>
                  <w:lang w:eastAsia="en-AU"/>
                </w:rPr>
                <w:t>Cost Reimbursable</w:t>
              </w:r>
            </w:hyperlink>
            <w:r w:rsidR="0015052E" w:rsidRPr="005B2F3D">
              <w:t xml:space="preserve"> Requirements (for projects delivered using cost reimbursable procurement models)</w:t>
            </w:r>
          </w:p>
        </w:tc>
      </w:tr>
    </w:tbl>
    <w:p w14:paraId="69A58893" w14:textId="77777777" w:rsidR="00675FA0" w:rsidRPr="006A3338" w:rsidRDefault="006A3338" w:rsidP="001D2615">
      <w:pPr>
        <w:pStyle w:val="Heading3numbered"/>
      </w:pPr>
      <w:r w:rsidRPr="006A3338">
        <w:t>Why does DTF undertake project assurance?</w:t>
      </w:r>
    </w:p>
    <w:p w14:paraId="0E755B27" w14:textId="411366C3" w:rsidR="0015052E" w:rsidRPr="00C5770E" w:rsidRDefault="0015052E" w:rsidP="00834461">
      <w:pPr>
        <w:pStyle w:val="NormalIndent"/>
        <w:rPr>
          <w:i/>
        </w:rPr>
      </w:pPr>
      <w:r>
        <w:t xml:space="preserve">Under the </w:t>
      </w:r>
      <w:r w:rsidRPr="00C5770E">
        <w:rPr>
          <w:i/>
        </w:rPr>
        <w:t>Financial Management Act</w:t>
      </w:r>
      <w:r w:rsidRPr="001328D8">
        <w:rPr>
          <w:i/>
          <w:iCs/>
        </w:rPr>
        <w:t xml:space="preserve"> </w:t>
      </w:r>
      <w:r w:rsidRPr="007E4D1F">
        <w:rPr>
          <w:i/>
          <w:iCs/>
        </w:rPr>
        <w:t>1994</w:t>
      </w:r>
      <w:r>
        <w:t xml:space="preserve">, both the Treasurer and </w:t>
      </w:r>
      <w:r w:rsidRPr="00C5770E">
        <w:t>the Assistant Treasurer</w:t>
      </w:r>
      <w:r>
        <w:t xml:space="preserve"> are </w:t>
      </w:r>
      <w:r w:rsidRPr="00C5770E">
        <w:t>accountab</w:t>
      </w:r>
      <w:r>
        <w:t>le</w:t>
      </w:r>
      <w:r w:rsidRPr="00C5770E">
        <w:t xml:space="preserve"> to </w:t>
      </w:r>
      <w:r w:rsidR="004F61CD">
        <w:t>P</w:t>
      </w:r>
      <w:r w:rsidRPr="00C5770E">
        <w:t xml:space="preserve">arliament for the overall financial management performance of </w:t>
      </w:r>
      <w:r w:rsidR="00630025">
        <w:t>the Government</w:t>
      </w:r>
      <w:r>
        <w:t xml:space="preserve"> including </w:t>
      </w:r>
      <w:r w:rsidR="00630025">
        <w:t>the Government</w:t>
      </w:r>
      <w:r w:rsidR="00344D3F">
        <w:t>’</w:t>
      </w:r>
      <w:r>
        <w:t xml:space="preserve">s capital program. Central agency project </w:t>
      </w:r>
      <w:r w:rsidRPr="00C5770E">
        <w:t xml:space="preserve">assurance supports </w:t>
      </w:r>
      <w:r>
        <w:t>these ministers</w:t>
      </w:r>
      <w:r w:rsidRPr="00C5770E">
        <w:t xml:space="preserve"> </w:t>
      </w:r>
      <w:r>
        <w:t>to discharge their legislative accountabilities. It is</w:t>
      </w:r>
      <w:r w:rsidRPr="00C5770E">
        <w:t xml:space="preserve"> applied under authority of </w:t>
      </w:r>
      <w:r>
        <w:t xml:space="preserve">section 4.2 of </w:t>
      </w:r>
      <w:r w:rsidRPr="00675FA0">
        <w:t>the</w:t>
      </w:r>
      <w:r w:rsidRPr="00675FA0">
        <w:rPr>
          <w:i/>
        </w:rPr>
        <w:t xml:space="preserve"> </w:t>
      </w:r>
      <w:r w:rsidRPr="00AD73E4">
        <w:rPr>
          <w:iCs/>
        </w:rPr>
        <w:t>Standing Directions 2018</w:t>
      </w:r>
      <w:r w:rsidRPr="00C5770E">
        <w:rPr>
          <w:i/>
        </w:rPr>
        <w:t xml:space="preserve"> </w:t>
      </w:r>
      <w:r w:rsidRPr="00675FA0">
        <w:t xml:space="preserve">issued under the </w:t>
      </w:r>
      <w:r w:rsidRPr="00675FA0">
        <w:rPr>
          <w:i/>
        </w:rPr>
        <w:t>Financial Management Act 1994</w:t>
      </w:r>
      <w:r>
        <w:rPr>
          <w:i/>
        </w:rPr>
        <w:t>.</w:t>
      </w:r>
    </w:p>
    <w:p w14:paraId="4736A249" w14:textId="5FC5C86E" w:rsidR="0015052E" w:rsidRDefault="0015052E" w:rsidP="001D2615">
      <w:pPr>
        <w:pStyle w:val="Heading3numbered"/>
        <w:rPr>
          <w:bCs/>
        </w:rPr>
      </w:pPr>
      <w:bookmarkStart w:id="102" w:name="OLE_LINK61"/>
      <w:bookmarkStart w:id="103" w:name="OLE_LINK62"/>
      <w:r>
        <w:t xml:space="preserve">High </w:t>
      </w:r>
      <w:r w:rsidR="00F51AA9">
        <w:t>V</w:t>
      </w:r>
      <w:r>
        <w:t xml:space="preserve">alue </w:t>
      </w:r>
      <w:r w:rsidR="00F51AA9">
        <w:t>H</w:t>
      </w:r>
      <w:r>
        <w:t>igh</w:t>
      </w:r>
      <w:r w:rsidR="00F51AA9">
        <w:t xml:space="preserve"> R</w:t>
      </w:r>
      <w:r>
        <w:t>isk framework</w:t>
      </w:r>
      <w:bookmarkEnd w:id="102"/>
      <w:bookmarkEnd w:id="103"/>
    </w:p>
    <w:p w14:paraId="15FCB06D" w14:textId="56952B38" w:rsidR="0015052E" w:rsidRPr="00EA0D4F" w:rsidRDefault="0015052E" w:rsidP="00834461">
      <w:pPr>
        <w:pStyle w:val="NormalIndent"/>
      </w:pPr>
      <w:r w:rsidRPr="00EA0D4F">
        <w:t xml:space="preserve">The </w:t>
      </w:r>
      <w:hyperlink r:id="rId76" w:history="1">
        <w:r w:rsidR="00CD38D7" w:rsidRPr="00DF0961">
          <w:rPr>
            <w:rStyle w:val="Hyperlink"/>
          </w:rPr>
          <w:t>HVHR framework</w:t>
        </w:r>
      </w:hyperlink>
      <w:r w:rsidRPr="00EA0D4F">
        <w:t>comprises</w:t>
      </w:r>
      <w:r w:rsidRPr="00A33C4F">
        <w:t xml:space="preserve"> a series of project assurance checks and processes that </w:t>
      </w:r>
      <w:r w:rsidRPr="00EA0D4F">
        <w:t xml:space="preserve">facilitate greater </w:t>
      </w:r>
      <w:r>
        <w:t>central agency</w:t>
      </w:r>
      <w:r w:rsidRPr="00EA0D4F">
        <w:t xml:space="preserve"> scrutiny and ongoing Treasurer oversight and approval of major infrastructure and </w:t>
      </w:r>
      <w:r w:rsidR="00DA7DAE">
        <w:t>information and communication technology</w:t>
      </w:r>
      <w:r w:rsidRPr="00EA0D4F">
        <w:t xml:space="preserve"> projects considered to have the highest risks. Assurance checks are </w:t>
      </w:r>
      <w:r>
        <w:t xml:space="preserve">independent and </w:t>
      </w:r>
      <w:r w:rsidRPr="00EA0D4F">
        <w:t xml:space="preserve">undertaken </w:t>
      </w:r>
      <w:r>
        <w:t xml:space="preserve">to inform </w:t>
      </w:r>
      <w:r w:rsidR="00F11B52">
        <w:t>g</w:t>
      </w:r>
      <w:r w:rsidR="00F11B52" w:rsidRPr="00EA0D4F">
        <w:t xml:space="preserve">overnment </w:t>
      </w:r>
      <w:r>
        <w:t>decision</w:t>
      </w:r>
      <w:r w:rsidR="009148D4">
        <w:noBreakHyphen/>
      </w:r>
      <w:r>
        <w:t>making</w:t>
      </w:r>
      <w:r w:rsidRPr="00EA0D4F">
        <w:t>.</w:t>
      </w:r>
    </w:p>
    <w:p w14:paraId="1A08FA46" w14:textId="77777777" w:rsidR="00EA0D4F" w:rsidRPr="00EA0D4F" w:rsidRDefault="00EA0D4F" w:rsidP="00834461">
      <w:pPr>
        <w:pStyle w:val="NormalIndent"/>
      </w:pPr>
      <w:r w:rsidRPr="00EA0D4F">
        <w:t>The HVHR framework seeks to:</w:t>
      </w:r>
    </w:p>
    <w:p w14:paraId="65761D81" w14:textId="77777777" w:rsidR="0015052E" w:rsidRPr="00EA0D4F" w:rsidRDefault="0015052E" w:rsidP="001D2615">
      <w:pPr>
        <w:pStyle w:val="Bulletindent"/>
      </w:pPr>
      <w:r w:rsidRPr="00EA0D4F">
        <w:t xml:space="preserve">verify that robust project planning and procurement processes have been undertaken and related documentation has been prepared to </w:t>
      </w:r>
      <w:r>
        <w:t>meet a high standard of quality</w:t>
      </w:r>
    </w:p>
    <w:p w14:paraId="7F56C20A" w14:textId="7196544D" w:rsidR="0015052E" w:rsidRPr="00EA0D4F" w:rsidRDefault="0015052E" w:rsidP="001D2615">
      <w:pPr>
        <w:pStyle w:val="Bulletindent"/>
      </w:pPr>
      <w:r w:rsidRPr="00EA0D4F">
        <w:t xml:space="preserve">provide impartial and informed advice to </w:t>
      </w:r>
      <w:r w:rsidR="00A75DF3">
        <w:t>the G</w:t>
      </w:r>
      <w:r w:rsidRPr="00EA0D4F">
        <w:t>overnment on deliverability risks</w:t>
      </w:r>
    </w:p>
    <w:p w14:paraId="3E5EF437" w14:textId="77777777" w:rsidR="00EA0D4F" w:rsidRPr="00EA0D4F" w:rsidRDefault="00EA0D4F" w:rsidP="001D2615">
      <w:pPr>
        <w:pStyle w:val="Bulletindent"/>
      </w:pPr>
      <w:r w:rsidRPr="29AF0C24">
        <w:t>increase the likelihood that projects will be delivered successfully on time</w:t>
      </w:r>
      <w:r w:rsidR="62C47559" w:rsidRPr="29AF0C24">
        <w:t>,</w:t>
      </w:r>
      <w:r w:rsidR="004F2E9C">
        <w:t xml:space="preserve"> </w:t>
      </w:r>
      <w:r w:rsidR="7C11A471" w:rsidRPr="29AF0C24">
        <w:t>to</w:t>
      </w:r>
      <w:r w:rsidRPr="29AF0C24">
        <w:t xml:space="preserve"> budget</w:t>
      </w:r>
      <w:r w:rsidR="006A3338" w:rsidRPr="29AF0C24">
        <w:t xml:space="preserve"> and </w:t>
      </w:r>
      <w:r w:rsidR="42CA9B49" w:rsidRPr="29AF0C24">
        <w:t xml:space="preserve">with </w:t>
      </w:r>
      <w:r w:rsidR="006A3338" w:rsidRPr="29AF0C24">
        <w:t>their stated outcomes and benefits</w:t>
      </w:r>
      <w:r w:rsidRPr="29AF0C24">
        <w:t>.</w:t>
      </w:r>
    </w:p>
    <w:p w14:paraId="32E2AE19" w14:textId="46B055ED" w:rsidR="0015052E" w:rsidRPr="0015052E" w:rsidRDefault="0015052E" w:rsidP="00834461">
      <w:pPr>
        <w:pStyle w:val="NormalIndent"/>
      </w:pPr>
      <w:r w:rsidRPr="198CA7B3">
        <w:t>The HVHR framework includes a range of project assurance checks</w:t>
      </w:r>
      <w:r>
        <w:t xml:space="preserve"> as outlined in </w:t>
      </w:r>
      <w:r>
        <w:fldChar w:fldCharType="begin" w:fldLock="1"/>
      </w:r>
      <w:r>
        <w:instrText xml:space="preserve"> REF _Ref144236403 \h </w:instrText>
      </w:r>
      <w:r>
        <w:fldChar w:fldCharType="separate"/>
      </w:r>
      <w:r w:rsidR="003D4A19">
        <w:t xml:space="preserve">Table </w:t>
      </w:r>
      <w:r w:rsidR="003D4A19">
        <w:rPr>
          <w:noProof/>
        </w:rPr>
        <w:t>4</w:t>
      </w:r>
      <w:r>
        <w:fldChar w:fldCharType="end"/>
      </w:r>
      <w:r>
        <w:t xml:space="preserve"> and</w:t>
      </w:r>
      <w:r w:rsidR="00A955EB">
        <w:t xml:space="preserve"> </w:t>
      </w:r>
      <w:r w:rsidR="00A955EB">
        <w:fldChar w:fldCharType="begin" w:fldLock="1"/>
      </w:r>
      <w:r w:rsidR="00A955EB">
        <w:instrText xml:space="preserve"> REF _Ref144282504 \h </w:instrText>
      </w:r>
      <w:r w:rsidR="00A955EB">
        <w:fldChar w:fldCharType="separate"/>
      </w:r>
      <w:r w:rsidR="003D4A19">
        <w:t xml:space="preserve">Figure </w:t>
      </w:r>
      <w:r w:rsidR="003D4A19">
        <w:rPr>
          <w:noProof/>
        </w:rPr>
        <w:t>6</w:t>
      </w:r>
      <w:r w:rsidR="00A955EB">
        <w:fldChar w:fldCharType="end"/>
      </w:r>
      <w:r w:rsidR="00A35D39">
        <w:t>.</w:t>
      </w:r>
    </w:p>
    <w:p w14:paraId="25E9E679" w14:textId="76409E5E" w:rsidR="0015052E" w:rsidRDefault="0015052E" w:rsidP="00171CF8">
      <w:pPr>
        <w:pStyle w:val="Captionindent"/>
      </w:pPr>
      <w:bookmarkStart w:id="104" w:name="_Ref144236403"/>
      <w:bookmarkStart w:id="105" w:name="_Toc145621352"/>
      <w:bookmarkStart w:id="106" w:name="_Toc146097246"/>
      <w:r>
        <w:t xml:space="preserve">Table </w:t>
      </w:r>
      <w:r>
        <w:fldChar w:fldCharType="begin"/>
      </w:r>
      <w:r>
        <w:instrText>SEQ Table \* ARABIC</w:instrText>
      </w:r>
      <w:r>
        <w:fldChar w:fldCharType="separate"/>
      </w:r>
      <w:r w:rsidR="008A4B3E">
        <w:rPr>
          <w:noProof/>
        </w:rPr>
        <w:t>4</w:t>
      </w:r>
      <w:r>
        <w:fldChar w:fldCharType="end"/>
      </w:r>
      <w:bookmarkEnd w:id="104"/>
      <w:r w:rsidR="00F640CE">
        <w:t xml:space="preserve"> –</w:t>
      </w:r>
      <w:r w:rsidRPr="009D5396">
        <w:t xml:space="preserve"> The HVHR framework</w:t>
      </w:r>
      <w:bookmarkEnd w:id="105"/>
      <w:bookmarkEnd w:id="106"/>
    </w:p>
    <w:tbl>
      <w:tblPr>
        <w:tblStyle w:val="DTFtexttableindent"/>
        <w:tblW w:w="8298" w:type="dxa"/>
        <w:tblLook w:val="04A0" w:firstRow="1" w:lastRow="0" w:firstColumn="1" w:lastColumn="0" w:noHBand="0" w:noVBand="1"/>
      </w:tblPr>
      <w:tblGrid>
        <w:gridCol w:w="2094"/>
        <w:gridCol w:w="6204"/>
      </w:tblGrid>
      <w:tr w:rsidR="0015052E" w:rsidRPr="009652C9" w14:paraId="4A40CE23" w14:textId="77777777" w:rsidTr="00AD5DF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3D3DCD93" w14:textId="77777777" w:rsidR="0015052E" w:rsidRPr="000D3F4A" w:rsidRDefault="0015052E" w:rsidP="00F7602B">
            <w:pPr>
              <w:pStyle w:val="Tableheader"/>
              <w:rPr>
                <w:lang w:val="en"/>
              </w:rPr>
            </w:pPr>
            <w:r w:rsidRPr="000D3F4A">
              <w:rPr>
                <w:lang w:val="en"/>
              </w:rPr>
              <w:t>HVHR assurance checks</w:t>
            </w:r>
          </w:p>
        </w:tc>
        <w:tc>
          <w:tcPr>
            <w:tcW w:w="0" w:type="dxa"/>
          </w:tcPr>
          <w:p w14:paraId="070447BD" w14:textId="77777777" w:rsidR="0015052E" w:rsidRPr="000D3F4A" w:rsidRDefault="0015052E" w:rsidP="00F7602B">
            <w:pPr>
              <w:pStyle w:val="Tableheader"/>
              <w:cnfStyle w:val="100000000000" w:firstRow="1" w:lastRow="0" w:firstColumn="0" w:lastColumn="0" w:oddVBand="0" w:evenVBand="0" w:oddHBand="0" w:evenHBand="0" w:firstRowFirstColumn="0" w:firstRowLastColumn="0" w:lastRowFirstColumn="0" w:lastRowLastColumn="0"/>
              <w:rPr>
                <w:lang w:val="en"/>
              </w:rPr>
            </w:pPr>
            <w:r w:rsidRPr="00003134">
              <w:rPr>
                <w:lang w:val="en"/>
              </w:rPr>
              <w:t>What</w:t>
            </w:r>
            <w:r>
              <w:rPr>
                <w:lang w:val="en"/>
              </w:rPr>
              <w:t xml:space="preserve"> each check involves</w:t>
            </w:r>
          </w:p>
        </w:tc>
      </w:tr>
      <w:tr w:rsidR="0015052E" w:rsidRPr="009652C9" w14:paraId="48227A83" w14:textId="77777777" w:rsidTr="005D30F6">
        <w:trPr>
          <w:trHeight w:val="1092"/>
        </w:trPr>
        <w:tc>
          <w:tcPr>
            <w:cnfStyle w:val="001000000000" w:firstRow="0" w:lastRow="0" w:firstColumn="1" w:lastColumn="0" w:oddVBand="0" w:evenVBand="0" w:oddHBand="0" w:evenHBand="0" w:firstRowFirstColumn="0" w:firstRowLastColumn="0" w:lastRowFirstColumn="0" w:lastRowLastColumn="0"/>
            <w:tcW w:w="0" w:type="dxa"/>
          </w:tcPr>
          <w:p w14:paraId="33310290" w14:textId="5FB90DD5" w:rsidR="0015052E" w:rsidRPr="008B6852" w:rsidRDefault="0015052E" w:rsidP="00A955EB">
            <w:pPr>
              <w:pStyle w:val="Tabletext"/>
              <w:rPr>
                <w:lang w:val="en"/>
              </w:rPr>
            </w:pPr>
            <w:r w:rsidRPr="008B6852">
              <w:t>Treasurer</w:t>
            </w:r>
            <w:r w:rsidR="00344D3F">
              <w:t>’</w:t>
            </w:r>
            <w:r w:rsidRPr="008B6852">
              <w:t xml:space="preserve">s oversight and approval throughout </w:t>
            </w:r>
            <w:r>
              <w:t>the</w:t>
            </w:r>
            <w:r w:rsidRPr="008B6852">
              <w:t xml:space="preserve"> project lifecycle</w:t>
            </w:r>
          </w:p>
        </w:tc>
        <w:tc>
          <w:tcPr>
            <w:tcW w:w="0" w:type="dxa"/>
          </w:tcPr>
          <w:p w14:paraId="7A3C0CB9" w14:textId="77777777" w:rsidR="0015052E" w:rsidRPr="008B6852" w:rsidRDefault="0015052E" w:rsidP="001D2615">
            <w:pPr>
              <w:pStyle w:val="Tablebullet"/>
              <w:cnfStyle w:val="000000000000" w:firstRow="0" w:lastRow="0" w:firstColumn="0" w:lastColumn="0" w:oddVBand="0" w:evenVBand="0" w:oddHBand="0" w:evenHBand="0" w:firstRowFirstColumn="0" w:firstRowLastColumn="0" w:lastRowFirstColumn="0" w:lastRowLastColumn="0"/>
              <w:rPr>
                <w:lang w:val="en"/>
              </w:rPr>
            </w:pPr>
            <w:r>
              <w:t>Treasurer a</w:t>
            </w:r>
            <w:r w:rsidRPr="008B6852">
              <w:t>pproval at key milestones</w:t>
            </w:r>
            <w:r>
              <w:t>,</w:t>
            </w:r>
            <w:r w:rsidRPr="008B6852">
              <w:t xml:space="preserve"> including procurement documentation release, shortlisting, selection of preferred tenderer, contract award and major contract variations</w:t>
            </w:r>
          </w:p>
          <w:p w14:paraId="6CC1212C" w14:textId="57CB5FD8" w:rsidR="0015052E" w:rsidRPr="008B6852" w:rsidRDefault="00990C5E" w:rsidP="001D2615">
            <w:pPr>
              <w:pStyle w:val="Tablebullet"/>
              <w:cnfStyle w:val="000000000000" w:firstRow="0" w:lastRow="0" w:firstColumn="0" w:lastColumn="0" w:oddVBand="0" w:evenVBand="0" w:oddHBand="0" w:evenHBand="0" w:firstRowFirstColumn="0" w:firstRowLastColumn="0" w:lastRowFirstColumn="0" w:lastRowLastColumn="0"/>
              <w:rPr>
                <w:lang w:val="en"/>
              </w:rPr>
            </w:pPr>
            <w:r>
              <w:t>Greater</w:t>
            </w:r>
            <w:r w:rsidRPr="008B6852">
              <w:t xml:space="preserve"> </w:t>
            </w:r>
            <w:r w:rsidR="0015052E">
              <w:t xml:space="preserve">Treasurer </w:t>
            </w:r>
            <w:r w:rsidR="0015052E" w:rsidRPr="008B6852">
              <w:t>oversight of time, scope and budget reporting</w:t>
            </w:r>
          </w:p>
        </w:tc>
      </w:tr>
      <w:tr w:rsidR="0015052E" w:rsidRPr="009652C9" w14:paraId="5687F2E6" w14:textId="77777777" w:rsidTr="005D30F6">
        <w:trPr>
          <w:cnfStyle w:val="000000010000" w:firstRow="0" w:lastRow="0" w:firstColumn="0" w:lastColumn="0" w:oddVBand="0" w:evenVBand="0" w:oddHBand="0" w:evenHBand="1"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0" w:type="dxa"/>
          </w:tcPr>
          <w:p w14:paraId="6DC2D239" w14:textId="77777777" w:rsidR="0015052E" w:rsidRPr="008B6852" w:rsidRDefault="0015052E" w:rsidP="00A955EB">
            <w:pPr>
              <w:pStyle w:val="Tabletext"/>
              <w:rPr>
                <w:lang w:val="en"/>
              </w:rPr>
            </w:pPr>
            <w:r w:rsidRPr="008B6852">
              <w:rPr>
                <w:lang w:val="en"/>
              </w:rPr>
              <w:t xml:space="preserve">DTF direct engagement in a project throughout </w:t>
            </w:r>
            <w:r>
              <w:rPr>
                <w:lang w:val="en"/>
              </w:rPr>
              <w:t xml:space="preserve">the </w:t>
            </w:r>
            <w:r w:rsidRPr="008B6852">
              <w:rPr>
                <w:lang w:val="en"/>
              </w:rPr>
              <w:t>project lifecycle</w:t>
            </w:r>
          </w:p>
        </w:tc>
        <w:tc>
          <w:tcPr>
            <w:tcW w:w="0" w:type="dxa"/>
          </w:tcPr>
          <w:p w14:paraId="6607BE5B" w14:textId="77777777" w:rsidR="0015052E" w:rsidRPr="008B6852" w:rsidRDefault="0015052E" w:rsidP="001D2615">
            <w:pPr>
              <w:pStyle w:val="Tablebullet"/>
              <w:cnfStyle w:val="000000010000" w:firstRow="0" w:lastRow="0" w:firstColumn="0" w:lastColumn="0" w:oddVBand="0" w:evenVBand="0" w:oddHBand="0" w:evenHBand="1" w:firstRowFirstColumn="0" w:firstRowLastColumn="0" w:lastRowFirstColumn="0" w:lastRowLastColumn="0"/>
              <w:rPr>
                <w:lang w:val="en"/>
              </w:rPr>
            </w:pPr>
            <w:r>
              <w:rPr>
                <w:lang w:val="en"/>
              </w:rPr>
              <w:t>DTF p</w:t>
            </w:r>
            <w:r w:rsidRPr="008B6852">
              <w:rPr>
                <w:lang w:val="en"/>
              </w:rPr>
              <w:t xml:space="preserve">articipation in the project steering committee, project control groups, tender evaluation </w:t>
            </w:r>
            <w:r>
              <w:rPr>
                <w:lang w:val="en"/>
              </w:rPr>
              <w:t>committees</w:t>
            </w:r>
            <w:r w:rsidRPr="008B6852">
              <w:rPr>
                <w:lang w:val="en"/>
              </w:rPr>
              <w:t xml:space="preserve"> and other </w:t>
            </w:r>
            <w:r>
              <w:rPr>
                <w:lang w:val="en"/>
              </w:rPr>
              <w:t>governance bodies and</w:t>
            </w:r>
            <w:r w:rsidRPr="008B6852">
              <w:rPr>
                <w:lang w:val="en"/>
              </w:rPr>
              <w:t xml:space="preserve"> processes</w:t>
            </w:r>
          </w:p>
          <w:p w14:paraId="521E8764" w14:textId="192F7B33" w:rsidR="0015052E" w:rsidRDefault="0015052E" w:rsidP="001D2615">
            <w:pPr>
              <w:pStyle w:val="Tablebullet"/>
              <w:cnfStyle w:val="000000010000" w:firstRow="0" w:lastRow="0" w:firstColumn="0" w:lastColumn="0" w:oddVBand="0" w:evenVBand="0" w:oddHBand="0" w:evenHBand="1" w:firstRowFirstColumn="0" w:firstRowLastColumn="0" w:lastRowFirstColumn="0" w:lastRowLastColumn="0"/>
              <w:rPr>
                <w:lang w:val="en"/>
              </w:rPr>
            </w:pPr>
            <w:r>
              <w:rPr>
                <w:lang w:val="en"/>
              </w:rPr>
              <w:t>DTF r</w:t>
            </w:r>
            <w:r w:rsidRPr="008B6852">
              <w:rPr>
                <w:lang w:val="en"/>
              </w:rPr>
              <w:t>eview of draft business case and procurement documentation</w:t>
            </w:r>
          </w:p>
          <w:p w14:paraId="783CFB77" w14:textId="413A2F20" w:rsidR="0015052E" w:rsidRPr="008B6852" w:rsidRDefault="0015052E" w:rsidP="001D2615">
            <w:pPr>
              <w:pStyle w:val="Tablebullet"/>
              <w:cnfStyle w:val="000000010000" w:firstRow="0" w:lastRow="0" w:firstColumn="0" w:lastColumn="0" w:oddVBand="0" w:evenVBand="0" w:oddHBand="0" w:evenHBand="1" w:firstRowFirstColumn="0" w:firstRowLastColumn="0" w:lastRowFirstColumn="0" w:lastRowLastColumn="0"/>
              <w:rPr>
                <w:lang w:val="en"/>
              </w:rPr>
            </w:pPr>
            <w:r>
              <w:rPr>
                <w:lang w:val="en"/>
              </w:rPr>
              <w:t>DTF a</w:t>
            </w:r>
            <w:r w:rsidRPr="008B6852">
              <w:rPr>
                <w:lang w:val="en"/>
              </w:rPr>
              <w:t>ssessment of project</w:t>
            </w:r>
            <w:r>
              <w:rPr>
                <w:lang w:val="en"/>
              </w:rPr>
              <w:t xml:space="preserve">s at key milestones </w:t>
            </w:r>
          </w:p>
        </w:tc>
      </w:tr>
      <w:tr w:rsidR="0015052E" w:rsidRPr="009652C9" w14:paraId="68234307" w14:textId="77777777" w:rsidTr="005D30F6">
        <w:tc>
          <w:tcPr>
            <w:cnfStyle w:val="001000000000" w:firstRow="0" w:lastRow="0" w:firstColumn="1" w:lastColumn="0" w:oddVBand="0" w:evenVBand="0" w:oddHBand="0" w:evenHBand="0" w:firstRowFirstColumn="0" w:firstRowLastColumn="0" w:lastRowFirstColumn="0" w:lastRowLastColumn="0"/>
            <w:tcW w:w="0" w:type="dxa"/>
          </w:tcPr>
          <w:p w14:paraId="387E4656" w14:textId="77777777" w:rsidR="0015052E" w:rsidRPr="008B6852" w:rsidRDefault="0015052E" w:rsidP="00A955EB">
            <w:pPr>
              <w:pStyle w:val="Tabletext"/>
            </w:pPr>
            <w:r w:rsidRPr="008B6852">
              <w:t xml:space="preserve">Major </w:t>
            </w:r>
            <w:r>
              <w:t>p</w:t>
            </w:r>
            <w:r w:rsidRPr="008B6852">
              <w:t xml:space="preserve">roject </w:t>
            </w:r>
            <w:r>
              <w:t>p</w:t>
            </w:r>
            <w:r w:rsidRPr="008B6852">
              <w:t xml:space="preserve">erformance </w:t>
            </w:r>
            <w:r>
              <w:t>r</w:t>
            </w:r>
            <w:r w:rsidRPr="008B6852">
              <w:t>eport</w:t>
            </w:r>
            <w:r>
              <w:t>ing undertaken quarterly throughout the project lifecycle</w:t>
            </w:r>
          </w:p>
        </w:tc>
        <w:tc>
          <w:tcPr>
            <w:tcW w:w="0" w:type="dxa"/>
          </w:tcPr>
          <w:p w14:paraId="5F5D107B" w14:textId="548C842C" w:rsidR="0015052E" w:rsidRPr="008B6852" w:rsidRDefault="0015052E" w:rsidP="001D2615">
            <w:pPr>
              <w:pStyle w:val="Tablebullet"/>
              <w:cnfStyle w:val="000000000000" w:firstRow="0" w:lastRow="0" w:firstColumn="0" w:lastColumn="0" w:oddVBand="0" w:evenVBand="0" w:oddHBand="0" w:evenHBand="0" w:firstRowFirstColumn="0" w:firstRowLastColumn="0" w:lastRowFirstColumn="0" w:lastRowLastColumn="0"/>
              <w:rPr>
                <w:lang w:val="en"/>
              </w:rPr>
            </w:pPr>
            <w:r>
              <w:rPr>
                <w:lang w:val="en"/>
              </w:rPr>
              <w:t>Agency-led q</w:t>
            </w:r>
            <w:r w:rsidRPr="008B6852">
              <w:rPr>
                <w:lang w:val="en"/>
              </w:rPr>
              <w:t xml:space="preserve">uarterly reporting to </w:t>
            </w:r>
            <w:r w:rsidR="003E4A30">
              <w:rPr>
                <w:lang w:val="en"/>
              </w:rPr>
              <w:t>the G</w:t>
            </w:r>
            <w:r w:rsidR="003E4A30" w:rsidRPr="008B6852">
              <w:rPr>
                <w:lang w:val="en"/>
              </w:rPr>
              <w:t xml:space="preserve">overnment </w:t>
            </w:r>
            <w:r w:rsidRPr="008B6852">
              <w:rPr>
                <w:lang w:val="en"/>
              </w:rPr>
              <w:t>on the performance of major projects</w:t>
            </w:r>
            <w:r w:rsidR="00C2037C">
              <w:rPr>
                <w:lang w:val="en"/>
              </w:rPr>
              <w:t>. Reporting</w:t>
            </w:r>
            <w:r w:rsidRPr="008B6852">
              <w:rPr>
                <w:lang w:val="en"/>
              </w:rPr>
              <w:t xml:space="preserve"> </w:t>
            </w:r>
            <w:r w:rsidR="00C2037C" w:rsidRPr="008B6852">
              <w:rPr>
                <w:lang w:val="en"/>
              </w:rPr>
              <w:t>track</w:t>
            </w:r>
            <w:r w:rsidR="00C2037C">
              <w:rPr>
                <w:lang w:val="en"/>
              </w:rPr>
              <w:t>s</w:t>
            </w:r>
            <w:r w:rsidR="00C2037C" w:rsidRPr="008B6852">
              <w:rPr>
                <w:lang w:val="en"/>
              </w:rPr>
              <w:t xml:space="preserve"> </w:t>
            </w:r>
            <w:r w:rsidRPr="008B6852">
              <w:rPr>
                <w:lang w:val="en"/>
              </w:rPr>
              <w:t>cost, time</w:t>
            </w:r>
            <w:r w:rsidR="00C2037C">
              <w:rPr>
                <w:lang w:val="en"/>
              </w:rPr>
              <w:t>,</w:t>
            </w:r>
            <w:r w:rsidRPr="008B6852">
              <w:rPr>
                <w:lang w:val="en"/>
              </w:rPr>
              <w:t xml:space="preserve"> scope</w:t>
            </w:r>
            <w:r w:rsidR="00E55D19">
              <w:rPr>
                <w:lang w:val="en"/>
              </w:rPr>
              <w:t>,</w:t>
            </w:r>
            <w:r w:rsidRPr="008B6852">
              <w:rPr>
                <w:lang w:val="en"/>
              </w:rPr>
              <w:t xml:space="preserve"> and risk areas</w:t>
            </w:r>
            <w:r>
              <w:rPr>
                <w:lang w:val="en"/>
              </w:rPr>
              <w:t xml:space="preserve"> that include:</w:t>
            </w:r>
          </w:p>
          <w:p w14:paraId="104E2437" w14:textId="77777777" w:rsidR="0015052E" w:rsidRPr="0063369C" w:rsidRDefault="0015052E" w:rsidP="001D2615">
            <w:pPr>
              <w:pStyle w:val="Tabledash"/>
              <w:cnfStyle w:val="000000000000" w:firstRow="0" w:lastRow="0" w:firstColumn="0" w:lastColumn="0" w:oddVBand="0" w:evenVBand="0" w:oddHBand="0" w:evenHBand="0" w:firstRowFirstColumn="0" w:firstRowLastColumn="0" w:lastRowFirstColumn="0" w:lastRowLastColumn="0"/>
              <w:rPr>
                <w:lang w:val="en"/>
              </w:rPr>
            </w:pPr>
            <w:r w:rsidRPr="008B6852">
              <w:t>the entire capital portfolio view of risk</w:t>
            </w:r>
          </w:p>
          <w:p w14:paraId="20D00A2E" w14:textId="77777777" w:rsidR="0015052E" w:rsidRDefault="0015052E" w:rsidP="001D2615">
            <w:pPr>
              <w:pStyle w:val="Tabledash"/>
              <w:cnfStyle w:val="000000000000" w:firstRow="0" w:lastRow="0" w:firstColumn="0" w:lastColumn="0" w:oddVBand="0" w:evenVBand="0" w:oddHBand="0" w:evenHBand="0" w:firstRowFirstColumn="0" w:firstRowLastColumn="0" w:lastRowFirstColumn="0" w:lastRowLastColumn="0"/>
              <w:rPr>
                <w:lang w:val="en"/>
              </w:rPr>
            </w:pPr>
            <w:r w:rsidRPr="008B6852">
              <w:t xml:space="preserve">commentary on individual project performance and actions being taken to address </w:t>
            </w:r>
            <w:r>
              <w:t>risks and issues</w:t>
            </w:r>
          </w:p>
        </w:tc>
      </w:tr>
      <w:tr w:rsidR="0015052E" w:rsidRPr="009652C9" w14:paraId="3DA3656D" w14:textId="77777777" w:rsidTr="005D30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BCF45DA" w14:textId="5B9DC1AE" w:rsidR="0015052E" w:rsidRPr="008B6852" w:rsidRDefault="0015052E" w:rsidP="00A955EB">
            <w:pPr>
              <w:pStyle w:val="Tabletext"/>
            </w:pPr>
            <w:r>
              <w:t xml:space="preserve">Independent </w:t>
            </w:r>
            <w:r w:rsidR="00A35D39">
              <w:t>g</w:t>
            </w:r>
            <w:r>
              <w:t>ateway</w:t>
            </w:r>
            <w:r w:rsidRPr="008B6852">
              <w:t xml:space="preserve"> reviews</w:t>
            </w:r>
            <w:r>
              <w:t xml:space="preserve"> undertaken at key </w:t>
            </w:r>
            <w:r w:rsidR="00344D3F">
              <w:t>‘</w:t>
            </w:r>
            <w:r>
              <w:t>gates</w:t>
            </w:r>
            <w:r w:rsidR="00344D3F">
              <w:t>’</w:t>
            </w:r>
            <w:r>
              <w:t xml:space="preserve"> </w:t>
            </w:r>
            <w:r w:rsidR="00904DEF">
              <w:t>(</w:t>
            </w:r>
            <w:r>
              <w:t>project milestones</w:t>
            </w:r>
            <w:r w:rsidR="00904DEF">
              <w:t>)</w:t>
            </w:r>
            <w:r>
              <w:t xml:space="preserve"> throughout the project lifecycle</w:t>
            </w:r>
          </w:p>
        </w:tc>
        <w:tc>
          <w:tcPr>
            <w:tcW w:w="0" w:type="dxa"/>
          </w:tcPr>
          <w:p w14:paraId="49B77BA9" w14:textId="77777777" w:rsidR="0015052E" w:rsidRPr="008B6852" w:rsidRDefault="0015052E" w:rsidP="001D2615">
            <w:pPr>
              <w:pStyle w:val="Tablebullet"/>
              <w:cnfStyle w:val="000000010000" w:firstRow="0" w:lastRow="0" w:firstColumn="0" w:lastColumn="0" w:oddVBand="0" w:evenVBand="0" w:oddHBand="0" w:evenHBand="1" w:firstRowFirstColumn="0" w:firstRowLastColumn="0" w:lastRowFirstColumn="0" w:lastRowLastColumn="0"/>
              <w:rPr>
                <w:lang w:val="en"/>
              </w:rPr>
            </w:pPr>
            <w:r>
              <w:rPr>
                <w:lang w:val="en"/>
              </w:rPr>
              <w:t>I</w:t>
            </w:r>
            <w:r w:rsidRPr="008B6852">
              <w:rPr>
                <w:lang w:val="en"/>
              </w:rPr>
              <w:t>ndependent reviews that examine projects at six key decision points in their lifecycle and provide timely and confidential advice to the project team about progress and likelihood of delivery success</w:t>
            </w:r>
          </w:p>
          <w:p w14:paraId="1F0FD677" w14:textId="563ED12D" w:rsidR="0015052E" w:rsidRPr="008B6852" w:rsidRDefault="0015052E" w:rsidP="00F7602B">
            <w:pPr>
              <w:pStyle w:val="Tabletext"/>
              <w:cnfStyle w:val="000000010000" w:firstRow="0" w:lastRow="0" w:firstColumn="0" w:lastColumn="0" w:oddVBand="0" w:evenVBand="0" w:oddHBand="0" w:evenHBand="1" w:firstRowFirstColumn="0" w:firstRowLastColumn="0" w:lastRowFirstColumn="0" w:lastRowLastColumn="0"/>
              <w:rPr>
                <w:lang w:val="en"/>
              </w:rPr>
            </w:pPr>
            <w:r>
              <w:t xml:space="preserve">For more information see: </w:t>
            </w:r>
            <w:hyperlink r:id="rId77" w:history="1">
              <w:r w:rsidRPr="007B303A">
                <w:rPr>
                  <w:rStyle w:val="Hyperlink"/>
                  <w:rFonts w:ascii="VIC" w:eastAsia="Times New Roman" w:hAnsi="VIC" w:cstheme="minorHAnsi"/>
                  <w:lang w:val="en"/>
                </w:rPr>
                <w:t>https://www.dtf.vic.gov.au/infrastructure-investment/gateway-review-process</w:t>
              </w:r>
            </w:hyperlink>
            <w:r w:rsidRPr="008B6852">
              <w:rPr>
                <w:lang w:val="en"/>
              </w:rPr>
              <w:t xml:space="preserve"> </w:t>
            </w:r>
          </w:p>
        </w:tc>
      </w:tr>
      <w:tr w:rsidR="0015052E" w:rsidRPr="009652C9" w14:paraId="6ACCC8C1" w14:textId="77777777" w:rsidTr="005D30F6">
        <w:tc>
          <w:tcPr>
            <w:cnfStyle w:val="001000000000" w:firstRow="0" w:lastRow="0" w:firstColumn="1" w:lastColumn="0" w:oddVBand="0" w:evenVBand="0" w:oddHBand="0" w:evenHBand="0" w:firstRowFirstColumn="0" w:firstRowLastColumn="0" w:lastRowFirstColumn="0" w:lastRowLastColumn="0"/>
            <w:tcW w:w="0" w:type="dxa"/>
          </w:tcPr>
          <w:p w14:paraId="4076EA67" w14:textId="695A1243" w:rsidR="0015052E" w:rsidRPr="008B6852" w:rsidRDefault="0015052E" w:rsidP="00A955EB">
            <w:pPr>
              <w:pStyle w:val="Tabletext"/>
            </w:pPr>
            <w:r>
              <w:t xml:space="preserve">Independent </w:t>
            </w:r>
            <w:r w:rsidR="00A35D39">
              <w:t>p</w:t>
            </w:r>
            <w:r>
              <w:t>roject</w:t>
            </w:r>
            <w:r w:rsidRPr="008B6852">
              <w:t xml:space="preserve"> </w:t>
            </w:r>
            <w:r>
              <w:t>a</w:t>
            </w:r>
            <w:r w:rsidRPr="008B6852">
              <w:t xml:space="preserve">ssurance </w:t>
            </w:r>
            <w:r>
              <w:t>r</w:t>
            </w:r>
            <w:r w:rsidRPr="008B6852">
              <w:t xml:space="preserve">eviews </w:t>
            </w:r>
            <w:r>
              <w:t>undertaken as</w:t>
            </w:r>
            <w:r w:rsidRPr="008B6852">
              <w:t xml:space="preserve"> required</w:t>
            </w:r>
            <w:r>
              <w:t xml:space="preserve"> throughout the project lifecycle</w:t>
            </w:r>
          </w:p>
        </w:tc>
        <w:tc>
          <w:tcPr>
            <w:tcW w:w="0" w:type="dxa"/>
          </w:tcPr>
          <w:p w14:paraId="2D0B4929" w14:textId="05FB7447" w:rsidR="0015052E" w:rsidRDefault="0015052E" w:rsidP="001D2615">
            <w:pPr>
              <w:pStyle w:val="Tablebullet"/>
              <w:cnfStyle w:val="000000000000" w:firstRow="0" w:lastRow="0" w:firstColumn="0" w:lastColumn="0" w:oddVBand="0" w:evenVBand="0" w:oddHBand="0" w:evenHBand="0" w:firstRowFirstColumn="0" w:firstRowLastColumn="0" w:lastRowFirstColumn="0" w:lastRowLastColumn="0"/>
              <w:rPr>
                <w:lang w:val="en"/>
              </w:rPr>
            </w:pPr>
            <w:r>
              <w:rPr>
                <w:lang w:val="en"/>
              </w:rPr>
              <w:t>I</w:t>
            </w:r>
            <w:r w:rsidRPr="008B6852">
              <w:rPr>
                <w:lang w:val="en"/>
              </w:rPr>
              <w:t xml:space="preserve">ndependent reviews that complement the </w:t>
            </w:r>
            <w:r w:rsidR="006D4EEB">
              <w:rPr>
                <w:lang w:val="en"/>
              </w:rPr>
              <w:t>G</w:t>
            </w:r>
            <w:r w:rsidRPr="45734026">
              <w:rPr>
                <w:lang w:val="en"/>
              </w:rPr>
              <w:t xml:space="preserve">ateway </w:t>
            </w:r>
            <w:r w:rsidR="006D4EEB">
              <w:rPr>
                <w:lang w:val="en"/>
              </w:rPr>
              <w:t>R</w:t>
            </w:r>
            <w:r w:rsidRPr="45734026">
              <w:rPr>
                <w:lang w:val="en"/>
              </w:rPr>
              <w:t xml:space="preserve">eview </w:t>
            </w:r>
            <w:r w:rsidR="006D4EEB">
              <w:rPr>
                <w:lang w:val="en"/>
              </w:rPr>
              <w:t>P</w:t>
            </w:r>
            <w:r w:rsidRPr="008B6852">
              <w:rPr>
                <w:lang w:val="en"/>
              </w:rPr>
              <w:t>rocess and provide advice on a project</w:t>
            </w:r>
            <w:r w:rsidR="00344D3F">
              <w:rPr>
                <w:lang w:val="en"/>
              </w:rPr>
              <w:t>’</w:t>
            </w:r>
            <w:r w:rsidRPr="008B6852">
              <w:rPr>
                <w:lang w:val="en"/>
              </w:rPr>
              <w:t>s current progress, its objectives, governance and readiness</w:t>
            </w:r>
          </w:p>
          <w:p w14:paraId="25027846" w14:textId="42EB802B" w:rsidR="0015052E" w:rsidRPr="008B6852" w:rsidRDefault="0015052E" w:rsidP="00F7602B">
            <w:pPr>
              <w:pStyle w:val="Tabletext"/>
              <w:cnfStyle w:val="000000000000" w:firstRow="0" w:lastRow="0" w:firstColumn="0" w:lastColumn="0" w:oddVBand="0" w:evenVBand="0" w:oddHBand="0" w:evenHBand="0" w:firstRowFirstColumn="0" w:firstRowLastColumn="0" w:lastRowFirstColumn="0" w:lastRowLastColumn="0"/>
              <w:rPr>
                <w:lang w:val="en"/>
              </w:rPr>
            </w:pPr>
            <w:r>
              <w:rPr>
                <w:lang w:val="en"/>
              </w:rPr>
              <w:t xml:space="preserve">For more information see: </w:t>
            </w:r>
            <w:hyperlink r:id="rId78" w:history="1">
              <w:r w:rsidRPr="00DB0E11">
                <w:rPr>
                  <w:rStyle w:val="Hyperlink"/>
                  <w:rFonts w:ascii="VIC" w:eastAsia="Times New Roman" w:hAnsi="VIC" w:cstheme="minorHAnsi"/>
                  <w:lang w:val="en"/>
                </w:rPr>
                <w:t>https://www.dtf.vic.gov.au/infrastructure-investment/gateway-review-process</w:t>
              </w:r>
            </w:hyperlink>
          </w:p>
        </w:tc>
      </w:tr>
    </w:tbl>
    <w:p w14:paraId="4D3E7E36" w14:textId="77777777" w:rsidR="0015052E" w:rsidRDefault="0015052E" w:rsidP="0015052E">
      <w:pPr>
        <w:rPr>
          <w:rFonts w:asciiTheme="majorHAnsi" w:hAnsiTheme="majorHAnsi"/>
          <w:sz w:val="18"/>
          <w:szCs w:val="18"/>
        </w:rPr>
      </w:pPr>
    </w:p>
    <w:p w14:paraId="3F455ADA" w14:textId="7210E204" w:rsidR="00A955EB" w:rsidRDefault="3432BCAC" w:rsidP="00171CF8">
      <w:pPr>
        <w:pStyle w:val="Captionindent"/>
      </w:pPr>
      <w:bookmarkStart w:id="107" w:name="_Ref144282504"/>
      <w:bookmarkStart w:id="108" w:name="_Ref144282493"/>
      <w:bookmarkStart w:id="109" w:name="_Toc145621470"/>
      <w:bookmarkStart w:id="110" w:name="_Toc145621599"/>
      <w:bookmarkStart w:id="111" w:name="_Toc160457775"/>
      <w:r>
        <w:t xml:space="preserve">Figure </w:t>
      </w:r>
      <w:r w:rsidR="00A955EB" w:rsidRPr="76AB2BEA">
        <w:fldChar w:fldCharType="begin"/>
      </w:r>
      <w:r w:rsidR="00A955EB">
        <w:instrText xml:space="preserve"> SEQ Figure \* ARABIC </w:instrText>
      </w:r>
      <w:r w:rsidR="00A955EB" w:rsidRPr="76AB2BEA">
        <w:fldChar w:fldCharType="separate"/>
      </w:r>
      <w:r w:rsidR="008A4B3E">
        <w:rPr>
          <w:noProof/>
        </w:rPr>
        <w:t>6</w:t>
      </w:r>
      <w:r w:rsidR="00A955EB" w:rsidRPr="76AB2BEA">
        <w:rPr>
          <w:noProof/>
        </w:rPr>
        <w:fldChar w:fldCharType="end"/>
      </w:r>
      <w:bookmarkEnd w:id="107"/>
      <w:r w:rsidR="005504CB">
        <w:t xml:space="preserve"> – </w:t>
      </w:r>
      <w:r>
        <w:t>Project lifecycle and HVHR project assurance process</w:t>
      </w:r>
      <w:bookmarkEnd w:id="108"/>
      <w:bookmarkEnd w:id="109"/>
      <w:bookmarkEnd w:id="110"/>
      <w:bookmarkEnd w:id="111"/>
    </w:p>
    <w:p w14:paraId="089516D6" w14:textId="4F5737F0" w:rsidR="0015052E" w:rsidRPr="00EC29A8" w:rsidRDefault="0030478B" w:rsidP="00171CF8">
      <w:pPr>
        <w:pStyle w:val="NormalIndent"/>
      </w:pPr>
      <w:r w:rsidRPr="0030478B">
        <w:rPr>
          <w:noProof/>
        </w:rPr>
        <w:drawing>
          <wp:inline distT="0" distB="0" distL="0" distR="0" wp14:anchorId="0DDB9FE9" wp14:editId="7CB4A063">
            <wp:extent cx="5210680" cy="5511452"/>
            <wp:effectExtent l="0" t="0" r="9525" b="0"/>
            <wp:docPr id="34" name="Picture 34" descr="Figure 6 details the stages of the Project lifecycle and HVHR project assurance process from the Business Case; Procurement and Delivery; and outlines the roles and interactions between the relevant stakeholders including Government; DTF and OPV; and De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6 details the stages of the Project lifecycle and HVHR project assurance process from the Business Case; Procurement and Delivery; and outlines the roles and interactions between the relevant stakeholders including Government; DTF and OPV; and Departments.​"/>
                    <pic:cNvPicPr/>
                  </pic:nvPicPr>
                  <pic:blipFill>
                    <a:blip r:embed="rId79">
                      <a:extLst>
                        <a:ext uri="{28A0092B-C50C-407E-A947-70E740481C1C}">
                          <a14:useLocalDpi xmlns:a14="http://schemas.microsoft.com/office/drawing/2010/main"/>
                        </a:ext>
                      </a:extLst>
                    </a:blip>
                    <a:stretch>
                      <a:fillRect/>
                    </a:stretch>
                  </pic:blipFill>
                  <pic:spPr>
                    <a:xfrm>
                      <a:off x="0" y="0"/>
                      <a:ext cx="5217770" cy="5518951"/>
                    </a:xfrm>
                    <a:prstGeom prst="rect">
                      <a:avLst/>
                    </a:prstGeom>
                  </pic:spPr>
                </pic:pic>
              </a:graphicData>
            </a:graphic>
          </wp:inline>
        </w:drawing>
      </w:r>
    </w:p>
    <w:p w14:paraId="05658DB8" w14:textId="31C5D3DA" w:rsidR="0015052E" w:rsidRDefault="0015052E" w:rsidP="00834461">
      <w:pPr>
        <w:pStyle w:val="NormalIndent"/>
      </w:pPr>
      <w:r>
        <w:t xml:space="preserve">DTF prepares and agrees </w:t>
      </w:r>
      <w:r w:rsidR="0094330E">
        <w:t xml:space="preserve">on </w:t>
      </w:r>
      <w:r>
        <w:t xml:space="preserve">a project assurance plan (PAP) for HVHR projects at project approval stage, prior to commencing procurement activities. The PAP determines which HVHR assurance processes will be applied to a given project. Projects may also be subject to technical assurance reviews. Further information on the HVHR framework can be found at: </w:t>
      </w:r>
      <w:hyperlink r:id="rId80" w:history="1">
        <w:r w:rsidRPr="001740FA">
          <w:rPr>
            <w:rStyle w:val="Hyperlink"/>
          </w:rPr>
          <w:t>https://www.dtf.vic.gov.au/infrastructure-investment/high-value-high-risk-framework</w:t>
        </w:r>
      </w:hyperlink>
      <w:r w:rsidRPr="001740FA">
        <w:rPr>
          <w:rStyle w:val="Hyperlink"/>
        </w:rPr>
        <w:t>.</w:t>
      </w:r>
    </w:p>
    <w:p w14:paraId="23FA7A87" w14:textId="2BC3731A" w:rsidR="00843F54" w:rsidRPr="00843F54" w:rsidRDefault="00F45416" w:rsidP="001D2615">
      <w:pPr>
        <w:pStyle w:val="Heading3numbered"/>
      </w:pPr>
      <w:r>
        <w:t xml:space="preserve">Projects not considered </w:t>
      </w:r>
      <w:r w:rsidR="0015052E">
        <w:t>HVHR</w:t>
      </w:r>
    </w:p>
    <w:p w14:paraId="5B3B46BD" w14:textId="3866657B" w:rsidR="00843F54" w:rsidRDefault="00843F54" w:rsidP="00834461">
      <w:pPr>
        <w:pStyle w:val="NormalIndent"/>
      </w:pPr>
      <w:r w:rsidRPr="00B13D8D">
        <w:rPr>
          <w:b/>
        </w:rPr>
        <w:t>Projects valued at $</w:t>
      </w:r>
      <w:r w:rsidRPr="00B13D8D" w:rsidDel="00A35D39">
        <w:rPr>
          <w:b/>
        </w:rPr>
        <w:t>10</w:t>
      </w:r>
      <w:r w:rsidR="00A35D39">
        <w:rPr>
          <w:rFonts w:ascii="Calibri" w:hAnsi="Calibri" w:cs="Calibri"/>
          <w:b/>
        </w:rPr>
        <w:t> </w:t>
      </w:r>
      <w:r w:rsidRPr="00B13D8D">
        <w:rPr>
          <w:b/>
        </w:rPr>
        <w:t xml:space="preserve">million or </w:t>
      </w:r>
      <w:r w:rsidRPr="000D045B">
        <w:rPr>
          <w:b/>
        </w:rPr>
        <w:t>greater</w:t>
      </w:r>
      <w:r w:rsidRPr="00843F54">
        <w:rPr>
          <w:rFonts w:cs="Arial"/>
          <w:color w:val="87189D" w:themeColor="accent1"/>
        </w:rPr>
        <w:t xml:space="preserve"> </w:t>
      </w:r>
      <w:r w:rsidRPr="000D045B">
        <w:t xml:space="preserve">are </w:t>
      </w:r>
      <w:r>
        <w:t xml:space="preserve">required to undertake </w:t>
      </w:r>
      <w:r w:rsidR="0015052E" w:rsidRPr="007B303A">
        <w:t>QAIR</w:t>
      </w:r>
      <w:r w:rsidR="0015052E">
        <w:t xml:space="preserve"> to report </w:t>
      </w:r>
      <w:r w:rsidR="0015052E" w:rsidRPr="000D3F4A">
        <w:t xml:space="preserve">to </w:t>
      </w:r>
      <w:r w:rsidR="0015052E">
        <w:t>g</w:t>
      </w:r>
      <w:r w:rsidR="0015052E" w:rsidRPr="000D3F4A">
        <w:t xml:space="preserve">overnment on </w:t>
      </w:r>
      <w:r w:rsidR="0015052E">
        <w:t xml:space="preserve">project </w:t>
      </w:r>
      <w:r w:rsidR="0015052E" w:rsidRPr="000D3F4A">
        <w:t>progress and delivery confidence</w:t>
      </w:r>
      <w:r w:rsidR="0015052E">
        <w:t xml:space="preserve"> every quarter</w:t>
      </w:r>
      <w:r w:rsidR="0015052E" w:rsidRPr="000D3F4A">
        <w:t>.</w:t>
      </w:r>
    </w:p>
    <w:p w14:paraId="0C159542" w14:textId="05FC73C7" w:rsidR="00843F54" w:rsidRDefault="00843F54" w:rsidP="00834461">
      <w:pPr>
        <w:pStyle w:val="NormalIndent"/>
      </w:pPr>
      <w:r w:rsidRPr="000D045B">
        <w:rPr>
          <w:b/>
        </w:rPr>
        <w:t>Projects valued less than $10</w:t>
      </w:r>
      <w:r w:rsidR="00A35D39">
        <w:rPr>
          <w:rFonts w:ascii="Calibri" w:hAnsi="Calibri" w:cs="Calibri"/>
          <w:b/>
        </w:rPr>
        <w:t> </w:t>
      </w:r>
      <w:r w:rsidRPr="000D045B">
        <w:rPr>
          <w:b/>
        </w:rPr>
        <w:t>million</w:t>
      </w:r>
      <w:r w:rsidRPr="000D045B">
        <w:t xml:space="preserve"> </w:t>
      </w:r>
      <w:r>
        <w:t>are not subject to central agency assurance. Practitioners should apply departmental assurance processes as appropriate.</w:t>
      </w:r>
    </w:p>
    <w:p w14:paraId="330BBB3A" w14:textId="04237B33" w:rsidR="0015052E" w:rsidRDefault="0015052E">
      <w:pPr>
        <w:keepLines w:val="0"/>
        <w:spacing w:before="0" w:after="200" w:line="276" w:lineRule="auto"/>
      </w:pPr>
    </w:p>
    <w:p w14:paraId="6DB7F317" w14:textId="6DD9EC03" w:rsidR="00A937FD" w:rsidRPr="008B6855" w:rsidRDefault="00A937FD" w:rsidP="00787803">
      <w:pPr>
        <w:pStyle w:val="Partheading"/>
      </w:pPr>
      <w:bookmarkStart w:id="112" w:name="Part2"/>
      <w:bookmarkStart w:id="113" w:name="_Ref119319860"/>
      <w:bookmarkStart w:id="114" w:name="_Toc124245433"/>
      <w:bookmarkStart w:id="115" w:name="_Toc124245445"/>
      <w:bookmarkStart w:id="116" w:name="_Toc124245444"/>
      <w:bookmarkStart w:id="117" w:name="_Toc25662693"/>
      <w:bookmarkStart w:id="118" w:name="_Toc161321752"/>
      <w:r w:rsidRPr="008B6855">
        <w:t xml:space="preserve">Part </w:t>
      </w:r>
      <w:r w:rsidR="00383589">
        <w:t>2</w:t>
      </w:r>
      <w:bookmarkEnd w:id="112"/>
      <w:r w:rsidRPr="008B6855">
        <w:t>: Developing the procurement strategy</w:t>
      </w:r>
      <w:bookmarkEnd w:id="118"/>
    </w:p>
    <w:p w14:paraId="6ED4EB65" w14:textId="2533FB37" w:rsidR="005D1780" w:rsidRDefault="000D3FD8" w:rsidP="005D1780">
      <w:r>
        <w:t xml:space="preserve">Part </w:t>
      </w:r>
      <w:r w:rsidR="00383589">
        <w:t>2</w:t>
      </w:r>
      <w:r>
        <w:t xml:space="preserve"> of this Guideline</w:t>
      </w:r>
      <w:r w:rsidRPr="00F47818" w:rsidDel="000D3FD8">
        <w:t xml:space="preserve"> </w:t>
      </w:r>
      <w:r w:rsidR="0089495D">
        <w:t xml:space="preserve">(Chapters </w:t>
      </w:r>
      <w:r w:rsidR="00383589">
        <w:t>2</w:t>
      </w:r>
      <w:r w:rsidR="0089495D">
        <w:t xml:space="preserve"> to </w:t>
      </w:r>
      <w:r w:rsidR="00383589">
        <w:t>4</w:t>
      </w:r>
      <w:r w:rsidR="0089495D">
        <w:t>)</w:t>
      </w:r>
      <w:r w:rsidR="005D1780" w:rsidRPr="00F47818">
        <w:t>outlines the approach to developing and documenting a procurement strategy</w:t>
      </w:r>
      <w:r w:rsidR="005D1780">
        <w:t>. It</w:t>
      </w:r>
      <w:r w:rsidR="005D1780" w:rsidRPr="00F47818">
        <w:t xml:space="preserve"> includ</w:t>
      </w:r>
      <w:r w:rsidR="005D1780">
        <w:t>es</w:t>
      </w:r>
      <w:r w:rsidR="005D1780" w:rsidRPr="00F47818">
        <w:t xml:space="preserve"> undertaking analysis for project structuring, bundling and packaging strategies and procurement model selection. It identifies the decision points and recommendations to be made in each step, highlighting the key issues that underpin those decisions.</w:t>
      </w:r>
    </w:p>
    <w:p w14:paraId="450226DC" w14:textId="251B474B" w:rsidR="005D1780" w:rsidRDefault="00FC0CF7" w:rsidP="0030478B">
      <w:pPr>
        <w:ind w:right="116"/>
      </w:pPr>
      <w:r>
        <w:t xml:space="preserve">Part </w:t>
      </w:r>
      <w:r w:rsidR="00CC772E">
        <w:t>two</w:t>
      </w:r>
      <w:r>
        <w:t xml:space="preserve"> of this Guideline</w:t>
      </w:r>
      <w:r w:rsidDel="00FC0CF7">
        <w:t xml:space="preserve"> </w:t>
      </w:r>
      <w:r>
        <w:t xml:space="preserve">also </w:t>
      </w:r>
      <w:r w:rsidR="005D1780" w:rsidRPr="00F47818">
        <w:t xml:space="preserve">provides an overview </w:t>
      </w:r>
      <w:r w:rsidR="005D1780">
        <w:t xml:space="preserve">of </w:t>
      </w:r>
      <w:r w:rsidR="005D1780" w:rsidRPr="00F47818">
        <w:t>the different procurement models, their key features and when they are best used.</w:t>
      </w:r>
      <w:r w:rsidR="005D1780">
        <w:t xml:space="preserve"> It lists </w:t>
      </w:r>
      <w:r w:rsidR="00192574">
        <w:t xml:space="preserve">Victorian </w:t>
      </w:r>
      <w:r w:rsidR="00134077">
        <w:t>G</w:t>
      </w:r>
      <w:r w:rsidR="005D1780">
        <w:t>overnment standard form contracts available for use. The resulting strategy provides the road map for implementing the procurement (</w:t>
      </w:r>
      <w:r w:rsidR="00383589">
        <w:fldChar w:fldCharType="begin"/>
      </w:r>
      <w:r w:rsidR="00383589">
        <w:instrText xml:space="preserve"> REF Part3 \h </w:instrText>
      </w:r>
      <w:r w:rsidR="00383589">
        <w:fldChar w:fldCharType="separate"/>
      </w:r>
      <w:r w:rsidR="008A4B3E" w:rsidRPr="00E77C01">
        <w:t xml:space="preserve">Part </w:t>
      </w:r>
      <w:r w:rsidR="008A4B3E">
        <w:t>3</w:t>
      </w:r>
      <w:r w:rsidR="00383589">
        <w:fldChar w:fldCharType="end"/>
      </w:r>
      <w:r w:rsidR="0089495D">
        <w:t xml:space="preserve">, Chapters </w:t>
      </w:r>
      <w:r w:rsidR="00383589">
        <w:t>5</w:t>
      </w:r>
      <w:r w:rsidR="0089495D">
        <w:t xml:space="preserve"> to </w:t>
      </w:r>
      <w:r w:rsidR="00383589">
        <w:t>10</w:t>
      </w:r>
      <w:r w:rsidR="005D1780">
        <w:t>).</w:t>
      </w:r>
    </w:p>
    <w:p w14:paraId="4A3D1421" w14:textId="54F48E41" w:rsidR="00B172BB" w:rsidRPr="003B5002" w:rsidRDefault="77A93FF4" w:rsidP="001D2615">
      <w:pPr>
        <w:pStyle w:val="Heading1numbered"/>
      </w:pPr>
      <w:bookmarkStart w:id="119" w:name="_Ref144280214"/>
      <w:bookmarkStart w:id="120" w:name="_Toc161321753"/>
      <w:r w:rsidRPr="580BCC84">
        <w:t>Procurement strategy</w:t>
      </w:r>
      <w:bookmarkEnd w:id="119"/>
      <w:bookmarkEnd w:id="120"/>
    </w:p>
    <w:p w14:paraId="4E83CB84" w14:textId="37865394" w:rsidR="008B50E2" w:rsidRDefault="008B50E2" w:rsidP="00171CF8">
      <w:pPr>
        <w:pStyle w:val="Captionindent"/>
      </w:pPr>
      <w:bookmarkStart w:id="121" w:name="_Toc145621471"/>
      <w:bookmarkStart w:id="122" w:name="_Toc145621600"/>
      <w:bookmarkStart w:id="123" w:name="_Toc160457776"/>
      <w:r>
        <w:t xml:space="preserve">Figure </w:t>
      </w:r>
      <w:r>
        <w:fldChar w:fldCharType="begin"/>
      </w:r>
      <w:r>
        <w:instrText>SEQ Figure \* ARABIC</w:instrText>
      </w:r>
      <w:r>
        <w:fldChar w:fldCharType="separate"/>
      </w:r>
      <w:r w:rsidR="008A4B3E">
        <w:rPr>
          <w:noProof/>
        </w:rPr>
        <w:t>7</w:t>
      </w:r>
      <w:r>
        <w:fldChar w:fldCharType="end"/>
      </w:r>
      <w:r w:rsidR="005504CB">
        <w:t xml:space="preserve"> – </w:t>
      </w:r>
      <w:r w:rsidRPr="00145C92">
        <w:t>Chapter 2 overview</w:t>
      </w:r>
      <w:bookmarkEnd w:id="121"/>
      <w:bookmarkEnd w:id="122"/>
      <w:bookmarkEnd w:id="123"/>
    </w:p>
    <w:p w14:paraId="78602621" w14:textId="7F2C3D1A" w:rsidR="008B50E2" w:rsidRPr="00AD4BBF" w:rsidRDefault="00056DA0" w:rsidP="00171CF8">
      <w:pPr>
        <w:pStyle w:val="NormalIndent"/>
        <w:rPr>
          <w:highlight w:val="yellow"/>
        </w:rPr>
      </w:pPr>
      <w:r w:rsidRPr="00F93B3F">
        <w:rPr>
          <w:noProof/>
        </w:rPr>
        <w:drawing>
          <wp:inline distT="0" distB="0" distL="0" distR="0" wp14:anchorId="5F31061B" wp14:editId="5507CBE0">
            <wp:extent cx="5223354" cy="1398720"/>
            <wp:effectExtent l="0" t="0" r="0" b="0"/>
            <wp:docPr id="329790053" name="Graphic 329790053" descr="Figure 7 provides an overview of the contents of the following chapt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0053" name="Picture 329790053" descr="Figure 7 provides an overview of the contents of the following chapter (2)"/>
                    <pic:cNvPicPr/>
                  </pic:nvPicPr>
                  <pic:blipFill>
                    <a:blip r:embed="rId81" cstate="screen">
                      <a:extLst>
                        <a:ext uri="{28A0092B-C50C-407E-A947-70E740481C1C}">
                          <a14:useLocalDpi xmlns:a14="http://schemas.microsoft.com/office/drawing/2010/main"/>
                        </a:ext>
                        <a:ext uri="{96DAC541-7B7A-43D3-8B79-37D633B846F1}">
                          <asvg:svgBlip xmlns:asvg="http://schemas.microsoft.com/office/drawing/2016/SVG/main" r:embed="rId82"/>
                        </a:ext>
                      </a:extLst>
                    </a:blip>
                    <a:stretch>
                      <a:fillRect/>
                    </a:stretch>
                  </pic:blipFill>
                  <pic:spPr>
                    <a:xfrm>
                      <a:off x="0" y="0"/>
                      <a:ext cx="5238009" cy="1402644"/>
                    </a:xfrm>
                    <a:prstGeom prst="rect">
                      <a:avLst/>
                    </a:prstGeom>
                  </pic:spPr>
                </pic:pic>
              </a:graphicData>
            </a:graphic>
          </wp:inline>
        </w:drawing>
      </w:r>
    </w:p>
    <w:p w14:paraId="59A31EA7" w14:textId="77777777" w:rsidR="00B172BB" w:rsidRPr="00417464" w:rsidRDefault="5EADE992" w:rsidP="001D2615">
      <w:pPr>
        <w:pStyle w:val="Heading2numbered"/>
      </w:pPr>
      <w:bookmarkStart w:id="124" w:name="_Toc161321754"/>
      <w:r w:rsidRPr="5500A5F5">
        <w:t>What is a procurement strategy?</w:t>
      </w:r>
      <w:bookmarkEnd w:id="124"/>
    </w:p>
    <w:p w14:paraId="61DBC621" w14:textId="635E68DA" w:rsidR="00946039" w:rsidRPr="00F47818" w:rsidRDefault="00946039" w:rsidP="00834461">
      <w:pPr>
        <w:pStyle w:val="NormalIndent"/>
        <w:rPr>
          <w:rFonts w:cs="Times New Roman"/>
        </w:rPr>
      </w:pPr>
      <w:r w:rsidRPr="00F47818">
        <w:t xml:space="preserve">A procurement strategy establishes the procurement </w:t>
      </w:r>
      <w:r>
        <w:t>o</w:t>
      </w:r>
      <w:r w:rsidR="072890E1">
        <w:t>utcomes</w:t>
      </w:r>
      <w:r w:rsidRPr="00F47818">
        <w:t xml:space="preserve"> for a given project and sets out a high-level plan for optimising and achieving them. It documents (to the scale and complexity suitable for the project) the intended project structure, bundling and packaging approach</w:t>
      </w:r>
      <w:r w:rsidR="003B1776">
        <w:t xml:space="preserve"> and</w:t>
      </w:r>
      <w:r w:rsidRPr="00F47818">
        <w:t xml:space="preserve"> </w:t>
      </w:r>
      <w:r>
        <w:t xml:space="preserve">consideration of the appropriate </w:t>
      </w:r>
      <w:r w:rsidRPr="00F86C33">
        <w:t>procurement model</w:t>
      </w:r>
      <w:r>
        <w:t>(</w:t>
      </w:r>
      <w:r w:rsidRPr="00F86C33">
        <w:t>s</w:t>
      </w:r>
      <w:r>
        <w:t>)</w:t>
      </w:r>
      <w:r w:rsidR="003B1776">
        <w:t>. It</w:t>
      </w:r>
      <w:r w:rsidRPr="00F47818">
        <w:t xml:space="preserve"> identifies the project characteristics and risks that are likely to have the greatest influence on successful procurement and delivery</w:t>
      </w:r>
      <w:r>
        <w:t>.</w:t>
      </w:r>
    </w:p>
    <w:p w14:paraId="474CDB8B" w14:textId="55E8CDDD" w:rsidR="00946039" w:rsidRDefault="00946039" w:rsidP="00834461">
      <w:pPr>
        <w:pStyle w:val="NormalIndent"/>
      </w:pPr>
      <w:r w:rsidRPr="00F47818">
        <w:t xml:space="preserve">The procurement strategy presents an assessment of the ability to achieve the procurement </w:t>
      </w:r>
      <w:r>
        <w:t>o</w:t>
      </w:r>
      <w:r w:rsidR="51DB43E7">
        <w:t>utcomes</w:t>
      </w:r>
      <w:r w:rsidRPr="00F47818">
        <w:t xml:space="preserve"> under different procurement models, having regard to the desired project structure and packaging approach </w:t>
      </w:r>
      <w:r>
        <w:t>as well as</w:t>
      </w:r>
      <w:r w:rsidRPr="00F47818">
        <w:t xml:space="preserve"> key risks and considerations. It makes a recommendation on the overall procurement approach that will maximise </w:t>
      </w:r>
      <w:r>
        <w:t>the</w:t>
      </w:r>
      <w:r w:rsidRPr="00F47818">
        <w:t xml:space="preserve"> service </w:t>
      </w:r>
      <w:r>
        <w:t>outcomes</w:t>
      </w:r>
      <w:r w:rsidRPr="00F47818">
        <w:t xml:space="preserve"> </w:t>
      </w:r>
      <w:r>
        <w:t xml:space="preserve">of an investment </w:t>
      </w:r>
      <w:r w:rsidRPr="00F47818">
        <w:t>while delivering value</w:t>
      </w:r>
      <w:r>
        <w:t>-</w:t>
      </w:r>
      <w:r w:rsidRPr="00F47818">
        <w:t>for</w:t>
      </w:r>
      <w:r>
        <w:t>-</w:t>
      </w:r>
      <w:r w:rsidRPr="00F47818">
        <w:t>money.</w:t>
      </w:r>
    </w:p>
    <w:p w14:paraId="6A8F517D" w14:textId="16FB24AA" w:rsidR="00946039" w:rsidRPr="007C4A82" w:rsidRDefault="00946039" w:rsidP="00834461">
      <w:pPr>
        <w:pStyle w:val="NormalIndent"/>
      </w:pPr>
      <w:r>
        <w:t xml:space="preserve">The procurement strategy </w:t>
      </w:r>
      <w:r w:rsidR="00CC04F4">
        <w:t>i</w:t>
      </w:r>
      <w:r>
        <w:t xml:space="preserve">s a key component of </w:t>
      </w:r>
      <w:r w:rsidR="00A2677C">
        <w:t xml:space="preserve">the development of </w:t>
      </w:r>
      <w:r>
        <w:t>a business case, a</w:t>
      </w:r>
      <w:r w:rsidRPr="006C0212">
        <w:t>s the decision to fund a project includes a decision on the procurement methodology</w:t>
      </w:r>
      <w:r>
        <w:t xml:space="preserve"> supported by robust analysis of all suitable procurement options. The business case must demonstrate that the investment would be procured </w:t>
      </w:r>
      <w:r w:rsidR="0091379A">
        <w:t>using</w:t>
      </w:r>
      <w:r>
        <w:t xml:space="preserve"> the most appropriate method and provide an overview of the recommended procurement strategy.</w:t>
      </w:r>
    </w:p>
    <w:p w14:paraId="17361B21" w14:textId="77777777" w:rsidR="00B172BB" w:rsidRPr="00A3215A" w:rsidRDefault="00B172BB" w:rsidP="001D2615">
      <w:pPr>
        <w:pStyle w:val="Heading2numbered"/>
      </w:pPr>
      <w:bookmarkStart w:id="125" w:name="_Toc139452886"/>
      <w:bookmarkStart w:id="126" w:name="_Toc161321755"/>
      <w:r w:rsidRPr="00A3215A">
        <w:t>Why is a robust procurement strategy necessary?</w:t>
      </w:r>
      <w:bookmarkEnd w:id="125"/>
      <w:bookmarkEnd w:id="126"/>
    </w:p>
    <w:p w14:paraId="11BB77FD" w14:textId="13032EEA" w:rsidR="00B172BB" w:rsidRPr="00F47818" w:rsidRDefault="7A852DC1" w:rsidP="00834461">
      <w:pPr>
        <w:pStyle w:val="NormalIndent"/>
      </w:pPr>
      <w:r w:rsidRPr="00F47818">
        <w:t>A robust procurement strategy ensures that project approval and funding decision</w:t>
      </w:r>
      <w:r w:rsidR="00F143F5">
        <w:t>s</w:t>
      </w:r>
      <w:r w:rsidRPr="00F47818">
        <w:t xml:space="preserve"> </w:t>
      </w:r>
      <w:r w:rsidR="00F143F5">
        <w:t>are</w:t>
      </w:r>
      <w:r w:rsidR="00F143F5" w:rsidRPr="00F47818">
        <w:t xml:space="preserve"> </w:t>
      </w:r>
      <w:r w:rsidRPr="00F47818">
        <w:t>underpinned by a justifiable, evidence-based rationale for the recommended procurement approach</w:t>
      </w:r>
      <w:r w:rsidR="00620E90">
        <w:t xml:space="preserve">. </w:t>
      </w:r>
      <w:r w:rsidR="1500F087" w:rsidRPr="00F47818">
        <w:t xml:space="preserve">It provides </w:t>
      </w:r>
      <w:r w:rsidRPr="00F47818">
        <w:t xml:space="preserve">decision-makers with confidence that the risks and issues likely to impact project procurement and delivery </w:t>
      </w:r>
      <w:r w:rsidR="00946039">
        <w:t>have been</w:t>
      </w:r>
      <w:r w:rsidRPr="00F47818">
        <w:t xml:space="preserve"> identified</w:t>
      </w:r>
      <w:r w:rsidR="00946039">
        <w:t xml:space="preserve"> and </w:t>
      </w:r>
      <w:r w:rsidRPr="00F47818">
        <w:t xml:space="preserve">analysed and </w:t>
      </w:r>
      <w:r w:rsidR="00946039">
        <w:t xml:space="preserve">will be </w:t>
      </w:r>
      <w:r w:rsidRPr="00F47818">
        <w:t>appropriately managed</w:t>
      </w:r>
      <w:r w:rsidR="00946039">
        <w:t>. This</w:t>
      </w:r>
      <w:r w:rsidR="00946039" w:rsidRPr="00F47818">
        <w:t xml:space="preserve"> improv</w:t>
      </w:r>
      <w:r w:rsidR="00946039">
        <w:t>es</w:t>
      </w:r>
      <w:r w:rsidRPr="00F47818">
        <w:t xml:space="preserve"> the likelihood that a project can be delivered on time</w:t>
      </w:r>
      <w:r w:rsidR="003B0D21">
        <w:t>,</w:t>
      </w:r>
      <w:r w:rsidRPr="00F47818">
        <w:t xml:space="preserve"> </w:t>
      </w:r>
      <w:r w:rsidR="002A32E8">
        <w:t>within</w:t>
      </w:r>
      <w:r w:rsidRPr="00F47818">
        <w:t xml:space="preserve"> </w:t>
      </w:r>
      <w:r w:rsidRPr="003B0D21">
        <w:t xml:space="preserve">budget </w:t>
      </w:r>
      <w:r w:rsidRPr="00AD73E4">
        <w:t xml:space="preserve">and </w:t>
      </w:r>
      <w:r w:rsidR="003B0D21" w:rsidRPr="00AD73E4">
        <w:t xml:space="preserve">to </w:t>
      </w:r>
      <w:r w:rsidRPr="00AD73E4">
        <w:t>scope</w:t>
      </w:r>
      <w:r w:rsidR="00620E90" w:rsidRPr="00AD73E4">
        <w:t>.</w:t>
      </w:r>
    </w:p>
    <w:p w14:paraId="5FF6E4D3" w14:textId="0A7C8443" w:rsidR="00946039" w:rsidRPr="00F47818" w:rsidRDefault="00946039" w:rsidP="00834461">
      <w:pPr>
        <w:pStyle w:val="NormalIndent"/>
      </w:pPr>
      <w:r w:rsidRPr="00F47818">
        <w:t>Depending on the selected procurement approach, project parties will have different accountabilities and responsibilities</w:t>
      </w:r>
      <w:r>
        <w:t>.</w:t>
      </w:r>
      <w:r w:rsidRPr="00F47818" w:rsidDel="00F57610">
        <w:t xml:space="preserve"> </w:t>
      </w:r>
      <w:r>
        <w:t>T</w:t>
      </w:r>
      <w:r w:rsidRPr="00F47818">
        <w:t xml:space="preserve">here will be different implications for how project risks are allocated and treated, how cashflows are managed and for governance arrangements and stakeholder interactions. </w:t>
      </w:r>
      <w:r w:rsidRPr="00215799">
        <w:t>Selecting a suboptimal approach can have serious consequences for the success of</w:t>
      </w:r>
      <w:r>
        <w:t xml:space="preserve"> project delivery and the realisation of the project</w:t>
      </w:r>
      <w:r w:rsidR="00344D3F">
        <w:t>’</w:t>
      </w:r>
      <w:r>
        <w:t>s benefits</w:t>
      </w:r>
      <w:r w:rsidRPr="00F47818">
        <w:t>, undermining the case for the investment.</w:t>
      </w:r>
    </w:p>
    <w:p w14:paraId="1DB54A2C" w14:textId="77777777" w:rsidR="00946039" w:rsidRPr="00F47818" w:rsidRDefault="00946039" w:rsidP="00834461">
      <w:pPr>
        <w:pStyle w:val="NormalIndent"/>
      </w:pPr>
      <w:r w:rsidRPr="00F47818">
        <w:t xml:space="preserve">The procurement strategy supports </w:t>
      </w:r>
      <w:r>
        <w:t xml:space="preserve">the justification </w:t>
      </w:r>
      <w:r w:rsidRPr="00F47818" w:rsidDel="00F57610">
        <w:t xml:space="preserve">that an </w:t>
      </w:r>
      <w:r w:rsidRPr="00F47818">
        <w:t xml:space="preserve">investment </w:t>
      </w:r>
      <w:r w:rsidRPr="00F47818" w:rsidDel="00F57610">
        <w:t xml:space="preserve">can be procured </w:t>
      </w:r>
      <w:r w:rsidRPr="00F47818">
        <w:t>in accordance with government legislation and</w:t>
      </w:r>
      <w:r w:rsidRPr="00F47818" w:rsidDel="00F57610">
        <w:t xml:space="preserve"> </w:t>
      </w:r>
      <w:r w:rsidRPr="00F47818">
        <w:t>policies.</w:t>
      </w:r>
    </w:p>
    <w:p w14:paraId="46CA1EB7" w14:textId="77959C3A" w:rsidR="00946039" w:rsidRDefault="00062BB6" w:rsidP="00171CF8">
      <w:pPr>
        <w:pStyle w:val="NormalIndent"/>
        <w:rPr>
          <w:rFonts w:ascii="Calibri" w:hAnsi="Calibri" w:cs="Calibri"/>
        </w:rPr>
      </w:pPr>
      <w:r>
        <w:t xml:space="preserve">The </w:t>
      </w:r>
      <w:r w:rsidR="00946039" w:rsidRPr="00F47818">
        <w:t>Government</w:t>
      </w:r>
      <w:r w:rsidR="00344D3F">
        <w:t>’</w:t>
      </w:r>
      <w:r w:rsidR="00946039" w:rsidRPr="00F47818">
        <w:t xml:space="preserve">s decision to invest includes approval of the overall procurement </w:t>
      </w:r>
      <w:r w:rsidR="00CC1D7F">
        <w:t>strategy</w:t>
      </w:r>
      <w:r w:rsidR="00CC1D7F" w:rsidRPr="00F47818">
        <w:t xml:space="preserve"> </w:t>
      </w:r>
      <w:r w:rsidR="00946039" w:rsidRPr="00F47818">
        <w:t xml:space="preserve">at the business case stage. The recommended procurement </w:t>
      </w:r>
      <w:r w:rsidR="00CC1D7F">
        <w:t>strategy</w:t>
      </w:r>
      <w:r w:rsidR="00CC1D7F" w:rsidRPr="00F47818">
        <w:t xml:space="preserve"> </w:t>
      </w:r>
      <w:r w:rsidR="00946039" w:rsidRPr="00F47818">
        <w:t xml:space="preserve">will be retested and reconfirmed in the </w:t>
      </w:r>
      <w:r w:rsidR="00946039">
        <w:t xml:space="preserve">detailed development and </w:t>
      </w:r>
      <w:r w:rsidR="00946039" w:rsidRPr="00F47818">
        <w:t>procurement stage</w:t>
      </w:r>
      <w:r w:rsidR="00946039">
        <w:t>s</w:t>
      </w:r>
      <w:r w:rsidR="00946039" w:rsidRPr="00F47818">
        <w:t xml:space="preserve">, as more detailed information on </w:t>
      </w:r>
      <w:r w:rsidR="00946039">
        <w:t xml:space="preserve">scope, </w:t>
      </w:r>
      <w:r w:rsidR="00946039" w:rsidRPr="00F47818">
        <w:t>risks and market feedback are obtained.</w:t>
      </w:r>
    </w:p>
    <w:p w14:paraId="0A66AA67" w14:textId="1EBFCB33" w:rsidR="00B172BB" w:rsidRPr="00524BFB" w:rsidRDefault="285B83F7" w:rsidP="001D2615">
      <w:pPr>
        <w:pStyle w:val="Heading1numbered"/>
      </w:pPr>
      <w:bookmarkStart w:id="127" w:name="_Toc124245256"/>
      <w:bookmarkStart w:id="128" w:name="_Toc124245257"/>
      <w:bookmarkStart w:id="129" w:name="_Toc124245259"/>
      <w:bookmarkStart w:id="130" w:name="_Toc124245260"/>
      <w:bookmarkStart w:id="131" w:name="_Toc124245261"/>
      <w:bookmarkStart w:id="132" w:name="_Toc124245262"/>
      <w:bookmarkStart w:id="133" w:name="_Toc124245263"/>
      <w:bookmarkStart w:id="134" w:name="_Toc124245264"/>
      <w:bookmarkStart w:id="135" w:name="_Toc124245265"/>
      <w:bookmarkStart w:id="136" w:name="_Toc124245266"/>
      <w:bookmarkStart w:id="137" w:name="_Toc124245267"/>
      <w:bookmarkStart w:id="138" w:name="_Toc124245268"/>
      <w:bookmarkStart w:id="139" w:name="_Toc124245269"/>
      <w:bookmarkStart w:id="140" w:name="_Toc124245270"/>
      <w:bookmarkStart w:id="141" w:name="_Toc124245271"/>
      <w:bookmarkStart w:id="142" w:name="_Toc124245272"/>
      <w:bookmarkStart w:id="143" w:name="_Toc124245273"/>
      <w:bookmarkStart w:id="144" w:name="_Toc124245274"/>
      <w:bookmarkStart w:id="145" w:name="_Toc124245275"/>
      <w:bookmarkStart w:id="146" w:name="_Toc124245276"/>
      <w:bookmarkStart w:id="147" w:name="_Toc124245277"/>
      <w:bookmarkStart w:id="148" w:name="_Toc124245278"/>
      <w:bookmarkStart w:id="149" w:name="_Toc124245279"/>
      <w:bookmarkStart w:id="150" w:name="_Toc124245280"/>
      <w:bookmarkStart w:id="151" w:name="_Toc124245281"/>
      <w:bookmarkStart w:id="152" w:name="_Toc124245282"/>
      <w:bookmarkStart w:id="153" w:name="_Toc124245283"/>
      <w:bookmarkStart w:id="154" w:name="_Toc124245284"/>
      <w:bookmarkStart w:id="155" w:name="_Toc124245285"/>
      <w:bookmarkStart w:id="156" w:name="_Toc124245286"/>
      <w:bookmarkStart w:id="157" w:name="_Toc124245287"/>
      <w:bookmarkStart w:id="158" w:name="_Toc124245288"/>
      <w:bookmarkStart w:id="159" w:name="_Toc124245289"/>
      <w:bookmarkStart w:id="160" w:name="_Toc124245290"/>
      <w:bookmarkStart w:id="161" w:name="_Toc124245291"/>
      <w:bookmarkStart w:id="162" w:name="_Toc124245292"/>
      <w:bookmarkStart w:id="163" w:name="_Toc124245293"/>
      <w:bookmarkStart w:id="164" w:name="_Toc124245294"/>
      <w:bookmarkStart w:id="165" w:name="_Toc124245295"/>
      <w:bookmarkStart w:id="166" w:name="_Toc124245296"/>
      <w:bookmarkStart w:id="167" w:name="_Toc124245297"/>
      <w:bookmarkStart w:id="168" w:name="_Toc124245298"/>
      <w:bookmarkStart w:id="169" w:name="_Toc124245299"/>
      <w:bookmarkStart w:id="170" w:name="_Toc124245300"/>
      <w:bookmarkStart w:id="171" w:name="_Toc124245301"/>
      <w:bookmarkStart w:id="172" w:name="_Toc124245302"/>
      <w:bookmarkStart w:id="173" w:name="_Toc124245303"/>
      <w:bookmarkStart w:id="174" w:name="_Toc124245304"/>
      <w:bookmarkStart w:id="175" w:name="_Toc124245305"/>
      <w:bookmarkStart w:id="176" w:name="_Toc124245306"/>
      <w:bookmarkStart w:id="177" w:name="_Toc124245307"/>
      <w:bookmarkStart w:id="178" w:name="_Toc124245308"/>
      <w:bookmarkStart w:id="179" w:name="_Toc124245309"/>
      <w:bookmarkStart w:id="180" w:name="_Toc124245310"/>
      <w:bookmarkStart w:id="181" w:name="_Toc124245311"/>
      <w:bookmarkStart w:id="182" w:name="_Toc124245312"/>
      <w:bookmarkStart w:id="183" w:name="_Toc124245313"/>
      <w:bookmarkStart w:id="184" w:name="_Toc124245314"/>
      <w:bookmarkStart w:id="185" w:name="_Toc124245315"/>
      <w:bookmarkStart w:id="186" w:name="_Toc124245316"/>
      <w:bookmarkStart w:id="187" w:name="_Toc124245317"/>
      <w:bookmarkStart w:id="188" w:name="_Toc124245318"/>
      <w:bookmarkStart w:id="189" w:name="_Toc124245319"/>
      <w:bookmarkStart w:id="190" w:name="_Toc124245320"/>
      <w:bookmarkStart w:id="191" w:name="_Toc124245321"/>
      <w:bookmarkStart w:id="192" w:name="_Toc124245322"/>
      <w:bookmarkStart w:id="193" w:name="_Toc124245323"/>
      <w:bookmarkStart w:id="194" w:name="_Toc124245324"/>
      <w:bookmarkStart w:id="195" w:name="_Toc124245325"/>
      <w:bookmarkStart w:id="196" w:name="_Toc124245326"/>
      <w:bookmarkStart w:id="197" w:name="_Toc124245327"/>
      <w:bookmarkStart w:id="198" w:name="_Ref144386571"/>
      <w:bookmarkStart w:id="199" w:name="_Toc124245328"/>
      <w:bookmarkStart w:id="200" w:name="_Toc113449023"/>
      <w:bookmarkStart w:id="201" w:name="_Toc16132175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524BFB">
        <w:t>Process for developing</w:t>
      </w:r>
      <w:r w:rsidR="001F48B5">
        <w:t xml:space="preserve"> a </w:t>
      </w:r>
      <w:r w:rsidRPr="00524BFB">
        <w:t>procurement strategy</w:t>
      </w:r>
      <w:bookmarkEnd w:id="198"/>
      <w:bookmarkEnd w:id="199"/>
      <w:bookmarkEnd w:id="200"/>
      <w:bookmarkEnd w:id="201"/>
    </w:p>
    <w:p w14:paraId="3781DC23" w14:textId="6D870B35" w:rsidR="00DE7C26" w:rsidRDefault="00DE7C26" w:rsidP="00171CF8">
      <w:pPr>
        <w:pStyle w:val="Captionindent"/>
      </w:pPr>
      <w:bookmarkStart w:id="202" w:name="_Toc145621472"/>
      <w:bookmarkStart w:id="203" w:name="_Toc145621601"/>
      <w:bookmarkStart w:id="204" w:name="_Toc160457777"/>
      <w:r>
        <w:t xml:space="preserve">Figure </w:t>
      </w:r>
      <w:r>
        <w:fldChar w:fldCharType="begin"/>
      </w:r>
      <w:r>
        <w:instrText>SEQ Figure \* ARABIC</w:instrText>
      </w:r>
      <w:r>
        <w:fldChar w:fldCharType="separate"/>
      </w:r>
      <w:r w:rsidR="008A4B3E">
        <w:rPr>
          <w:noProof/>
        </w:rPr>
        <w:t>8</w:t>
      </w:r>
      <w:r>
        <w:fldChar w:fldCharType="end"/>
      </w:r>
      <w:r w:rsidR="005504CB">
        <w:t xml:space="preserve"> – </w:t>
      </w:r>
      <w:r w:rsidRPr="00156415">
        <w:t>Chapter 3 overview</w:t>
      </w:r>
      <w:bookmarkEnd w:id="202"/>
      <w:bookmarkEnd w:id="203"/>
      <w:bookmarkEnd w:id="204"/>
    </w:p>
    <w:p w14:paraId="29975670" w14:textId="497B80C1" w:rsidR="00DE7C26" w:rsidRDefault="00897312" w:rsidP="00D21F77">
      <w:pPr>
        <w:pStyle w:val="NormalIndent"/>
        <w:keepNext/>
      </w:pPr>
      <w:r w:rsidRPr="00CB1041">
        <w:rPr>
          <w:noProof/>
        </w:rPr>
        <w:drawing>
          <wp:inline distT="0" distB="0" distL="0" distR="0" wp14:anchorId="22073CBD" wp14:editId="5285DC1E">
            <wp:extent cx="5210827" cy="1615322"/>
            <wp:effectExtent l="0" t="0" r="0" b="4445"/>
            <wp:docPr id="329790054" name="Graphic 329790054" descr="Figure 8 provides an overview of the contents of the following chap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0054" name="Picture 329790054" descr="Figure 8 provides an overview of the contents of the following chapter (3)​"/>
                    <pic:cNvPicPr/>
                  </pic:nvPicPr>
                  <pic:blipFill>
                    <a:blip r:embed="rId83" cstate="screen">
                      <a:extLst>
                        <a:ext uri="{28A0092B-C50C-407E-A947-70E740481C1C}">
                          <a14:useLocalDpi xmlns:a14="http://schemas.microsoft.com/office/drawing/2010/main"/>
                        </a:ext>
                        <a:ext uri="{96DAC541-7B7A-43D3-8B79-37D633B846F1}">
                          <asvg:svgBlip xmlns:asvg="http://schemas.microsoft.com/office/drawing/2016/SVG/main" r:embed="rId84"/>
                        </a:ext>
                      </a:extLst>
                    </a:blip>
                    <a:stretch>
                      <a:fillRect/>
                    </a:stretch>
                  </pic:blipFill>
                  <pic:spPr>
                    <a:xfrm>
                      <a:off x="0" y="0"/>
                      <a:ext cx="5224916" cy="1619689"/>
                    </a:xfrm>
                    <a:prstGeom prst="rect">
                      <a:avLst/>
                    </a:prstGeom>
                  </pic:spPr>
                </pic:pic>
              </a:graphicData>
            </a:graphic>
          </wp:inline>
        </w:drawing>
      </w:r>
    </w:p>
    <w:p w14:paraId="2DDBDEF4" w14:textId="583A8B2B" w:rsidR="00DE7C26" w:rsidRPr="00524BFB" w:rsidRDefault="00DE7C26" w:rsidP="00D21F77">
      <w:pPr>
        <w:pStyle w:val="NormalIndent"/>
        <w:keepNext/>
      </w:pPr>
      <w:r>
        <w:t>D</w:t>
      </w:r>
      <w:r w:rsidRPr="00524BFB">
        <w:t xml:space="preserve">eveloping and documenting </w:t>
      </w:r>
      <w:r w:rsidR="001F48B5">
        <w:t>a</w:t>
      </w:r>
      <w:r w:rsidR="001F48B5" w:rsidRPr="00524BFB">
        <w:t xml:space="preserve"> </w:t>
      </w:r>
      <w:r w:rsidRPr="00524BFB">
        <w:t xml:space="preserve">procurement strategy </w:t>
      </w:r>
      <w:r w:rsidR="001F48B5">
        <w:t>compris</w:t>
      </w:r>
      <w:r w:rsidR="001F48B5" w:rsidRPr="00524BFB">
        <w:t xml:space="preserve">es </w:t>
      </w:r>
      <w:r w:rsidRPr="00524BFB">
        <w:t>five steps:</w:t>
      </w:r>
    </w:p>
    <w:p w14:paraId="67050F6E" w14:textId="77777777" w:rsidR="00B172BB" w:rsidRPr="00524BFB" w:rsidRDefault="285B83F7" w:rsidP="001D2615">
      <w:pPr>
        <w:pStyle w:val="Bulletindent"/>
      </w:pPr>
      <w:r w:rsidRPr="00524BFB">
        <w:rPr>
          <w:b/>
        </w:rPr>
        <w:t>Step 1</w:t>
      </w:r>
      <w:r w:rsidRPr="00524BFB">
        <w:t>: Identify the key project characteristics, risks and other issues likely to influence the success of the project and establish procurement objectives.</w:t>
      </w:r>
    </w:p>
    <w:p w14:paraId="482DD22A" w14:textId="135AB2CB" w:rsidR="00B172BB" w:rsidRPr="00524BFB" w:rsidRDefault="285B83F7" w:rsidP="001D2615">
      <w:pPr>
        <w:pStyle w:val="Bulletindent"/>
      </w:pPr>
      <w:r w:rsidRPr="00524BFB">
        <w:rPr>
          <w:b/>
        </w:rPr>
        <w:t xml:space="preserve">Step </w:t>
      </w:r>
      <w:r w:rsidRPr="00215799">
        <w:t>2</w:t>
      </w:r>
      <w:r w:rsidRPr="00524BFB">
        <w:t>: Confirm project structuring</w:t>
      </w:r>
      <w:r w:rsidR="0D5BA73C" w:rsidRPr="00524BFB">
        <w:t xml:space="preserve"> (including the applicability of programmatic approaches)</w:t>
      </w:r>
      <w:r w:rsidRPr="00524BFB">
        <w:t>, bundling</w:t>
      </w:r>
      <w:r w:rsidR="18751ADD" w:rsidRPr="00524BFB">
        <w:t>,</w:t>
      </w:r>
      <w:r w:rsidRPr="00524BFB">
        <w:t xml:space="preserve"> packaging strategies.</w:t>
      </w:r>
    </w:p>
    <w:p w14:paraId="20E481FB" w14:textId="7EB5501F" w:rsidR="00B172BB" w:rsidRPr="00524BFB" w:rsidRDefault="285B83F7" w:rsidP="001D2615">
      <w:pPr>
        <w:pStyle w:val="Bulletindent"/>
      </w:pPr>
      <w:r w:rsidRPr="00524BFB">
        <w:rPr>
          <w:b/>
        </w:rPr>
        <w:t xml:space="preserve">Step </w:t>
      </w:r>
      <w:r w:rsidRPr="00215799">
        <w:t>3</w:t>
      </w:r>
      <w:r w:rsidRPr="00524BFB">
        <w:t>: Test the procurement model fit and shortlist.</w:t>
      </w:r>
    </w:p>
    <w:p w14:paraId="795B4329" w14:textId="77777777" w:rsidR="00B172BB" w:rsidRPr="00524BFB" w:rsidRDefault="285B83F7" w:rsidP="001D2615">
      <w:pPr>
        <w:pStyle w:val="Bulletindent"/>
      </w:pPr>
      <w:r w:rsidRPr="00524BFB">
        <w:rPr>
          <w:b/>
        </w:rPr>
        <w:t xml:space="preserve">Step </w:t>
      </w:r>
      <w:r w:rsidRPr="00215799">
        <w:t>4</w:t>
      </w:r>
      <w:r w:rsidRPr="00524BFB">
        <w:t xml:space="preserve">: Undertake detailed procurement model analysis to identify which procurement option is likely to optimise project or program strategic objectives, address risks and deliver </w:t>
      </w:r>
      <w:r w:rsidRPr="003C0DF4">
        <w:t>public value</w:t>
      </w:r>
      <w:r w:rsidRPr="00524BFB">
        <w:t>.</w:t>
      </w:r>
    </w:p>
    <w:p w14:paraId="3D2C78F3" w14:textId="0B778CD0" w:rsidR="00B172BB" w:rsidRPr="00524BFB" w:rsidRDefault="285B83F7" w:rsidP="001D2615">
      <w:pPr>
        <w:pStyle w:val="Bulletindent"/>
      </w:pPr>
      <w:r w:rsidRPr="00524BFB">
        <w:rPr>
          <w:b/>
        </w:rPr>
        <w:t xml:space="preserve">Step </w:t>
      </w:r>
      <w:r w:rsidRPr="00215799">
        <w:t>5</w:t>
      </w:r>
      <w:r w:rsidRPr="00524BFB">
        <w:t xml:space="preserve">: Detail the preferred procurement model(s), addressing how any remaining risks and issues will be managed in the delivery phase </w:t>
      </w:r>
      <w:r w:rsidR="004F4CBB">
        <w:t xml:space="preserve">and </w:t>
      </w:r>
      <w:r w:rsidRPr="00524BFB">
        <w:t>confirming what controls (if any) are needed to realise the given procurement model.</w:t>
      </w:r>
    </w:p>
    <w:p w14:paraId="6E28E242" w14:textId="0461CC0D" w:rsidR="00DE7C26" w:rsidRPr="00524BFB" w:rsidRDefault="00DE7C26" w:rsidP="00834461">
      <w:pPr>
        <w:pStyle w:val="NormalIndent"/>
      </w:pPr>
      <w:r w:rsidRPr="00524BFB">
        <w:t xml:space="preserve">These steps are set out in </w:t>
      </w:r>
      <w:r w:rsidR="00EB3AC0">
        <w:fldChar w:fldCharType="begin" w:fldLock="1"/>
      </w:r>
      <w:r w:rsidR="00EB3AC0">
        <w:instrText xml:space="preserve"> REF _Ref144236742 \h </w:instrText>
      </w:r>
      <w:r w:rsidR="00EB3AC0">
        <w:fldChar w:fldCharType="separate"/>
      </w:r>
      <w:r w:rsidR="003D4A19">
        <w:t xml:space="preserve">Figure </w:t>
      </w:r>
      <w:r w:rsidR="003D4A19">
        <w:rPr>
          <w:noProof/>
        </w:rPr>
        <w:t>9</w:t>
      </w:r>
      <w:r w:rsidR="00EB3AC0">
        <w:fldChar w:fldCharType="end"/>
      </w:r>
      <w:r w:rsidRPr="00524BFB">
        <w:t xml:space="preserve"> and are detailed </w:t>
      </w:r>
      <w:r w:rsidRPr="00153F2E">
        <w:t xml:space="preserve">in </w:t>
      </w:r>
      <w:r w:rsidR="00F3305C">
        <w:t>this</w:t>
      </w:r>
      <w:r w:rsidR="00882562" w:rsidRPr="00153F2E">
        <w:t xml:space="preserve"> </w:t>
      </w:r>
      <w:r w:rsidR="00AF5356">
        <w:t>chapter</w:t>
      </w:r>
      <w:r w:rsidRPr="00153F2E">
        <w:t>.</w:t>
      </w:r>
    </w:p>
    <w:p w14:paraId="317CF1F7" w14:textId="219080D0" w:rsidR="00DE7C26" w:rsidRDefault="00DE7C26" w:rsidP="00834461">
      <w:pPr>
        <w:pStyle w:val="NormalIndent"/>
      </w:pPr>
      <w:r w:rsidRPr="00524BFB">
        <w:t>Project structuring, bundling and packaging decisions should be made upfront with procurement model shortlisting, analysis and selection (Steps 3</w:t>
      </w:r>
      <w:r>
        <w:t>–</w:t>
      </w:r>
      <w:r w:rsidRPr="00524BFB">
        <w:t xml:space="preserve">5) undertaken for each identified bundle or package. </w:t>
      </w:r>
      <w:r w:rsidRPr="00524BFB" w:rsidDel="00AE31D2">
        <w:t>However, t</w:t>
      </w:r>
      <w:r w:rsidRPr="00524BFB">
        <w:t>he process is iterativ</w:t>
      </w:r>
      <w:r w:rsidRPr="00524BFB" w:rsidDel="00F57610">
        <w:t>e</w:t>
      </w:r>
      <w:r w:rsidR="00090441">
        <w:t>,</w:t>
      </w:r>
      <w:r w:rsidRPr="00524BFB">
        <w:t xml:space="preserve"> and project structuring, bundling and packaging decisions may need to be revisited if they are found to be sub</w:t>
      </w:r>
      <w:r>
        <w:t>optimal</w:t>
      </w:r>
      <w:r w:rsidR="00090441">
        <w:t xml:space="preserve"> after subsequent stages</w:t>
      </w:r>
      <w:r w:rsidRPr="00524BFB">
        <w:t>.</w:t>
      </w:r>
    </w:p>
    <w:p w14:paraId="685131BC" w14:textId="12BFFA9C" w:rsidR="00EB3AC0" w:rsidRDefault="00EB3AC0" w:rsidP="00EF6EC7">
      <w:pPr>
        <w:pStyle w:val="Captionindent"/>
      </w:pPr>
      <w:bookmarkStart w:id="205" w:name="_Ref144236742"/>
      <w:bookmarkStart w:id="206" w:name="_Toc145621473"/>
      <w:bookmarkStart w:id="207" w:name="_Toc145621602"/>
      <w:bookmarkStart w:id="208" w:name="_Toc160457778"/>
      <w:r>
        <w:t xml:space="preserve">Figure </w:t>
      </w:r>
      <w:r>
        <w:fldChar w:fldCharType="begin"/>
      </w:r>
      <w:r>
        <w:instrText>SEQ Figure \* ARABIC</w:instrText>
      </w:r>
      <w:r>
        <w:fldChar w:fldCharType="separate"/>
      </w:r>
      <w:r w:rsidR="008A4B3E">
        <w:rPr>
          <w:noProof/>
        </w:rPr>
        <w:t>9</w:t>
      </w:r>
      <w:r>
        <w:fldChar w:fldCharType="end"/>
      </w:r>
      <w:bookmarkEnd w:id="205"/>
      <w:r w:rsidR="00E958D5">
        <w:t xml:space="preserve"> –</w:t>
      </w:r>
      <w:r w:rsidRPr="00FB6BE5">
        <w:t xml:space="preserve"> Process for developing a robust procurement strategy</w:t>
      </w:r>
      <w:bookmarkEnd w:id="206"/>
      <w:bookmarkEnd w:id="207"/>
      <w:bookmarkEnd w:id="208"/>
    </w:p>
    <w:p w14:paraId="770BF41C" w14:textId="55592D22" w:rsidR="0059583D" w:rsidRDefault="0059583D" w:rsidP="00EF6EC7">
      <w:pPr>
        <w:pStyle w:val="NormalIndent"/>
      </w:pPr>
      <w:r>
        <w:rPr>
          <w:noProof/>
        </w:rPr>
        <w:drawing>
          <wp:inline distT="0" distB="0" distL="0" distR="0" wp14:anchorId="59254798" wp14:editId="54492A59">
            <wp:extent cx="5265970" cy="4655127"/>
            <wp:effectExtent l="0" t="0" r="0" b="0"/>
            <wp:docPr id="10" name="Graphic 10" descr="Figure 9 details development and documenting the procurement strategy including the following five steps: ​&#10;&#10;Step 1: Identify the key project characteristics, risks and other issues likely to influence the success of the project and establish procurement objectives. ​&#10;&#10;Step 2: Confirm project structuring (including the applicability of programmatic approaches), bundling, packaging strategies. ​&#10;&#10;Step 3: Test the procurement model fit and shortlist. ​&#10;&#10;Step 4: Undertake detailed procurement model analysis to identify which procurement option is likely to optimise project or program strategic objectives, address risks and deliver public value. ​&#10;&#10;Step 5: Detail the preferred procurement model(s), including addressing how any remaining risks and issues will be managed in the delivery phase confirming what controls (if any) are needed to realise the given procurement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Figure 9 details development and documenting the procurement strategy including the following five steps: ​&#10;&#10;Step 1: Identify the key project characteristics, risks and other issues likely to influence the success of the project and establish procurement objectives. ​&#10;&#10;Step 2: Confirm project structuring (including the applicability of programmatic approaches), bundling, packaging strategies. ​&#10;&#10;Step 3: Test the procurement model fit and shortlist. ​&#10;&#10;Step 4: Undertake detailed procurement model analysis to identify which procurement option is likely to optimise project or program strategic objectives, address risks and deliver public value. ​&#10;&#10;Step 5: Detail the preferred procurement model(s), including addressing how any remaining risks and issues will be managed in the delivery phase confirming what controls (if any) are needed to realise the given procurement model. "/>
                    <pic:cNvPicPr/>
                  </pic:nvPicPr>
                  <pic:blipFill>
                    <a:blip r:embed="rId85" cstate="screen">
                      <a:extLst>
                        <a:ext uri="{28A0092B-C50C-407E-A947-70E740481C1C}">
                          <a14:useLocalDpi xmlns:a14="http://schemas.microsoft.com/office/drawing/2010/main"/>
                        </a:ext>
                        <a:ext uri="{96DAC541-7B7A-43D3-8B79-37D633B846F1}">
                          <asvg:svgBlip xmlns:asvg="http://schemas.microsoft.com/office/drawing/2016/SVG/main" r:embed="rId86"/>
                        </a:ext>
                      </a:extLst>
                    </a:blip>
                    <a:stretch>
                      <a:fillRect/>
                    </a:stretch>
                  </pic:blipFill>
                  <pic:spPr>
                    <a:xfrm>
                      <a:off x="0" y="0"/>
                      <a:ext cx="5267841" cy="4656781"/>
                    </a:xfrm>
                    <a:prstGeom prst="rect">
                      <a:avLst/>
                    </a:prstGeom>
                  </pic:spPr>
                </pic:pic>
              </a:graphicData>
            </a:graphic>
          </wp:inline>
        </w:drawing>
      </w:r>
    </w:p>
    <w:p w14:paraId="3879ED7A" w14:textId="77777777" w:rsidR="0030478B" w:rsidRPr="00524BFB" w:rsidRDefault="0030478B" w:rsidP="00171CF8">
      <w:pPr>
        <w:pStyle w:val="Spacer"/>
      </w:pPr>
    </w:p>
    <w:p w14:paraId="2DD5898A" w14:textId="77777777" w:rsidR="00B172BB" w:rsidRPr="00524BFB" w:rsidRDefault="77A93FF4" w:rsidP="001D2615">
      <w:pPr>
        <w:pStyle w:val="Heading2numbered"/>
      </w:pPr>
      <w:bookmarkStart w:id="209" w:name="Step1"/>
      <w:bookmarkStart w:id="210" w:name="_Toc124245333"/>
      <w:bookmarkStart w:id="211" w:name="_Toc113449024"/>
      <w:bookmarkStart w:id="212" w:name="_Toc161321757"/>
      <w:r w:rsidRPr="00524BFB">
        <w:t>Step 1</w:t>
      </w:r>
      <w:bookmarkEnd w:id="209"/>
      <w:r w:rsidRPr="00524BFB">
        <w:t xml:space="preserve">: Scope key project success factors </w:t>
      </w:r>
      <w:bookmarkEnd w:id="210"/>
      <w:r w:rsidRPr="00524BFB">
        <w:t>and establish procurement objectives</w:t>
      </w:r>
      <w:bookmarkEnd w:id="212"/>
    </w:p>
    <w:p w14:paraId="740A3B49" w14:textId="4D874C47" w:rsidR="00B172BB" w:rsidRPr="00524BFB" w:rsidRDefault="00B172BB" w:rsidP="00834461">
      <w:pPr>
        <w:pStyle w:val="NormalIndent"/>
      </w:pPr>
      <w:r w:rsidRPr="00524BFB">
        <w:t>The first step in developing a procurement strategy is to identify the key issues that may impact the successful delivery of the project outcomes and establish clear procurement objectives. This step will inform decisions on project structuring, packaging</w:t>
      </w:r>
      <w:r w:rsidR="00702A25">
        <w:t xml:space="preserve"> and</w:t>
      </w:r>
      <w:r w:rsidR="00702A25" w:rsidRPr="00524BFB">
        <w:t xml:space="preserve"> </w:t>
      </w:r>
      <w:r w:rsidRPr="00524BFB">
        <w:t>bundling</w:t>
      </w:r>
      <w:r w:rsidR="00702A25">
        <w:t>,</w:t>
      </w:r>
      <w:r w:rsidRPr="00524BFB">
        <w:t xml:space="preserve"> as well as the </w:t>
      </w:r>
      <w:r w:rsidR="007531F8" w:rsidRPr="00524BFB">
        <w:t xml:space="preserve">selection of </w:t>
      </w:r>
      <w:r w:rsidRPr="00524BFB">
        <w:t xml:space="preserve">criteria and associated weightings for procurement </w:t>
      </w:r>
      <w:r w:rsidR="00B869D5">
        <w:t xml:space="preserve">model </w:t>
      </w:r>
      <w:r w:rsidR="00B869D5" w:rsidRPr="00524BFB">
        <w:t xml:space="preserve">options analysis (Step 4). </w:t>
      </w:r>
      <w:r w:rsidRPr="00524BFB">
        <w:t>By thoroughly understanding the project</w:t>
      </w:r>
      <w:r w:rsidR="00344D3F">
        <w:t>’</w:t>
      </w:r>
      <w:r w:rsidRPr="00524BFB">
        <w:t xml:space="preserve">s requirements and delivery </w:t>
      </w:r>
      <w:r w:rsidR="00B869D5" w:rsidRPr="00524BFB">
        <w:t>context</w:t>
      </w:r>
      <w:r w:rsidRPr="00524BFB">
        <w:t xml:space="preserve"> and developing </w:t>
      </w:r>
      <w:r w:rsidR="00702A25">
        <w:t xml:space="preserve">appropriate </w:t>
      </w:r>
      <w:r w:rsidRPr="00524BFB">
        <w:t xml:space="preserve">procurement objectives, practitioners can ensure that the procurement strategy is aligned with the project goals and </w:t>
      </w:r>
      <w:r w:rsidR="0052012D">
        <w:t xml:space="preserve">the project is </w:t>
      </w:r>
      <w:r w:rsidRPr="00524BFB">
        <w:t>set</w:t>
      </w:r>
      <w:r w:rsidR="0052012D">
        <w:t xml:space="preserve"> </w:t>
      </w:r>
      <w:r w:rsidRPr="00524BFB">
        <w:t>up for success.</w:t>
      </w:r>
    </w:p>
    <w:p w14:paraId="47915CA6" w14:textId="261FB6B1" w:rsidR="00B869D5" w:rsidRPr="004F3D2C" w:rsidRDefault="00B869D5" w:rsidP="001D2615">
      <w:pPr>
        <w:pStyle w:val="Heading3numbered"/>
      </w:pPr>
      <w:r w:rsidRPr="004F3D2C">
        <w:t xml:space="preserve">Key factors </w:t>
      </w:r>
      <w:r w:rsidR="00A35D39">
        <w:t>in</w:t>
      </w:r>
      <w:r w:rsidR="00A35D39" w:rsidRPr="004F3D2C">
        <w:t xml:space="preserve"> </w:t>
      </w:r>
      <w:r w:rsidRPr="004F3D2C">
        <w:t>project delivery performance</w:t>
      </w:r>
    </w:p>
    <w:p w14:paraId="2E9C3355" w14:textId="4AB1B921" w:rsidR="00B869D5" w:rsidRDefault="00B869D5" w:rsidP="00834461">
      <w:pPr>
        <w:pStyle w:val="NormalIndent"/>
      </w:pPr>
      <w:r w:rsidRPr="00EF40B4">
        <w:t>To effectively initiate procurement strategy development, it is crucial to assess the key elements of successful project delivery and evaluate the current state of development as documented in the business case and related materials. This assessment support</w:t>
      </w:r>
      <w:r>
        <w:t>s</w:t>
      </w:r>
      <w:r w:rsidRPr="00EF40B4">
        <w:t xml:space="preserve"> an outcomes-focused procurement approach that maximi</w:t>
      </w:r>
      <w:r>
        <w:t>s</w:t>
      </w:r>
      <w:r w:rsidRPr="00EF40B4">
        <w:t xml:space="preserve">es public value. </w:t>
      </w:r>
      <w:r w:rsidR="00AE4508">
        <w:fldChar w:fldCharType="begin" w:fldLock="1"/>
      </w:r>
      <w:r w:rsidR="00AE4508">
        <w:instrText xml:space="preserve"> REF _Ref144236876 \h </w:instrText>
      </w:r>
      <w:r w:rsidR="00AE4508">
        <w:fldChar w:fldCharType="separate"/>
      </w:r>
      <w:r w:rsidR="003D4A19">
        <w:t xml:space="preserve">Figure </w:t>
      </w:r>
      <w:r w:rsidR="003D4A19">
        <w:rPr>
          <w:noProof/>
        </w:rPr>
        <w:t>10</w:t>
      </w:r>
      <w:r w:rsidR="00AE4508">
        <w:fldChar w:fldCharType="end"/>
      </w:r>
      <w:r w:rsidR="00AE4508">
        <w:t xml:space="preserve"> </w:t>
      </w:r>
      <w:r w:rsidRPr="00EF40B4">
        <w:t xml:space="preserve">outlines the key success factors and considerations for project delivery performance which may already be addressed in the business case and related documentation. Each element is </w:t>
      </w:r>
      <w:r>
        <w:t>integral</w:t>
      </w:r>
      <w:r w:rsidRPr="00EF40B4">
        <w:t xml:space="preserve"> to the development of a robust procurement strategy</w:t>
      </w:r>
      <w:r>
        <w:t>.</w:t>
      </w:r>
    </w:p>
    <w:p w14:paraId="6B0F72E4" w14:textId="77777777" w:rsidR="00866595" w:rsidRPr="00866595" w:rsidRDefault="00866595" w:rsidP="00E27BA0">
      <w:pPr>
        <w:rPr>
          <w:b/>
          <w:iCs/>
        </w:rPr>
      </w:pPr>
    </w:p>
    <w:p w14:paraId="6A7B6898" w14:textId="77777777" w:rsidR="00F7267D" w:rsidRDefault="00F7267D" w:rsidP="00B172BB">
      <w:pPr>
        <w:rPr>
          <w:rFonts w:ascii="Arial" w:eastAsia="MS Mincho" w:hAnsi="Arial" w:cs="Times New Roman"/>
          <w:b/>
          <w:bCs/>
          <w:i/>
          <w:iCs/>
          <w:color w:val="232B39"/>
        </w:rPr>
        <w:sectPr w:rsidR="00F7267D" w:rsidSect="00404DFE">
          <w:headerReference w:type="even" r:id="rId87"/>
          <w:headerReference w:type="default" r:id="rId88"/>
          <w:footerReference w:type="even" r:id="rId89"/>
          <w:footerReference w:type="default" r:id="rId90"/>
          <w:headerReference w:type="first" r:id="rId91"/>
          <w:footerReference w:type="first" r:id="rId92"/>
          <w:type w:val="oddPage"/>
          <w:pgSz w:w="11906" w:h="16838" w:code="9"/>
          <w:pgMar w:top="1872" w:right="1440" w:bottom="1440" w:left="1440" w:header="706" w:footer="461" w:gutter="0"/>
          <w:pgNumType w:start="1"/>
          <w:cols w:space="708"/>
          <w:docGrid w:linePitch="360"/>
        </w:sectPr>
      </w:pPr>
    </w:p>
    <w:p w14:paraId="0E52078A" w14:textId="2E3081CF" w:rsidR="00EE2AEA" w:rsidRDefault="00EE2AEA" w:rsidP="00EE2AEA">
      <w:pPr>
        <w:pStyle w:val="Caption"/>
      </w:pPr>
      <w:bookmarkStart w:id="213" w:name="_Ref144236876"/>
      <w:bookmarkStart w:id="214" w:name="_Toc145621474"/>
      <w:bookmarkStart w:id="215" w:name="_Toc145621603"/>
      <w:bookmarkStart w:id="216" w:name="_Toc160457779"/>
      <w:r>
        <w:t xml:space="preserve">Figure </w:t>
      </w:r>
      <w:r>
        <w:fldChar w:fldCharType="begin"/>
      </w:r>
      <w:r>
        <w:instrText>SEQ Figure \* ARABIC</w:instrText>
      </w:r>
      <w:r>
        <w:fldChar w:fldCharType="separate"/>
      </w:r>
      <w:r w:rsidR="008A4B3E">
        <w:rPr>
          <w:noProof/>
        </w:rPr>
        <w:t>10</w:t>
      </w:r>
      <w:r>
        <w:fldChar w:fldCharType="end"/>
      </w:r>
      <w:bookmarkEnd w:id="213"/>
      <w:r w:rsidR="00E958D5">
        <w:t xml:space="preserve"> –</w:t>
      </w:r>
      <w:r w:rsidRPr="00860372">
        <w:t xml:space="preserve"> Key factors </w:t>
      </w:r>
      <w:r w:rsidR="00A35D39">
        <w:t>in</w:t>
      </w:r>
      <w:r w:rsidR="00A35D39" w:rsidRPr="00860372">
        <w:t xml:space="preserve"> </w:t>
      </w:r>
      <w:r w:rsidRPr="00860372">
        <w:t>project delivery performance</w:t>
      </w:r>
      <w:bookmarkEnd w:id="214"/>
      <w:bookmarkEnd w:id="215"/>
      <w:bookmarkEnd w:id="216"/>
    </w:p>
    <w:p w14:paraId="0EF5EBA8" w14:textId="67D9C38A" w:rsidR="00277DF7" w:rsidRDefault="00277DF7" w:rsidP="00ED719C">
      <w:r>
        <w:rPr>
          <w:noProof/>
        </w:rPr>
        <w:drawing>
          <wp:inline distT="0" distB="0" distL="0" distR="0" wp14:anchorId="282F79A6" wp14:editId="2ED26547">
            <wp:extent cx="7898400" cy="5012099"/>
            <wp:effectExtent l="0" t="0" r="7620" b="0"/>
            <wp:docPr id="3" name="Graphic 3" descr="Figure provides an overview of seven key success factors to project delivery performance, related questions that should be asked and where relevant information may be located, including the following Key success factors:​&#10;&#10;- Strategically aligned​&#10;- Clear project ownership and leadership support​&#10;- Clear project  requirements reflecting stakeholder needs​&#10;- Whole-of-life outcomes focus​&#10;- Client capability and capacity to deliver​&#10;- Market capability and capacity to deliver​&#10;- Effective management of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Figure provides an overview of seven key success factors to project delivery performance, related questions that should be asked and where relevant information may be located, including the following Key success factors:​&#10;&#10;- Strategically aligned​&#10;- Clear project ownership and leadership support​&#10;- Clear project  requirements reflecting stakeholder needs​&#10;- Whole-of-life outcomes focus​&#10;- Client capability and capacity to deliver​&#10;- Market capability and capacity to deliver​&#10;- Effective management of risk "/>
                    <pic:cNvPicPr/>
                  </pic:nvPicPr>
                  <pic:blipFill>
                    <a:blip r:embed="rId93" cstate="screen">
                      <a:extLst>
                        <a:ext uri="{28A0092B-C50C-407E-A947-70E740481C1C}">
                          <a14:useLocalDpi xmlns:a14="http://schemas.microsoft.com/office/drawing/2010/main"/>
                        </a:ext>
                        <a:ext uri="{96DAC541-7B7A-43D3-8B79-37D633B846F1}">
                          <asvg:svgBlip xmlns:asvg="http://schemas.microsoft.com/office/drawing/2016/SVG/main" r:embed="rId94"/>
                        </a:ext>
                      </a:extLst>
                    </a:blip>
                    <a:stretch>
                      <a:fillRect/>
                    </a:stretch>
                  </pic:blipFill>
                  <pic:spPr>
                    <a:xfrm>
                      <a:off x="0" y="0"/>
                      <a:ext cx="7902526" cy="5014717"/>
                    </a:xfrm>
                    <a:prstGeom prst="rect">
                      <a:avLst/>
                    </a:prstGeom>
                  </pic:spPr>
                </pic:pic>
              </a:graphicData>
            </a:graphic>
          </wp:inline>
        </w:drawing>
      </w:r>
    </w:p>
    <w:p w14:paraId="1B68737A" w14:textId="0E12521D" w:rsidR="00ED719C" w:rsidRPr="000568AC" w:rsidRDefault="00ED719C" w:rsidP="00ED719C">
      <w:pPr>
        <w:keepNext/>
        <w:numPr>
          <w:ilvl w:val="4"/>
          <w:numId w:val="0"/>
        </w:numPr>
        <w:tabs>
          <w:tab w:val="num" w:pos="792"/>
        </w:tabs>
        <w:spacing w:before="240"/>
        <w:ind w:left="792" w:hanging="792"/>
        <w:jc w:val="center"/>
        <w:outlineLvl w:val="2"/>
        <w:sectPr w:rsidR="00ED719C" w:rsidRPr="000568AC" w:rsidSect="00FB61A9">
          <w:headerReference w:type="default" r:id="rId95"/>
          <w:footerReference w:type="default" r:id="rId96"/>
          <w:pgSz w:w="16838" w:h="11906" w:orient="landscape" w:code="9"/>
          <w:pgMar w:top="1872" w:right="1152" w:bottom="1440" w:left="1152" w:header="706" w:footer="461" w:gutter="0"/>
          <w:cols w:space="708"/>
          <w:docGrid w:linePitch="360"/>
        </w:sectPr>
      </w:pPr>
    </w:p>
    <w:p w14:paraId="25B0293C" w14:textId="7B0E8A81" w:rsidR="00BD6B7D" w:rsidRPr="00524BFB" w:rsidRDefault="00A35D39" w:rsidP="001D2615">
      <w:pPr>
        <w:pStyle w:val="Heading3numbered"/>
      </w:pPr>
      <w:r>
        <w:t>I</w:t>
      </w:r>
      <w:r w:rsidR="00BD6B7D" w:rsidRPr="00524BFB">
        <w:t>dentify key issues influencing project performance and success</w:t>
      </w:r>
    </w:p>
    <w:p w14:paraId="015DF7B5" w14:textId="6EF76C84" w:rsidR="00B172BB" w:rsidRPr="00524BFB" w:rsidRDefault="00B172BB" w:rsidP="002770AB">
      <w:pPr>
        <w:pStyle w:val="Quote"/>
      </w:pPr>
      <w:r w:rsidRPr="00524BFB">
        <w:rPr>
          <w:b/>
        </w:rPr>
        <w:t>Decision point:</w:t>
      </w:r>
      <w:r w:rsidRPr="00524BFB">
        <w:t xml:space="preserve"> What aspects of a project (including objectives, characteristics, risks</w:t>
      </w:r>
      <w:r w:rsidR="00710A0D">
        <w:t xml:space="preserve"> and</w:t>
      </w:r>
      <w:r w:rsidRPr="00524BFB">
        <w:t xml:space="preserve"> controls)</w:t>
      </w:r>
      <w:r w:rsidR="00A35D39">
        <w:t xml:space="preserve">, </w:t>
      </w:r>
      <w:r w:rsidR="004B44B6">
        <w:t>project</w:t>
      </w:r>
      <w:r w:rsidRPr="00524BFB">
        <w:t xml:space="preserve"> delivery and </w:t>
      </w:r>
      <w:r w:rsidR="007A451F">
        <w:t xml:space="preserve">the </w:t>
      </w:r>
      <w:r w:rsidRPr="00524BFB">
        <w:t>operational environment will have the greatest influence on project success?</w:t>
      </w:r>
    </w:p>
    <w:p w14:paraId="0CF499FF" w14:textId="15C7004A" w:rsidR="00B172BB" w:rsidRPr="00524BFB" w:rsidRDefault="00B172BB" w:rsidP="00834461">
      <w:pPr>
        <w:pStyle w:val="NormalIndent"/>
      </w:pPr>
      <w:r w:rsidRPr="00524BFB">
        <w:t xml:space="preserve">To develop a successful </w:t>
      </w:r>
      <w:r w:rsidRPr="00524BFB">
        <w:rPr>
          <w:rFonts w:cstheme="minorHAnsi"/>
          <w:color w:val="auto"/>
        </w:rPr>
        <w:t>procurement</w:t>
      </w:r>
      <w:r w:rsidRPr="00524BFB">
        <w:t xml:space="preserve"> strategy, it is crucial to thoroughly understand the project at the outset. </w:t>
      </w:r>
      <w:r w:rsidR="00710A0D" w:rsidRPr="00524BFB">
        <w:t>This involves identifying the key issues, risks and opportunities facing a project and how these</w:t>
      </w:r>
      <w:r w:rsidR="007A451F">
        <w:t xml:space="preserve"> can</w:t>
      </w:r>
      <w:r w:rsidR="00710A0D" w:rsidRPr="00524BFB">
        <w:t xml:space="preserve"> impact on the successful delivery of its objectives.</w:t>
      </w:r>
    </w:p>
    <w:p w14:paraId="1EC48ACE" w14:textId="3F554642" w:rsidR="00710A0D" w:rsidRPr="00524BFB" w:rsidRDefault="00710A0D" w:rsidP="00834461">
      <w:pPr>
        <w:pStyle w:val="NormalIndent"/>
      </w:pPr>
      <w:r w:rsidRPr="00524BFB">
        <w:t xml:space="preserve">This understanding is typically achieved in a workshop setting with the project team and relevant subject matter experts. </w:t>
      </w:r>
      <w:r w:rsidR="00303F7A">
        <w:t>Further</w:t>
      </w:r>
      <w:r w:rsidRPr="00524BFB">
        <w:t xml:space="preserve"> </w:t>
      </w:r>
      <w:r w:rsidR="00303F7A" w:rsidRPr="00524BFB">
        <w:t>develop</w:t>
      </w:r>
      <w:r w:rsidR="00303F7A">
        <w:t>ment of</w:t>
      </w:r>
      <w:r w:rsidR="00303F7A" w:rsidRPr="00524BFB">
        <w:t xml:space="preserve"> </w:t>
      </w:r>
      <w:r w:rsidRPr="00524BFB">
        <w:t>the strategy rel</w:t>
      </w:r>
      <w:r w:rsidR="00303F7A">
        <w:t>ies</w:t>
      </w:r>
      <w:r w:rsidRPr="00524BFB">
        <w:t xml:space="preserve"> on this information. Therefore, it is essential to invest sufficient effort upfront in understanding and </w:t>
      </w:r>
      <w:r>
        <w:t>scoping</w:t>
      </w:r>
      <w:r w:rsidRPr="00524BFB">
        <w:t xml:space="preserve"> the project to the greatest degree possible.</w:t>
      </w:r>
    </w:p>
    <w:p w14:paraId="750DC488" w14:textId="024BBD70" w:rsidR="00710A0D" w:rsidRPr="00C52DA4" w:rsidRDefault="02EA24AB" w:rsidP="00834461">
      <w:pPr>
        <w:pStyle w:val="NormalIndent"/>
      </w:pPr>
      <w:r>
        <w:t>M</w:t>
      </w:r>
      <w:r w:rsidR="4A1F871F">
        <w:t>any</w:t>
      </w:r>
      <w:r w:rsidR="00710A0D" w:rsidRPr="00C52DA4">
        <w:t xml:space="preserve"> of these issues will already be documented in the business case</w:t>
      </w:r>
      <w:r w:rsidR="00A45461">
        <w:t>.</w:t>
      </w:r>
      <w:r w:rsidR="00710A0D">
        <w:t xml:space="preserve"> </w:t>
      </w:r>
      <w:r w:rsidR="00A45461">
        <w:t>T</w:t>
      </w:r>
      <w:r w:rsidR="00710A0D" w:rsidRPr="00C52DA4">
        <w:t xml:space="preserve">hese </w:t>
      </w:r>
      <w:r w:rsidR="00710A0D" w:rsidRPr="2DA1C254">
        <w:rPr>
          <w:color w:val="auto"/>
        </w:rPr>
        <w:t>issues</w:t>
      </w:r>
      <w:r w:rsidR="00710A0D" w:rsidRPr="00C52DA4">
        <w:t xml:space="preserve"> should be distilled rather than reconsidered in full</w:t>
      </w:r>
      <w:r w:rsidR="00710A0D">
        <w:t>.</w:t>
      </w:r>
      <w:r w:rsidR="00710A0D" w:rsidRPr="00C52DA4">
        <w:t xml:space="preserve"> </w:t>
      </w:r>
      <w:r w:rsidR="00710A0D">
        <w:t xml:space="preserve">However, </w:t>
      </w:r>
      <w:r w:rsidR="00710A0D" w:rsidRPr="00C52DA4" w:rsidDel="00862A6F">
        <w:t>i</w:t>
      </w:r>
      <w:r w:rsidR="00710A0D" w:rsidRPr="00C52DA4">
        <w:t>ssues not documented or considered in the business case will require substantiation in the procurement strategy.</w:t>
      </w:r>
    </w:p>
    <w:p w14:paraId="2C3986BD" w14:textId="46C29511" w:rsidR="00710A0D" w:rsidRDefault="00710A0D" w:rsidP="00834461">
      <w:pPr>
        <w:pStyle w:val="NormalIndent"/>
      </w:pPr>
      <w:r w:rsidRPr="005137DF">
        <w:t xml:space="preserve">Common factors impacting project delivery </w:t>
      </w:r>
      <w:r w:rsidRPr="005137DF">
        <w:rPr>
          <w:color w:val="auto"/>
        </w:rPr>
        <w:t>success</w:t>
      </w:r>
      <w:r w:rsidRPr="005137DF">
        <w:t xml:space="preserve"> are listed in </w:t>
      </w:r>
      <w:r w:rsidR="005137DF" w:rsidRPr="005137DF">
        <w:fldChar w:fldCharType="begin" w:fldLock="1"/>
      </w:r>
      <w:r w:rsidR="005137DF" w:rsidRPr="005137DF">
        <w:instrText xml:space="preserve"> REF _Ref144237115 \h </w:instrText>
      </w:r>
      <w:r w:rsidR="005137DF">
        <w:instrText xml:space="preserve"> \* MERGEFORMAT </w:instrText>
      </w:r>
      <w:r w:rsidR="005137DF" w:rsidRPr="005137DF">
        <w:fldChar w:fldCharType="separate"/>
      </w:r>
      <w:r w:rsidR="003D4A19">
        <w:t xml:space="preserve">Table </w:t>
      </w:r>
      <w:r w:rsidR="003D4A19">
        <w:rPr>
          <w:noProof/>
        </w:rPr>
        <w:t>5</w:t>
      </w:r>
      <w:r w:rsidR="005137DF" w:rsidRPr="005137DF">
        <w:fldChar w:fldCharType="end"/>
      </w:r>
      <w:r w:rsidRPr="005137DF">
        <w:t>, prompting questions to assist in identifying key issues, risks and opportunities listed</w:t>
      </w:r>
      <w:r>
        <w:t xml:space="preserve"> in</w:t>
      </w:r>
      <w:r w:rsidRPr="580BCC84">
        <w:t xml:space="preserve"> </w:t>
      </w:r>
      <w:r w:rsidRPr="002D07C4">
        <w:t>Appendix B.</w:t>
      </w:r>
      <w:r w:rsidRPr="00524BFB">
        <w:t xml:space="preserve"> The extent to which these issues need to be explored will depend on the scope and scale of the project</w:t>
      </w:r>
      <w:r w:rsidR="00DE7D8D">
        <w:t xml:space="preserve">. </w:t>
      </w:r>
      <w:r w:rsidRPr="00524BFB">
        <w:t xml:space="preserve">HVHR projects </w:t>
      </w:r>
      <w:r w:rsidR="00DE7D8D">
        <w:t xml:space="preserve">will </w:t>
      </w:r>
      <w:r w:rsidR="00DE7D8D" w:rsidRPr="00524BFB">
        <w:t>requir</w:t>
      </w:r>
      <w:r w:rsidR="00DE7D8D">
        <w:t>e</w:t>
      </w:r>
      <w:r w:rsidR="00DE7D8D" w:rsidRPr="00524BFB">
        <w:t xml:space="preserve"> </w:t>
      </w:r>
      <w:r w:rsidRPr="00524BFB">
        <w:t>in-depth assessment across all areas.</w:t>
      </w:r>
    </w:p>
    <w:p w14:paraId="35F2BD21" w14:textId="77777777" w:rsidR="00B172BB" w:rsidRDefault="00CB6EFC" w:rsidP="00834461">
      <w:pPr>
        <w:pStyle w:val="NormalIndent"/>
        <w:rPr>
          <w:rFonts w:ascii="Arial" w:hAnsi="Arial"/>
          <w:b/>
          <w:i/>
        </w:rPr>
      </w:pPr>
      <w:r w:rsidRPr="00C52DA4">
        <w:t>The procurement strategy should briefly explain the implications of these issues for procurement and how or why they are likely to inform the procurement strategy.</w:t>
      </w:r>
    </w:p>
    <w:p w14:paraId="17514131" w14:textId="14610CD5" w:rsidR="005137DF" w:rsidRDefault="005137DF" w:rsidP="00171CF8">
      <w:pPr>
        <w:pStyle w:val="Captionindent"/>
      </w:pPr>
      <w:bookmarkStart w:id="217" w:name="_Ref144237115"/>
      <w:bookmarkStart w:id="218" w:name="_Toc145621353"/>
      <w:bookmarkStart w:id="219" w:name="_Toc146097247"/>
      <w:r>
        <w:t xml:space="preserve">Table </w:t>
      </w:r>
      <w:r>
        <w:fldChar w:fldCharType="begin"/>
      </w:r>
      <w:r>
        <w:instrText>SEQ Table \* ARABIC</w:instrText>
      </w:r>
      <w:r>
        <w:fldChar w:fldCharType="separate"/>
      </w:r>
      <w:r w:rsidR="008A4B3E">
        <w:rPr>
          <w:noProof/>
        </w:rPr>
        <w:t>5</w:t>
      </w:r>
      <w:r>
        <w:fldChar w:fldCharType="end"/>
      </w:r>
      <w:bookmarkEnd w:id="217"/>
      <w:r w:rsidR="00F640CE">
        <w:t xml:space="preserve"> –</w:t>
      </w:r>
      <w:r w:rsidRPr="00F00CBB">
        <w:t xml:space="preserve"> </w:t>
      </w:r>
      <w:r w:rsidR="00113040">
        <w:t>I</w:t>
      </w:r>
      <w:r w:rsidRPr="00F00CBB">
        <w:t>ssues influencing project delivery performance and success</w:t>
      </w:r>
      <w:bookmarkEnd w:id="218"/>
      <w:bookmarkEnd w:id="219"/>
    </w:p>
    <w:tbl>
      <w:tblPr>
        <w:tblStyle w:val="DTFtexttableindent"/>
        <w:tblW w:w="8208" w:type="dxa"/>
        <w:tblLook w:val="04A0" w:firstRow="1" w:lastRow="0" w:firstColumn="1" w:lastColumn="0" w:noHBand="0" w:noVBand="1"/>
      </w:tblPr>
      <w:tblGrid>
        <w:gridCol w:w="8208"/>
      </w:tblGrid>
      <w:tr w:rsidR="00710A0D" w14:paraId="2944B09E" w14:textId="77777777" w:rsidTr="005D30F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tcPr>
          <w:p w14:paraId="2680763C" w14:textId="77777777" w:rsidR="00710A0D" w:rsidRPr="00341CA9" w:rsidRDefault="00710A0D" w:rsidP="00F7602B">
            <w:pPr>
              <w:pStyle w:val="Tableheader"/>
              <w:rPr>
                <w:b/>
              </w:rPr>
            </w:pPr>
            <w:r>
              <w:t>Project objectives</w:t>
            </w:r>
          </w:p>
        </w:tc>
      </w:tr>
      <w:tr w:rsidR="00710A0D" w14:paraId="4E0FCA2E" w14:textId="77777777" w:rsidTr="005D30F6">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4B38688D" w14:textId="1BFEB88E" w:rsidR="00710A0D" w:rsidRPr="00341CA9" w:rsidRDefault="00710A0D" w:rsidP="00A83384">
            <w:pPr>
              <w:pStyle w:val="Tabletext"/>
              <w:rPr>
                <w:b/>
                <w:bCs/>
                <w:color w:val="FFFFFF" w:themeColor="background1"/>
              </w:rPr>
            </w:pPr>
            <w:r>
              <w:rPr>
                <w:noProof/>
              </w:rPr>
              <w:drawing>
                <wp:inline distT="0" distB="0" distL="0" distR="0" wp14:anchorId="14C572C5" wp14:editId="75D0BD57">
                  <wp:extent cx="177912" cy="177912"/>
                  <wp:effectExtent l="0" t="0" r="0" b="0"/>
                  <wp:docPr id="16" name="Picture 1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rsidR="00856715">
              <w:t xml:space="preserve"> </w:t>
            </w:r>
            <w:r w:rsidRPr="0033748E">
              <w:rPr>
                <w:sz w:val="18"/>
                <w:szCs w:val="18"/>
              </w:rPr>
              <w:t>Assess the project</w:t>
            </w:r>
            <w:r w:rsidRPr="0033748E" w:rsidDel="00A35D39">
              <w:rPr>
                <w:sz w:val="18"/>
                <w:szCs w:val="18"/>
              </w:rPr>
              <w:t xml:space="preserve"> </w:t>
            </w:r>
            <w:r w:rsidRPr="0033748E">
              <w:rPr>
                <w:sz w:val="18"/>
                <w:szCs w:val="18"/>
              </w:rPr>
              <w:t xml:space="preserve">to outline the </w:t>
            </w:r>
            <w:r w:rsidR="00A35D39" w:rsidRPr="0033748E">
              <w:rPr>
                <w:sz w:val="18"/>
                <w:szCs w:val="18"/>
              </w:rPr>
              <w:t>client</w:t>
            </w:r>
            <w:r w:rsidR="00344D3F" w:rsidRPr="0033748E">
              <w:rPr>
                <w:sz w:val="18"/>
                <w:szCs w:val="18"/>
              </w:rPr>
              <w:t>’</w:t>
            </w:r>
            <w:r w:rsidR="00A35D39" w:rsidRPr="0033748E">
              <w:rPr>
                <w:sz w:val="18"/>
                <w:szCs w:val="18"/>
              </w:rPr>
              <w:t xml:space="preserve">s objectives for </w:t>
            </w:r>
            <w:r w:rsidRPr="0033748E">
              <w:rPr>
                <w:sz w:val="18"/>
                <w:szCs w:val="18"/>
              </w:rPr>
              <w:t>social, economic, environmental, cultural, security, safety or operational</w:t>
            </w:r>
            <w:r w:rsidR="00A35D39" w:rsidRPr="0033748E">
              <w:rPr>
                <w:sz w:val="18"/>
                <w:szCs w:val="18"/>
              </w:rPr>
              <w:t xml:space="preserve"> outcomes</w:t>
            </w:r>
            <w:r w:rsidRPr="0033748E">
              <w:rPr>
                <w:sz w:val="18"/>
                <w:szCs w:val="18"/>
              </w:rPr>
              <w:t>, as well as any desired legacy benefits.</w:t>
            </w:r>
          </w:p>
        </w:tc>
      </w:tr>
      <w:tr w:rsidR="00710A0D" w:rsidRPr="008E1C97" w14:paraId="0848D00E" w14:textId="77777777" w:rsidTr="005D30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232B39" w:themeFill="text1"/>
          </w:tcPr>
          <w:p w14:paraId="4ECC2233" w14:textId="77777777" w:rsidR="00710A0D" w:rsidRPr="008E1C97" w:rsidRDefault="00710A0D" w:rsidP="00F7602B">
            <w:pPr>
              <w:pStyle w:val="Tableheader"/>
              <w:rPr>
                <w:rFonts w:asciiTheme="majorHAnsi" w:hAnsiTheme="majorHAnsi"/>
              </w:rPr>
            </w:pPr>
            <w:r w:rsidRPr="008E1C97">
              <w:rPr>
                <w:rFonts w:asciiTheme="majorHAnsi" w:hAnsiTheme="majorHAnsi"/>
              </w:rPr>
              <w:t>Project characteristics</w:t>
            </w:r>
          </w:p>
        </w:tc>
      </w:tr>
      <w:tr w:rsidR="00710A0D" w14:paraId="125DEAD1" w14:textId="77777777" w:rsidTr="005D30F6">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6C624E2C" w14:textId="68D48C1D" w:rsidR="00710A0D" w:rsidRPr="001E41CA" w:rsidRDefault="00710A0D" w:rsidP="00F7602B">
            <w:pPr>
              <w:rPr>
                <w:i/>
                <w:iCs/>
                <w:color w:val="232B39"/>
                <w:sz w:val="18"/>
                <w:szCs w:val="18"/>
              </w:rPr>
            </w:pPr>
            <w:r>
              <w:rPr>
                <w:noProof/>
              </w:rPr>
              <w:drawing>
                <wp:inline distT="0" distB="0" distL="0" distR="0" wp14:anchorId="63FCA146" wp14:editId="6DC3DF35">
                  <wp:extent cx="177912" cy="177912"/>
                  <wp:effectExtent l="0" t="0" r="0" b="0"/>
                  <wp:docPr id="24" name="Picture 2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rsidR="00856715">
              <w:rPr>
                <w:sz w:val="18"/>
              </w:rPr>
              <w:t xml:space="preserve"> </w:t>
            </w:r>
            <w:r w:rsidRPr="00A83384">
              <w:rPr>
                <w:sz w:val="18"/>
              </w:rPr>
              <w:t>Assess the project</w:t>
            </w:r>
            <w:r w:rsidR="00344D3F">
              <w:rPr>
                <w:sz w:val="18"/>
              </w:rPr>
              <w:t>’</w:t>
            </w:r>
            <w:r w:rsidRPr="00A83384">
              <w:rPr>
                <w:sz w:val="18"/>
              </w:rPr>
              <w:t>s scope, scale, location and value, site characteristics, construction complexity, commercial opportunities and key challenges.</w:t>
            </w:r>
          </w:p>
        </w:tc>
      </w:tr>
      <w:tr w:rsidR="00710A0D" w:rsidRPr="008E1C97" w14:paraId="5DE32339" w14:textId="77777777" w:rsidTr="005D30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232B39" w:themeFill="text1"/>
          </w:tcPr>
          <w:p w14:paraId="38061F14" w14:textId="77777777" w:rsidR="00710A0D" w:rsidRPr="008E1C97" w:rsidRDefault="00710A0D" w:rsidP="00F7602B">
            <w:pPr>
              <w:pStyle w:val="Tableheader"/>
              <w:rPr>
                <w:rFonts w:asciiTheme="majorHAnsi" w:hAnsiTheme="majorHAnsi"/>
              </w:rPr>
            </w:pPr>
            <w:r w:rsidRPr="008E1C97">
              <w:rPr>
                <w:rFonts w:asciiTheme="majorHAnsi" w:hAnsiTheme="majorHAnsi"/>
              </w:rPr>
              <w:t>Operational requirements</w:t>
            </w:r>
          </w:p>
        </w:tc>
      </w:tr>
      <w:tr w:rsidR="00710A0D" w14:paraId="242BD8B0" w14:textId="77777777" w:rsidTr="005D30F6">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6DCB1D31" w14:textId="400501C8" w:rsidR="00710A0D" w:rsidRPr="002362B2" w:rsidRDefault="00710A0D" w:rsidP="00F7602B">
            <w:pPr>
              <w:rPr>
                <w:b/>
                <w:bCs/>
                <w:color w:val="FFFFFF" w:themeColor="background1"/>
              </w:rPr>
            </w:pPr>
            <w:r>
              <w:rPr>
                <w:noProof/>
              </w:rPr>
              <w:drawing>
                <wp:inline distT="0" distB="0" distL="0" distR="0" wp14:anchorId="0E56D9DC" wp14:editId="34F08C16">
                  <wp:extent cx="177912" cy="177912"/>
                  <wp:effectExtent l="0" t="0" r="0" b="0"/>
                  <wp:docPr id="25" name="Picture 25"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xmlns:dgm="http://schemas.openxmlformats.org/drawingml/2006/diagram" id="{5B39737E-ED1A-1A41-35CD-9A8A67E63A78}"/>
                              </a:ext>
                            </a:extLst>
                          </a:blip>
                          <a:stretch>
                            <a:fillRect/>
                          </a:stretch>
                        </pic:blipFill>
                        <pic:spPr>
                          <a:xfrm flipH="1">
                            <a:off x="0" y="0"/>
                            <a:ext cx="177912" cy="177912"/>
                          </a:xfrm>
                          <a:prstGeom prst="rect">
                            <a:avLst/>
                          </a:prstGeom>
                        </pic:spPr>
                      </pic:pic>
                    </a:graphicData>
                  </a:graphic>
                </wp:inline>
              </w:drawing>
            </w:r>
            <w:r w:rsidR="00856715">
              <w:rPr>
                <w:sz w:val="18"/>
              </w:rPr>
              <w:t xml:space="preserve"> </w:t>
            </w:r>
            <w:r w:rsidRPr="00A83384">
              <w:rPr>
                <w:sz w:val="18"/>
              </w:rPr>
              <w:t xml:space="preserve">Assess the </w:t>
            </w:r>
            <w:r w:rsidR="005A079E">
              <w:rPr>
                <w:sz w:val="18"/>
              </w:rPr>
              <w:t xml:space="preserve">performance </w:t>
            </w:r>
            <w:r w:rsidRPr="00A83384">
              <w:rPr>
                <w:sz w:val="18"/>
              </w:rPr>
              <w:t xml:space="preserve">level of core and non-core services, including what aspects </w:t>
            </w:r>
            <w:r w:rsidR="00BF5B0D">
              <w:rPr>
                <w:sz w:val="18"/>
              </w:rPr>
              <w:t xml:space="preserve">the </w:t>
            </w:r>
            <w:r w:rsidR="00062BB6">
              <w:rPr>
                <w:sz w:val="18"/>
              </w:rPr>
              <w:t>G</w:t>
            </w:r>
            <w:r w:rsidRPr="00A83384">
              <w:rPr>
                <w:sz w:val="18"/>
              </w:rPr>
              <w:t>overnment should retain to ensure core service delivery.</w:t>
            </w:r>
          </w:p>
        </w:tc>
      </w:tr>
      <w:tr w:rsidR="00710A0D" w:rsidRPr="008E1C97" w14:paraId="359D09CC" w14:textId="77777777" w:rsidTr="005D30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232B39" w:themeFill="text1"/>
          </w:tcPr>
          <w:p w14:paraId="4124A364" w14:textId="77777777" w:rsidR="00710A0D" w:rsidRPr="008E1C97" w:rsidRDefault="00710A0D" w:rsidP="00F7602B">
            <w:pPr>
              <w:pStyle w:val="Tableheader"/>
              <w:rPr>
                <w:rFonts w:asciiTheme="majorHAnsi" w:hAnsiTheme="majorHAnsi"/>
                <w:noProof/>
              </w:rPr>
            </w:pPr>
            <w:r w:rsidRPr="008E1C97">
              <w:rPr>
                <w:rFonts w:asciiTheme="majorHAnsi" w:hAnsiTheme="majorHAnsi"/>
              </w:rPr>
              <w:t>Delivery constraints/opportunities</w:t>
            </w:r>
          </w:p>
        </w:tc>
      </w:tr>
      <w:tr w:rsidR="00710A0D" w14:paraId="2891058F" w14:textId="77777777" w:rsidTr="005D30F6">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648DA21C" w14:textId="5502A9D9" w:rsidR="00710A0D" w:rsidRPr="002B7BF1" w:rsidRDefault="00710A0D" w:rsidP="00F7602B">
            <w:pPr>
              <w:rPr>
                <w:b/>
                <w:bCs/>
                <w:color w:val="FFFFFF" w:themeColor="background1"/>
              </w:rPr>
            </w:pPr>
            <w:r>
              <w:rPr>
                <w:noProof/>
              </w:rPr>
              <w:drawing>
                <wp:inline distT="0" distB="0" distL="0" distR="0" wp14:anchorId="0B3B068E" wp14:editId="727731E7">
                  <wp:extent cx="177912" cy="177912"/>
                  <wp:effectExtent l="0" t="0" r="0" b="0"/>
                  <wp:docPr id="26" name="Picture 2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rsidR="00856715">
              <w:rPr>
                <w:sz w:val="18"/>
              </w:rPr>
              <w:t xml:space="preserve"> </w:t>
            </w:r>
            <w:r w:rsidRPr="00A83384">
              <w:rPr>
                <w:sz w:val="18"/>
              </w:rPr>
              <w:t>Assess</w:t>
            </w:r>
            <w:r w:rsidRPr="00A83384" w:rsidDel="00862A6F">
              <w:rPr>
                <w:sz w:val="18"/>
              </w:rPr>
              <w:t xml:space="preserve"> </w:t>
            </w:r>
            <w:r w:rsidR="00590664">
              <w:rPr>
                <w:sz w:val="18"/>
              </w:rPr>
              <w:t>project delivery</w:t>
            </w:r>
            <w:r w:rsidRPr="00A83384">
              <w:rPr>
                <w:sz w:val="18"/>
              </w:rPr>
              <w:t xml:space="preserve"> issues including site status, planning and approval requirements and related network impacts.</w:t>
            </w:r>
          </w:p>
        </w:tc>
      </w:tr>
      <w:tr w:rsidR="00710A0D" w:rsidRPr="008E1C97" w14:paraId="2E728033" w14:textId="77777777" w:rsidTr="005D30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232B39" w:themeFill="text1"/>
          </w:tcPr>
          <w:p w14:paraId="5E8EFC50" w14:textId="77777777" w:rsidR="00710A0D" w:rsidRPr="008E1C97" w:rsidRDefault="00710A0D" w:rsidP="00F7602B">
            <w:pPr>
              <w:pStyle w:val="Tableheader"/>
              <w:rPr>
                <w:rFonts w:asciiTheme="majorHAnsi" w:hAnsiTheme="majorHAnsi"/>
              </w:rPr>
            </w:pPr>
            <w:r w:rsidRPr="008E1C97">
              <w:rPr>
                <w:rFonts w:asciiTheme="majorHAnsi" w:hAnsiTheme="majorHAnsi"/>
              </w:rPr>
              <w:t>Time constraints</w:t>
            </w:r>
          </w:p>
        </w:tc>
      </w:tr>
      <w:tr w:rsidR="00710A0D" w:rsidRPr="001E41CA" w14:paraId="7B8D7A7E" w14:textId="77777777" w:rsidTr="005D30F6">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79ACF705" w14:textId="3D0AB34C" w:rsidR="00710A0D" w:rsidRPr="001E41CA" w:rsidRDefault="00710A0D" w:rsidP="00F7602B">
            <w:pPr>
              <w:rPr>
                <w:i/>
                <w:iCs/>
                <w:color w:val="232B39"/>
                <w:sz w:val="18"/>
                <w:szCs w:val="18"/>
              </w:rPr>
            </w:pPr>
            <w:r>
              <w:rPr>
                <w:noProof/>
              </w:rPr>
              <w:drawing>
                <wp:inline distT="0" distB="0" distL="0" distR="0" wp14:anchorId="61C24D39" wp14:editId="76196988">
                  <wp:extent cx="177912" cy="177912"/>
                  <wp:effectExtent l="0" t="0" r="0" b="0"/>
                  <wp:docPr id="27" name="Picture 27"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rsidR="009612EA">
              <w:rPr>
                <w:sz w:val="18"/>
              </w:rPr>
              <w:t xml:space="preserve"> </w:t>
            </w:r>
            <w:r w:rsidRPr="00A83384">
              <w:rPr>
                <w:sz w:val="18"/>
              </w:rPr>
              <w:t xml:space="preserve">Assess the degree of flexibility in delivery timelines, drivers for target dates and consequences </w:t>
            </w:r>
            <w:r w:rsidR="00592A9D">
              <w:rPr>
                <w:sz w:val="18"/>
              </w:rPr>
              <w:t>of</w:t>
            </w:r>
            <w:r w:rsidR="00592A9D" w:rsidRPr="00A83384">
              <w:rPr>
                <w:sz w:val="18"/>
              </w:rPr>
              <w:t xml:space="preserve"> </w:t>
            </w:r>
            <w:r w:rsidRPr="00A83384">
              <w:rPr>
                <w:sz w:val="18"/>
              </w:rPr>
              <w:t>not achieving them.</w:t>
            </w:r>
          </w:p>
        </w:tc>
      </w:tr>
      <w:tr w:rsidR="00710A0D" w:rsidRPr="008E1C97" w14:paraId="298AEFA4" w14:textId="77777777" w:rsidTr="005D30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232B39" w:themeFill="text1"/>
          </w:tcPr>
          <w:p w14:paraId="7DA12164" w14:textId="77777777" w:rsidR="00710A0D" w:rsidRPr="008E1C97" w:rsidRDefault="00710A0D" w:rsidP="00F7602B">
            <w:pPr>
              <w:pStyle w:val="Tableheader"/>
              <w:rPr>
                <w:rFonts w:asciiTheme="majorHAnsi" w:hAnsiTheme="majorHAnsi"/>
              </w:rPr>
            </w:pPr>
            <w:r w:rsidRPr="008E1C97">
              <w:rPr>
                <w:rFonts w:asciiTheme="majorHAnsi" w:hAnsiTheme="majorHAnsi"/>
              </w:rPr>
              <w:t>Budget constraints</w:t>
            </w:r>
          </w:p>
        </w:tc>
      </w:tr>
      <w:tr w:rsidR="00710A0D" w:rsidRPr="0089287C" w14:paraId="065826F6" w14:textId="77777777" w:rsidTr="005D30F6">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52183939" w14:textId="328D53A9" w:rsidR="00710A0D" w:rsidRPr="00A83384" w:rsidRDefault="00710A0D" w:rsidP="00F7602B">
            <w:pPr>
              <w:rPr>
                <w:sz w:val="18"/>
              </w:rPr>
            </w:pPr>
            <w:r w:rsidRPr="00A83384">
              <w:rPr>
                <w:noProof/>
                <w:sz w:val="18"/>
              </w:rPr>
              <w:drawing>
                <wp:inline distT="0" distB="0" distL="0" distR="0" wp14:anchorId="47F280D7" wp14:editId="3D458A74">
                  <wp:extent cx="177912" cy="177912"/>
                  <wp:effectExtent l="0" t="0" r="0" b="0"/>
                  <wp:docPr id="28" name="Picture 28"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rsidR="009612EA">
              <w:rPr>
                <w:sz w:val="18"/>
              </w:rPr>
              <w:t xml:space="preserve"> </w:t>
            </w:r>
            <w:r w:rsidRPr="00A83384">
              <w:rPr>
                <w:sz w:val="18"/>
              </w:rPr>
              <w:t>Assess the need for strict budget and price certainty and maturity of the cost estimate.</w:t>
            </w:r>
          </w:p>
        </w:tc>
      </w:tr>
      <w:tr w:rsidR="00710A0D" w:rsidRPr="008E1C97" w14:paraId="428D0239" w14:textId="77777777" w:rsidTr="005D30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232B39" w:themeFill="text1"/>
          </w:tcPr>
          <w:p w14:paraId="7EDB6A61" w14:textId="77777777" w:rsidR="00710A0D" w:rsidRPr="008E1C97" w:rsidRDefault="00710A0D" w:rsidP="00F7602B">
            <w:pPr>
              <w:pStyle w:val="Tableheader"/>
              <w:rPr>
                <w:rFonts w:asciiTheme="majorHAnsi" w:hAnsiTheme="majorHAnsi"/>
              </w:rPr>
            </w:pPr>
            <w:r w:rsidRPr="008E1C97">
              <w:rPr>
                <w:rFonts w:asciiTheme="majorHAnsi" w:hAnsiTheme="majorHAnsi"/>
              </w:rPr>
              <w:t xml:space="preserve">Design </w:t>
            </w:r>
            <w:r>
              <w:rPr>
                <w:rFonts w:asciiTheme="majorHAnsi" w:hAnsiTheme="majorHAnsi"/>
              </w:rPr>
              <w:t>r</w:t>
            </w:r>
            <w:r w:rsidRPr="008E1C97">
              <w:rPr>
                <w:rFonts w:asciiTheme="majorHAnsi" w:hAnsiTheme="majorHAnsi"/>
              </w:rPr>
              <w:t>equirements</w:t>
            </w:r>
          </w:p>
        </w:tc>
      </w:tr>
      <w:tr w:rsidR="00710A0D" w14:paraId="7A7F150B" w14:textId="77777777" w:rsidTr="005D30F6">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369B2FA1" w14:textId="702B11F6" w:rsidR="00710A0D" w:rsidRPr="002D6039" w:rsidRDefault="00710A0D" w:rsidP="00F7602B">
            <w:pPr>
              <w:rPr>
                <w:i/>
                <w:iCs/>
                <w:color w:val="232B39"/>
                <w:sz w:val="18"/>
                <w:szCs w:val="18"/>
              </w:rPr>
            </w:pPr>
            <w:r w:rsidRPr="00A83384">
              <w:rPr>
                <w:noProof/>
                <w:sz w:val="18"/>
              </w:rPr>
              <w:drawing>
                <wp:inline distT="0" distB="0" distL="0" distR="0" wp14:anchorId="2FDD4F85" wp14:editId="584070D0">
                  <wp:extent cx="177912" cy="177912"/>
                  <wp:effectExtent l="0" t="0" r="0" b="0"/>
                  <wp:docPr id="29" name="Picture 29"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xmlns:dgm="http://schemas.openxmlformats.org/drawingml/2006/diagram" id="{5B39737E-ED1A-1A41-35CD-9A8A67E63A78}"/>
                              </a:ext>
                            </a:extLst>
                          </a:blip>
                          <a:stretch>
                            <a:fillRect/>
                          </a:stretch>
                        </pic:blipFill>
                        <pic:spPr>
                          <a:xfrm flipH="1">
                            <a:off x="0" y="0"/>
                            <a:ext cx="177912" cy="177912"/>
                          </a:xfrm>
                          <a:prstGeom prst="rect">
                            <a:avLst/>
                          </a:prstGeom>
                        </pic:spPr>
                      </pic:pic>
                    </a:graphicData>
                  </a:graphic>
                </wp:inline>
              </w:drawing>
            </w:r>
            <w:r w:rsidR="009612EA">
              <w:rPr>
                <w:sz w:val="18"/>
              </w:rPr>
              <w:t xml:space="preserve"> </w:t>
            </w:r>
            <w:r w:rsidRPr="00A83384">
              <w:rPr>
                <w:sz w:val="18"/>
              </w:rPr>
              <w:t>Assess the project</w:t>
            </w:r>
            <w:r w:rsidR="00344D3F">
              <w:rPr>
                <w:sz w:val="18"/>
              </w:rPr>
              <w:t>’</w:t>
            </w:r>
            <w:r w:rsidRPr="00A83384">
              <w:rPr>
                <w:sz w:val="18"/>
              </w:rPr>
              <w:t>s design maturity and needs, including design features, quality standards and the need to maintain control over the design and the need for innovation or change during the design and construction phases.</w:t>
            </w:r>
          </w:p>
        </w:tc>
      </w:tr>
      <w:tr w:rsidR="00710A0D" w:rsidRPr="008E1C97" w14:paraId="446DA2A4" w14:textId="77777777" w:rsidTr="005D30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232B39" w:themeFill="text1"/>
          </w:tcPr>
          <w:p w14:paraId="785733DD" w14:textId="77777777" w:rsidR="00710A0D" w:rsidRPr="008E1C97" w:rsidRDefault="00710A0D" w:rsidP="00F7602B">
            <w:pPr>
              <w:pStyle w:val="Tableheader"/>
              <w:rPr>
                <w:rFonts w:asciiTheme="majorHAnsi" w:hAnsiTheme="majorHAnsi"/>
              </w:rPr>
            </w:pPr>
            <w:r w:rsidRPr="008E1C97">
              <w:rPr>
                <w:rFonts w:asciiTheme="majorHAnsi" w:hAnsiTheme="majorHAnsi"/>
              </w:rPr>
              <w:t>Project risks and opportunities</w:t>
            </w:r>
          </w:p>
        </w:tc>
      </w:tr>
      <w:tr w:rsidR="00710A0D" w14:paraId="0DEAED0C" w14:textId="77777777" w:rsidTr="005D30F6">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3D054312" w14:textId="587FF1F6" w:rsidR="00710A0D" w:rsidRPr="006F5904" w:rsidRDefault="00710A0D" w:rsidP="00F7602B">
            <w:pPr>
              <w:rPr>
                <w:b/>
                <w:bCs/>
                <w:color w:val="FFFFFF" w:themeColor="background1"/>
              </w:rPr>
            </w:pPr>
            <w:r>
              <w:rPr>
                <w:noProof/>
              </w:rPr>
              <w:drawing>
                <wp:inline distT="0" distB="0" distL="0" distR="0" wp14:anchorId="3B34D10D" wp14:editId="2B22E54E">
                  <wp:extent cx="177800" cy="177800"/>
                  <wp:effectExtent l="0" t="0" r="0" b="0"/>
                  <wp:docPr id="17" name="Picture 17"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8" cstate="screen">
                            <a:extLst>
                              <a:ext uri="{28A0092B-C50C-407E-A947-70E740481C1C}">
                                <a14:useLocalDpi xmlns:a14="http://schemas.microsoft.com/office/drawing/2010/main"/>
                              </a:ext>
                            </a:extLst>
                          </a:blip>
                          <a:stretch>
                            <a:fillRect/>
                          </a:stretch>
                        </pic:blipFill>
                        <pic:spPr>
                          <a:xfrm flipH="1">
                            <a:off x="0" y="0"/>
                            <a:ext cx="177800" cy="177800"/>
                          </a:xfrm>
                          <a:prstGeom prst="rect">
                            <a:avLst/>
                          </a:prstGeom>
                        </pic:spPr>
                      </pic:pic>
                    </a:graphicData>
                  </a:graphic>
                </wp:inline>
              </w:drawing>
            </w:r>
            <w:r w:rsidR="000114AC">
              <w:rPr>
                <w:sz w:val="18"/>
              </w:rPr>
              <w:t xml:space="preserve"> </w:t>
            </w:r>
            <w:r w:rsidRPr="00A83384">
              <w:rPr>
                <w:sz w:val="18"/>
              </w:rPr>
              <w:t>Assess all major opportunities and risks outlined in the project</w:t>
            </w:r>
            <w:r w:rsidR="00344D3F">
              <w:rPr>
                <w:sz w:val="18"/>
              </w:rPr>
              <w:t>’</w:t>
            </w:r>
            <w:r w:rsidRPr="00A83384">
              <w:rPr>
                <w:sz w:val="18"/>
              </w:rPr>
              <w:t>s risk register, such as those relating to site issues, permits, design, materials and constructability, market conditions and capacity, public interest and stakeholder issues and any project externalities that would change the project</w:t>
            </w:r>
            <w:r w:rsidR="00344D3F">
              <w:rPr>
                <w:sz w:val="18"/>
              </w:rPr>
              <w:t>’</w:t>
            </w:r>
            <w:r w:rsidRPr="00A83384">
              <w:rPr>
                <w:sz w:val="18"/>
              </w:rPr>
              <w:t>s risk profile if they were to materialise. Risk allocation and management has significant bearing on procurement and project delivery and is considered further in Step 4.</w:t>
            </w:r>
          </w:p>
        </w:tc>
      </w:tr>
      <w:tr w:rsidR="00710A0D" w:rsidRPr="008E1C97" w14:paraId="48FA0CEE" w14:textId="77777777" w:rsidTr="005D30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232B39" w:themeFill="text1"/>
          </w:tcPr>
          <w:p w14:paraId="0894A13B" w14:textId="77777777" w:rsidR="00710A0D" w:rsidRPr="008E1C97" w:rsidRDefault="00710A0D" w:rsidP="00F7602B">
            <w:pPr>
              <w:pStyle w:val="Tableheader"/>
              <w:rPr>
                <w:rFonts w:asciiTheme="majorHAnsi" w:hAnsiTheme="majorHAnsi"/>
              </w:rPr>
            </w:pPr>
            <w:r w:rsidRPr="008E1C97">
              <w:rPr>
                <w:rFonts w:asciiTheme="majorHAnsi" w:hAnsiTheme="majorHAnsi"/>
              </w:rPr>
              <w:t>Client capacity and capability</w:t>
            </w:r>
          </w:p>
        </w:tc>
      </w:tr>
      <w:tr w:rsidR="00710A0D" w14:paraId="0A407E7E" w14:textId="77777777" w:rsidTr="005D30F6">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3BCEDEA7" w14:textId="2BB4E461" w:rsidR="00710A0D" w:rsidRDefault="00710A0D" w:rsidP="00F7602B">
            <w:pPr>
              <w:rPr>
                <w:b/>
                <w:bCs/>
                <w:color w:val="FFFFFF" w:themeColor="background1"/>
              </w:rPr>
            </w:pPr>
            <w:r>
              <w:rPr>
                <w:noProof/>
              </w:rPr>
              <w:drawing>
                <wp:inline distT="0" distB="0" distL="0" distR="0" wp14:anchorId="0A7BA767" wp14:editId="44D1D995">
                  <wp:extent cx="177912" cy="177912"/>
                  <wp:effectExtent l="0" t="0" r="0" b="0"/>
                  <wp:docPr id="18" name="Picture 18"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rsidR="000114AC">
              <w:rPr>
                <w:sz w:val="18"/>
              </w:rPr>
              <w:t xml:space="preserve"> </w:t>
            </w:r>
            <w:r w:rsidRPr="00A83384">
              <w:rPr>
                <w:sz w:val="18"/>
              </w:rPr>
              <w:t>Assess client capability and capacity against the needs and complexity of project delivery requirements to determine whether current project delivery skills and resources are aligned to the project</w:t>
            </w:r>
            <w:r w:rsidR="00344D3F">
              <w:rPr>
                <w:sz w:val="18"/>
              </w:rPr>
              <w:t>’</w:t>
            </w:r>
            <w:r w:rsidRPr="00A83384">
              <w:rPr>
                <w:sz w:val="18"/>
              </w:rPr>
              <w:t>s needs, the delivery environment and the client</w:t>
            </w:r>
            <w:r w:rsidR="00344D3F">
              <w:rPr>
                <w:sz w:val="18"/>
              </w:rPr>
              <w:t>’</w:t>
            </w:r>
            <w:r w:rsidRPr="00A83384">
              <w:rPr>
                <w:sz w:val="18"/>
              </w:rPr>
              <w:t>s long-term role in the project outcomes.</w:t>
            </w:r>
          </w:p>
        </w:tc>
      </w:tr>
      <w:tr w:rsidR="00710A0D" w:rsidRPr="008E1C97" w14:paraId="535BE0A4" w14:textId="77777777" w:rsidTr="005D30F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232B39" w:themeFill="text1"/>
          </w:tcPr>
          <w:p w14:paraId="674168BC" w14:textId="77777777" w:rsidR="00710A0D" w:rsidRPr="008E1C97" w:rsidRDefault="00710A0D" w:rsidP="00F7602B">
            <w:pPr>
              <w:pStyle w:val="Tableheader"/>
              <w:rPr>
                <w:rFonts w:asciiTheme="majorHAnsi" w:hAnsiTheme="majorHAnsi"/>
              </w:rPr>
            </w:pPr>
            <w:r w:rsidRPr="008E1C97">
              <w:rPr>
                <w:rFonts w:asciiTheme="majorHAnsi" w:hAnsiTheme="majorHAnsi"/>
              </w:rPr>
              <w:t>Market capacity and capability</w:t>
            </w:r>
          </w:p>
        </w:tc>
      </w:tr>
      <w:tr w:rsidR="00710A0D" w14:paraId="71266858" w14:textId="77777777" w:rsidTr="005D30F6">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06C5E672" w14:textId="41975A33" w:rsidR="00710A0D" w:rsidRPr="00252973" w:rsidRDefault="00710A0D" w:rsidP="00F7602B">
            <w:pPr>
              <w:rPr>
                <w:b/>
                <w:bCs/>
                <w:iCs/>
                <w:color w:val="FFFFFF" w:themeColor="background1"/>
              </w:rPr>
            </w:pPr>
            <w:r>
              <w:rPr>
                <w:noProof/>
              </w:rPr>
              <w:drawing>
                <wp:inline distT="0" distB="0" distL="0" distR="0" wp14:anchorId="419507B0" wp14:editId="006DBCB8">
                  <wp:extent cx="171450" cy="171450"/>
                  <wp:effectExtent l="0" t="0" r="0" b="0"/>
                  <wp:docPr id="1540269601" name="Picture 1540269601" title="Magnifying glass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40269601"/>
                          <pic:cNvPicPr/>
                        </pic:nvPicPr>
                        <pic:blipFill>
                          <a:blip r:embed="rId99">
                            <a:extLst>
                              <a:ext uri="{28A0092B-C50C-407E-A947-70E740481C1C}">
                                <a14:useLocalDpi xmlns:a14="http://schemas.microsoft.com/office/drawing/2010/main"/>
                              </a:ext>
                            </a:extLst>
                          </a:blip>
                          <a:srcRect r="-4089" b="-718"/>
                          <a:stretch>
                            <a:fillRect/>
                          </a:stretch>
                        </pic:blipFill>
                        <pic:spPr>
                          <a:xfrm>
                            <a:off x="0" y="0"/>
                            <a:ext cx="171450" cy="171450"/>
                          </a:xfrm>
                          <a:prstGeom prst="rect">
                            <a:avLst/>
                          </a:prstGeom>
                        </pic:spPr>
                      </pic:pic>
                    </a:graphicData>
                  </a:graphic>
                </wp:inline>
              </w:drawing>
            </w:r>
            <w:r w:rsidRPr="3168789C">
              <w:rPr>
                <w:sz w:val="18"/>
                <w:szCs w:val="18"/>
              </w:rPr>
              <w:t xml:space="preserve">Assess the capability and capacity of contractors and </w:t>
            </w:r>
            <w:r w:rsidR="005F6798" w:rsidRPr="3168789C">
              <w:rPr>
                <w:sz w:val="18"/>
                <w:szCs w:val="18"/>
              </w:rPr>
              <w:t xml:space="preserve">subcontractors </w:t>
            </w:r>
            <w:r w:rsidRPr="3168789C">
              <w:rPr>
                <w:sz w:val="18"/>
                <w:szCs w:val="18"/>
              </w:rPr>
              <w:t>to deliver the project including any weaknesses or risks in the market. This assessment is often critical to assessing packaging options.</w:t>
            </w:r>
          </w:p>
        </w:tc>
      </w:tr>
    </w:tbl>
    <w:p w14:paraId="697DFC5D" w14:textId="77777777" w:rsidR="00B172BB" w:rsidRPr="00524BFB" w:rsidRDefault="00B172BB" w:rsidP="001D2615">
      <w:pPr>
        <w:pStyle w:val="Heading3numbered"/>
      </w:pPr>
      <w:r w:rsidRPr="00524BFB">
        <w:t>Establish procurement objectives</w:t>
      </w:r>
    </w:p>
    <w:p w14:paraId="21477A7E" w14:textId="77777777" w:rsidR="00B172BB" w:rsidRPr="0049330A" w:rsidRDefault="00B172BB" w:rsidP="00171CF8">
      <w:pPr>
        <w:pStyle w:val="Quote"/>
        <w:keepNext/>
      </w:pPr>
      <w:r w:rsidRPr="000B566F">
        <w:rPr>
          <w:b/>
          <w:bCs/>
        </w:rPr>
        <w:t>Decision point:</w:t>
      </w:r>
      <w:r w:rsidRPr="000B566F">
        <w:t xml:space="preserve"> What </w:t>
      </w:r>
      <w:r>
        <w:t>are the procurement objectives of this investment?</w:t>
      </w:r>
    </w:p>
    <w:p w14:paraId="4E32ED2B" w14:textId="62519E39" w:rsidR="00B172BB" w:rsidRPr="00524BFB" w:rsidRDefault="006D6840" w:rsidP="00834461">
      <w:pPr>
        <w:pStyle w:val="NormalIndent"/>
      </w:pPr>
      <w:r>
        <w:t>W</w:t>
      </w:r>
      <w:r w:rsidR="0060162C" w:rsidRPr="00524BFB">
        <w:t xml:space="preserve">ith a clear understanding of </w:t>
      </w:r>
      <w:r w:rsidR="00A10D58">
        <w:t>the</w:t>
      </w:r>
      <w:r w:rsidR="00FF3B7B">
        <w:t xml:space="preserve"> </w:t>
      </w:r>
      <w:r w:rsidR="00814417">
        <w:t>project characteristics</w:t>
      </w:r>
      <w:r w:rsidR="00FF3B7B">
        <w:rPr>
          <w:rFonts w:cstheme="minorHAnsi"/>
          <w:color w:val="auto"/>
        </w:rPr>
        <w:t>,</w:t>
      </w:r>
      <w:r w:rsidR="00F847AC" w:rsidRPr="00524BFB">
        <w:t xml:space="preserve"> and it</w:t>
      </w:r>
      <w:r w:rsidR="002A0427" w:rsidRPr="00524BFB">
        <w:t>s</w:t>
      </w:r>
      <w:r w:rsidR="002E6F32" w:rsidRPr="00524BFB">
        <w:t xml:space="preserve"> </w:t>
      </w:r>
      <w:r w:rsidR="00707B0D" w:rsidRPr="00524BFB">
        <w:t>delivery and operational environment</w:t>
      </w:r>
      <w:r w:rsidR="002A0427" w:rsidRPr="00524BFB">
        <w:t>,</w:t>
      </w:r>
      <w:r w:rsidR="00707B0D" w:rsidRPr="00524BFB">
        <w:t xml:space="preserve"> </w:t>
      </w:r>
      <w:r w:rsidR="00E62686" w:rsidRPr="00524BFB">
        <w:t>practitioners</w:t>
      </w:r>
      <w:r w:rsidR="009A5360" w:rsidRPr="00524BFB">
        <w:t xml:space="preserve"> should </w:t>
      </w:r>
      <w:r w:rsidR="000C61E1" w:rsidRPr="00524BFB">
        <w:t xml:space="preserve">agree </w:t>
      </w:r>
      <w:r w:rsidR="00A35D39">
        <w:t xml:space="preserve">on </w:t>
      </w:r>
      <w:r w:rsidR="00B172BB" w:rsidRPr="00524BFB">
        <w:t>a clear set of procurement objectives</w:t>
      </w:r>
      <w:r w:rsidR="00337743" w:rsidRPr="00524BFB">
        <w:t xml:space="preserve"> to </w:t>
      </w:r>
      <w:r w:rsidR="00605E7A" w:rsidRPr="00524BFB">
        <w:t>guide development of the</w:t>
      </w:r>
      <w:r w:rsidR="00B172BB" w:rsidRPr="00524BFB">
        <w:t xml:space="preserve"> </w:t>
      </w:r>
      <w:r w:rsidR="00337743" w:rsidRPr="00524BFB">
        <w:t>procurement strategy</w:t>
      </w:r>
      <w:r w:rsidR="00B172BB" w:rsidRPr="00524BFB">
        <w:t>. It is important to note that procurement objectives differ from project objectives</w:t>
      </w:r>
      <w:r w:rsidR="003E3CB6">
        <w:t>. The project objectives</w:t>
      </w:r>
      <w:r w:rsidR="00B172BB" w:rsidRPr="00524BFB">
        <w:t xml:space="preserve"> are established early in the business case and outline the project</w:t>
      </w:r>
      <w:r w:rsidR="00344D3F">
        <w:t>’</w:t>
      </w:r>
      <w:r w:rsidR="00B172BB" w:rsidRPr="00524BFB">
        <w:t xml:space="preserve">s intended outcomes, </w:t>
      </w:r>
      <w:r w:rsidR="00B3409F">
        <w:t>for example,</w:t>
      </w:r>
      <w:r w:rsidR="00B172BB" w:rsidRPr="00524BFB">
        <w:t xml:space="preserve"> social and economic benefits.</w:t>
      </w:r>
    </w:p>
    <w:p w14:paraId="12C169B5" w14:textId="3A19D6DF" w:rsidR="008D2926" w:rsidRPr="000D579F" w:rsidRDefault="008D2926" w:rsidP="002770AB">
      <w:pPr>
        <w:pStyle w:val="Quote"/>
      </w:pPr>
      <w:r w:rsidRPr="000D579F">
        <w:t xml:space="preserve">If the project objectives are about </w:t>
      </w:r>
      <w:r w:rsidRPr="000D579F">
        <w:rPr>
          <w:b/>
          <w:bCs/>
        </w:rPr>
        <w:t>what</w:t>
      </w:r>
      <w:r w:rsidRPr="000D579F">
        <w:t xml:space="preserve"> the project delivers, the procurement objectives are about </w:t>
      </w:r>
      <w:r w:rsidRPr="000D579F">
        <w:rPr>
          <w:b/>
          <w:bCs/>
        </w:rPr>
        <w:t>how</w:t>
      </w:r>
      <w:r w:rsidRPr="000D579F">
        <w:t xml:space="preserve"> those outcomes are achieved</w:t>
      </w:r>
      <w:r w:rsidR="00710A0D">
        <w:t>.</w:t>
      </w:r>
    </w:p>
    <w:p w14:paraId="21010B7D" w14:textId="1C5993E6" w:rsidR="00710A0D" w:rsidRPr="00524BFB" w:rsidRDefault="00710A0D" w:rsidP="00834461">
      <w:pPr>
        <w:pStyle w:val="NormalIndent"/>
      </w:pPr>
      <w:r w:rsidRPr="00524BFB">
        <w:t>Th</w:t>
      </w:r>
      <w:r w:rsidR="00F14C68">
        <w:t>e</w:t>
      </w:r>
      <w:r w:rsidRPr="00524BFB">
        <w:t>s</w:t>
      </w:r>
      <w:r w:rsidR="00F14C68">
        <w:t>e</w:t>
      </w:r>
      <w:r w:rsidRPr="00524BFB">
        <w:t xml:space="preserve"> guide</w:t>
      </w:r>
      <w:r w:rsidR="00F14C68">
        <w:t>lines</w:t>
      </w:r>
      <w:r w:rsidRPr="00524BFB">
        <w:t xml:space="preserve"> provide a set of procurement objectives that generally apply to all public infrastructure </w:t>
      </w:r>
      <w:r w:rsidRPr="00524BFB">
        <w:rPr>
          <w:rFonts w:cstheme="minorHAnsi"/>
          <w:color w:val="auto"/>
        </w:rPr>
        <w:t>investments</w:t>
      </w:r>
      <w:r w:rsidRPr="00524BFB">
        <w:t xml:space="preserve"> in Victoria. </w:t>
      </w:r>
      <w:r w:rsidR="00EA02C1">
        <w:t>P</w:t>
      </w:r>
      <w:r w:rsidRPr="00524BFB">
        <w:t xml:space="preserve">ractitioners should adapt these </w:t>
      </w:r>
      <w:r w:rsidR="00A35D39">
        <w:t xml:space="preserve">common </w:t>
      </w:r>
      <w:r w:rsidRPr="00524BFB">
        <w:t>objectives to reflect the unique characteristics and delivery contexts of their projects.</w:t>
      </w:r>
    </w:p>
    <w:p w14:paraId="3FAE2DCF" w14:textId="77777777" w:rsidR="002126D7" w:rsidRPr="002126D7" w:rsidRDefault="002126D7" w:rsidP="002126D7">
      <w:pPr>
        <w:pStyle w:val="NormalIndent"/>
      </w:pPr>
      <w:r w:rsidRPr="002126D7">
        <w:t>Procurement decisions should have a central focus on whole-of-life quality and cost outcomes and effective management of risk and uncertainty over the project lifecycle, as these combinations drive public value.</w:t>
      </w:r>
    </w:p>
    <w:p w14:paraId="18202B27" w14:textId="77777777" w:rsidR="002126D7" w:rsidRPr="002126D7" w:rsidRDefault="002126D7" w:rsidP="002126D7">
      <w:pPr>
        <w:pStyle w:val="NormalIndent"/>
      </w:pPr>
      <w:r w:rsidRPr="002126D7">
        <w:t xml:space="preserve">Procurement decisions often involve trade-offs. Agencies should avoid objectives that focus on project delivery rather than investment choices that optimise whole-of-life benefits. </w:t>
      </w:r>
    </w:p>
    <w:p w14:paraId="25243F8D" w14:textId="77777777" w:rsidR="002126D7" w:rsidRPr="002126D7" w:rsidRDefault="002126D7" w:rsidP="002126D7">
      <w:pPr>
        <w:pStyle w:val="NormalIndent"/>
      </w:pPr>
      <w:r w:rsidRPr="002126D7">
        <w:t xml:space="preserve">Whole-of-life benefits should be prioritised over delivery phase efficiencies. An example is incorporating project commencement milestones. </w:t>
      </w:r>
    </w:p>
    <w:p w14:paraId="7AA6C987" w14:textId="28364054" w:rsidR="002126D7" w:rsidRPr="002126D7" w:rsidRDefault="002126D7" w:rsidP="002126D7">
      <w:pPr>
        <w:pStyle w:val="NormalIndent"/>
      </w:pPr>
      <w:r w:rsidRPr="002126D7">
        <w:t xml:space="preserve">Agencies should also avoid pursuing policy objectives that are addressed through other policy levers or covered in whole of government procurement policies (such as the Victorian Social Procurement Framework). </w:t>
      </w:r>
    </w:p>
    <w:p w14:paraId="695DB0DC" w14:textId="34989A60" w:rsidR="00710A0D" w:rsidRDefault="00710A0D" w:rsidP="00834461">
      <w:pPr>
        <w:pStyle w:val="NormalIndent"/>
      </w:pPr>
      <w:r w:rsidRPr="00524BFB">
        <w:t xml:space="preserve">Developing procurement objectives is often undertaken in a workshop setting with the project team and relevant subject matter experts. DTF is </w:t>
      </w:r>
      <w:r w:rsidRPr="00262CC6">
        <w:t xml:space="preserve">available to assist project teams in developing procurement objectives, especially if objectives vary from those outlined in </w:t>
      </w:r>
      <w:r w:rsidR="00262CC6" w:rsidRPr="00262CC6">
        <w:fldChar w:fldCharType="begin" w:fldLock="1"/>
      </w:r>
      <w:r w:rsidR="00262CC6" w:rsidRPr="00262CC6">
        <w:instrText xml:space="preserve"> REF _Ref144237359 \h </w:instrText>
      </w:r>
      <w:r w:rsidR="00262CC6">
        <w:instrText xml:space="preserve"> \* MERGEFORMAT </w:instrText>
      </w:r>
      <w:r w:rsidR="00262CC6" w:rsidRPr="00262CC6">
        <w:fldChar w:fldCharType="separate"/>
      </w:r>
      <w:r w:rsidR="003D4A19">
        <w:t xml:space="preserve">Table </w:t>
      </w:r>
      <w:r w:rsidR="003D4A19">
        <w:rPr>
          <w:noProof/>
        </w:rPr>
        <w:t>6</w:t>
      </w:r>
      <w:r w:rsidR="00262CC6" w:rsidRPr="00262CC6">
        <w:fldChar w:fldCharType="end"/>
      </w:r>
      <w:r w:rsidRPr="00262CC6">
        <w:t xml:space="preserve">. </w:t>
      </w:r>
      <w:r w:rsidR="00723D86">
        <w:t>Project teams can consider</w:t>
      </w:r>
      <w:r w:rsidR="00723D86" w:rsidRPr="00262CC6">
        <w:t xml:space="preserve"> </w:t>
      </w:r>
      <w:r w:rsidRPr="00262CC6">
        <w:t>variation</w:t>
      </w:r>
      <w:r w:rsidR="00723D86">
        <w:t>s</w:t>
      </w:r>
      <w:r w:rsidRPr="00262CC6">
        <w:t xml:space="preserve"> from </w:t>
      </w:r>
      <w:r w:rsidR="00723D86">
        <w:t xml:space="preserve">the </w:t>
      </w:r>
      <w:r w:rsidRPr="00262CC6">
        <w:t xml:space="preserve">common objectives set out </w:t>
      </w:r>
      <w:r w:rsidR="00723D86" w:rsidRPr="00262CC6">
        <w:t xml:space="preserve">in </w:t>
      </w:r>
      <w:r w:rsidR="00723D86" w:rsidRPr="00262CC6">
        <w:fldChar w:fldCharType="begin" w:fldLock="1"/>
      </w:r>
      <w:r w:rsidR="00723D86" w:rsidRPr="00262CC6">
        <w:instrText xml:space="preserve"> REF _Ref144237359 \h </w:instrText>
      </w:r>
      <w:r w:rsidR="00723D86">
        <w:instrText xml:space="preserve"> \* MERGEFORMAT </w:instrText>
      </w:r>
      <w:r w:rsidR="00723D86" w:rsidRPr="00262CC6">
        <w:fldChar w:fldCharType="separate"/>
      </w:r>
      <w:r w:rsidR="00723D86">
        <w:t xml:space="preserve">Table </w:t>
      </w:r>
      <w:r w:rsidR="00723D86">
        <w:rPr>
          <w:noProof/>
        </w:rPr>
        <w:t>6</w:t>
      </w:r>
      <w:r w:rsidR="00723D86" w:rsidRPr="00262CC6">
        <w:fldChar w:fldCharType="end"/>
      </w:r>
      <w:r w:rsidR="00A06A90">
        <w:t xml:space="preserve">. However, </w:t>
      </w:r>
      <w:r w:rsidRPr="00262CC6">
        <w:t xml:space="preserve">sufficient justification must be provided to explain how they deliver public value. </w:t>
      </w:r>
      <w:r w:rsidR="00A35D39">
        <w:t>Project teams should take care</w:t>
      </w:r>
      <w:r w:rsidRPr="00262CC6">
        <w:t xml:space="preserve"> not to confuse procurement objectives</w:t>
      </w:r>
      <w:r w:rsidR="00A35D39">
        <w:t xml:space="preserve"> (</w:t>
      </w:r>
      <w:r w:rsidRPr="00262CC6">
        <w:t>which provide overarching guidance, aiding in project structuring, bundling and packaging consideration</w:t>
      </w:r>
      <w:r w:rsidR="00A35D39">
        <w:t>)</w:t>
      </w:r>
      <w:r w:rsidRPr="00262CC6">
        <w:t xml:space="preserve"> with </w:t>
      </w:r>
      <w:r w:rsidR="00484C1E">
        <w:t xml:space="preserve">procurement model </w:t>
      </w:r>
      <w:r w:rsidRPr="00262CC6">
        <w:t>selection criteria, which are used to differentiate the suitability of shortlisted procurement models at a later stage in the development of the procurement strategy.</w:t>
      </w:r>
    </w:p>
    <w:p w14:paraId="698C1AE3" w14:textId="13DE29A9" w:rsidR="009770BA" w:rsidRDefault="009770BA" w:rsidP="00C147EA">
      <w:pPr>
        <w:pStyle w:val="Captionindent"/>
        <w:pageBreakBefore/>
      </w:pPr>
      <w:bookmarkStart w:id="220" w:name="_Ref144237359"/>
      <w:bookmarkStart w:id="221" w:name="_Toc145621354"/>
      <w:bookmarkStart w:id="222" w:name="_Toc146097248"/>
      <w:r>
        <w:t xml:space="preserve">Table </w:t>
      </w:r>
      <w:r>
        <w:fldChar w:fldCharType="begin"/>
      </w:r>
      <w:r>
        <w:instrText>SEQ Table \* ARABIC</w:instrText>
      </w:r>
      <w:r>
        <w:fldChar w:fldCharType="separate"/>
      </w:r>
      <w:r w:rsidR="008A4B3E">
        <w:rPr>
          <w:noProof/>
        </w:rPr>
        <w:t>6</w:t>
      </w:r>
      <w:r>
        <w:fldChar w:fldCharType="end"/>
      </w:r>
      <w:bookmarkEnd w:id="220"/>
      <w:r w:rsidR="00F640CE">
        <w:t xml:space="preserve"> –</w:t>
      </w:r>
      <w:r w:rsidRPr="0069153C">
        <w:t xml:space="preserve"> Common procurement objectives and how they apply in developing the procurement strategy</w:t>
      </w:r>
      <w:bookmarkEnd w:id="221"/>
      <w:bookmarkEnd w:id="222"/>
    </w:p>
    <w:tbl>
      <w:tblPr>
        <w:tblStyle w:val="TableGrid"/>
        <w:tblW w:w="8429" w:type="dxa"/>
        <w:tblInd w:w="810" w:type="dxa"/>
        <w:tblLayout w:type="fixed"/>
        <w:tblCellMar>
          <w:left w:w="86" w:type="dxa"/>
          <w:right w:w="86" w:type="dxa"/>
        </w:tblCellMar>
        <w:tblLook w:val="04A0" w:firstRow="1" w:lastRow="0" w:firstColumn="1" w:lastColumn="0" w:noHBand="0" w:noVBand="1"/>
      </w:tblPr>
      <w:tblGrid>
        <w:gridCol w:w="1710"/>
        <w:gridCol w:w="4590"/>
        <w:gridCol w:w="532"/>
        <w:gridCol w:w="532"/>
        <w:gridCol w:w="532"/>
        <w:gridCol w:w="533"/>
      </w:tblGrid>
      <w:tr w:rsidR="00DC29A4" w:rsidRPr="000B566F" w14:paraId="46DB587C" w14:textId="77777777" w:rsidTr="00C72879">
        <w:trPr>
          <w:cnfStyle w:val="100000000000" w:firstRow="1" w:lastRow="0" w:firstColumn="0" w:lastColumn="0" w:oddVBand="0" w:evenVBand="0" w:oddHBand="0" w:evenHBand="0" w:firstRowFirstColumn="0" w:firstRowLastColumn="0" w:lastRowFirstColumn="0" w:lastRowLastColumn="0"/>
          <w:cantSplit/>
          <w:trHeight w:val="125"/>
        </w:trPr>
        <w:tc>
          <w:tcPr>
            <w:cnfStyle w:val="001000000000" w:firstRow="0" w:lastRow="0" w:firstColumn="1" w:lastColumn="0" w:oddVBand="0" w:evenVBand="0" w:oddHBand="0" w:evenHBand="0" w:firstRowFirstColumn="0" w:firstRowLastColumn="0" w:lastRowFirstColumn="0" w:lastRowLastColumn="0"/>
            <w:tcW w:w="6300" w:type="dxa"/>
            <w:gridSpan w:val="2"/>
            <w:tcBorders>
              <w:top w:val="nil"/>
              <w:left w:val="nil"/>
              <w:bottom w:val="single" w:sz="24" w:space="0" w:color="FFFFFF" w:themeColor="background1"/>
            </w:tcBorders>
            <w:shd w:val="clear" w:color="auto" w:fill="232B39" w:themeFill="text1"/>
          </w:tcPr>
          <w:p w14:paraId="03504296" w14:textId="77777777" w:rsidR="00710A0D" w:rsidRPr="00D64B34" w:rsidRDefault="00710A0D" w:rsidP="00F7602B">
            <w:pPr>
              <w:pStyle w:val="Tableheader"/>
              <w:rPr>
                <w:b w:val="0"/>
              </w:rPr>
            </w:pPr>
          </w:p>
        </w:tc>
        <w:tc>
          <w:tcPr>
            <w:tcW w:w="2129" w:type="dxa"/>
            <w:gridSpan w:val="4"/>
            <w:tcBorders>
              <w:top w:val="nil"/>
              <w:bottom w:val="single" w:sz="24" w:space="0" w:color="FFFFFF" w:themeColor="background1"/>
            </w:tcBorders>
            <w:shd w:val="clear" w:color="auto" w:fill="232B39" w:themeFill="text1"/>
          </w:tcPr>
          <w:p w14:paraId="39171DB4" w14:textId="77777777" w:rsidR="00710A0D" w:rsidRPr="003177BB"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bCs/>
              </w:rPr>
            </w:pPr>
            <w:r w:rsidRPr="00D64B34">
              <w:rPr>
                <w:rFonts w:asciiTheme="majorHAnsi" w:hAnsiTheme="majorHAnsi"/>
                <w:b w:val="0"/>
              </w:rPr>
              <w:t>Key value driver</w:t>
            </w:r>
          </w:p>
        </w:tc>
      </w:tr>
      <w:tr w:rsidR="001D2615" w:rsidRPr="003177BB" w14:paraId="5CB79C82" w14:textId="77777777" w:rsidTr="00C147EA">
        <w:trPr>
          <w:cantSplit/>
          <w:trHeight w:val="1488"/>
        </w:trPr>
        <w:tc>
          <w:tcPr>
            <w:cnfStyle w:val="001000000000" w:firstRow="0" w:lastRow="0" w:firstColumn="1" w:lastColumn="0" w:oddVBand="0" w:evenVBand="0" w:oddHBand="0" w:evenHBand="0" w:firstRowFirstColumn="0" w:firstRowLastColumn="0" w:lastRowFirstColumn="0" w:lastRowLastColumn="0"/>
            <w:tcW w:w="1710" w:type="dxa"/>
            <w:tcBorders>
              <w:left w:val="nil"/>
              <w:bottom w:val="single" w:sz="24" w:space="0" w:color="FFFFFF" w:themeColor="background1"/>
              <w:right w:val="single" w:sz="24" w:space="0" w:color="FFFFFF" w:themeColor="background1"/>
            </w:tcBorders>
            <w:shd w:val="clear" w:color="auto" w:fill="87189D" w:themeFill="accent1"/>
            <w:vAlign w:val="center"/>
          </w:tcPr>
          <w:p w14:paraId="67DE7293" w14:textId="77777777" w:rsidR="00710A0D" w:rsidRPr="00C147EA" w:rsidRDefault="00710A0D" w:rsidP="00F7602B">
            <w:pPr>
              <w:pStyle w:val="Tableheader"/>
              <w:rPr>
                <w:rFonts w:asciiTheme="majorHAnsi" w:hAnsiTheme="majorHAnsi"/>
                <w:sz w:val="17"/>
                <w:szCs w:val="17"/>
              </w:rPr>
            </w:pPr>
            <w:r w:rsidRPr="00C147EA">
              <w:rPr>
                <w:rFonts w:asciiTheme="majorHAnsi" w:hAnsiTheme="majorHAnsi"/>
                <w:sz w:val="17"/>
                <w:szCs w:val="17"/>
              </w:rPr>
              <w:t>Objective</w:t>
            </w:r>
          </w:p>
        </w:tc>
        <w:tc>
          <w:tcPr>
            <w:tcW w:w="4590" w:type="dxa"/>
            <w:tcBorders>
              <w:left w:val="single" w:sz="24" w:space="0" w:color="FFFFFF" w:themeColor="background1"/>
              <w:bottom w:val="single" w:sz="24" w:space="0" w:color="FFFFFF" w:themeColor="background1"/>
              <w:right w:val="single" w:sz="24" w:space="0" w:color="FFFFFF" w:themeColor="background1"/>
            </w:tcBorders>
            <w:shd w:val="clear" w:color="auto" w:fill="87189D" w:themeFill="accent1"/>
            <w:vAlign w:val="center"/>
          </w:tcPr>
          <w:p w14:paraId="5BDE4FF6" w14:textId="77777777" w:rsidR="00710A0D" w:rsidRPr="00C147EA" w:rsidRDefault="00710A0D" w:rsidP="00F7602B">
            <w:pPr>
              <w:pStyle w:val="Tableheader"/>
              <w:cnfStyle w:val="000000000000" w:firstRow="0" w:lastRow="0" w:firstColumn="0" w:lastColumn="0" w:oddVBand="0" w:evenVBand="0" w:oddHBand="0" w:evenHBand="0" w:firstRowFirstColumn="0" w:firstRowLastColumn="0" w:lastRowFirstColumn="0" w:lastRowLastColumn="0"/>
              <w:rPr>
                <w:rFonts w:asciiTheme="majorHAnsi" w:hAnsiTheme="majorHAnsi"/>
                <w:sz w:val="17"/>
                <w:szCs w:val="17"/>
              </w:rPr>
            </w:pPr>
            <w:r w:rsidRPr="00C147EA">
              <w:rPr>
                <w:rFonts w:asciiTheme="majorHAnsi" w:hAnsiTheme="majorHAnsi"/>
                <w:sz w:val="17"/>
                <w:szCs w:val="17"/>
              </w:rPr>
              <w:t>Description</w:t>
            </w:r>
          </w:p>
        </w:tc>
        <w:tc>
          <w:tcPr>
            <w:tcW w:w="532" w:type="dxa"/>
            <w:tcBorders>
              <w:left w:val="single" w:sz="24" w:space="0" w:color="FFFFFF" w:themeColor="background1"/>
              <w:right w:val="single" w:sz="24" w:space="0" w:color="FFFFFF" w:themeColor="background1"/>
            </w:tcBorders>
            <w:shd w:val="clear" w:color="auto" w:fill="87189D" w:themeFill="accent1"/>
            <w:textDirection w:val="btLr"/>
            <w:vAlign w:val="center"/>
          </w:tcPr>
          <w:p w14:paraId="7AAE730B" w14:textId="77777777" w:rsidR="00710A0D" w:rsidRPr="00C147EA" w:rsidRDefault="00710A0D" w:rsidP="00F7602B">
            <w:pPr>
              <w:pStyle w:val="Tableheader"/>
              <w:spacing w:before="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7"/>
                <w:szCs w:val="17"/>
              </w:rPr>
            </w:pPr>
            <w:r w:rsidRPr="00C147EA">
              <w:rPr>
                <w:rFonts w:asciiTheme="majorHAnsi" w:hAnsiTheme="majorHAnsi"/>
                <w:sz w:val="17"/>
                <w:szCs w:val="17"/>
              </w:rPr>
              <w:t>Structuring</w:t>
            </w:r>
          </w:p>
        </w:tc>
        <w:tc>
          <w:tcPr>
            <w:tcW w:w="532" w:type="dxa"/>
            <w:tcBorders>
              <w:left w:val="single" w:sz="24" w:space="0" w:color="FFFFFF" w:themeColor="background1"/>
              <w:right w:val="single" w:sz="24" w:space="0" w:color="FFFFFF" w:themeColor="background1"/>
            </w:tcBorders>
            <w:shd w:val="clear" w:color="auto" w:fill="87189D" w:themeFill="accent1"/>
            <w:textDirection w:val="btLr"/>
            <w:vAlign w:val="center"/>
          </w:tcPr>
          <w:p w14:paraId="118075AB" w14:textId="77777777" w:rsidR="00710A0D" w:rsidRPr="00C147EA" w:rsidRDefault="00710A0D" w:rsidP="00F7602B">
            <w:pPr>
              <w:pStyle w:val="Tableheader"/>
              <w:spacing w:before="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7"/>
                <w:szCs w:val="17"/>
              </w:rPr>
            </w:pPr>
            <w:r w:rsidRPr="00C147EA">
              <w:rPr>
                <w:rFonts w:asciiTheme="majorHAnsi" w:hAnsiTheme="majorHAnsi"/>
                <w:sz w:val="17"/>
                <w:szCs w:val="17"/>
              </w:rPr>
              <w:t>Bundling</w:t>
            </w:r>
          </w:p>
        </w:tc>
        <w:tc>
          <w:tcPr>
            <w:tcW w:w="532" w:type="dxa"/>
            <w:tcBorders>
              <w:left w:val="single" w:sz="24" w:space="0" w:color="FFFFFF" w:themeColor="background1"/>
              <w:right w:val="single" w:sz="24" w:space="0" w:color="FFFFFF" w:themeColor="background1"/>
            </w:tcBorders>
            <w:shd w:val="clear" w:color="auto" w:fill="87189D" w:themeFill="accent1"/>
            <w:textDirection w:val="btLr"/>
            <w:vAlign w:val="center"/>
          </w:tcPr>
          <w:p w14:paraId="082EE097" w14:textId="77777777" w:rsidR="00710A0D" w:rsidRPr="00C147EA" w:rsidRDefault="00710A0D" w:rsidP="00F7602B">
            <w:pPr>
              <w:pStyle w:val="Tableheader"/>
              <w:spacing w:before="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7"/>
                <w:szCs w:val="17"/>
              </w:rPr>
            </w:pPr>
            <w:r w:rsidRPr="00C147EA">
              <w:rPr>
                <w:rFonts w:asciiTheme="majorHAnsi" w:hAnsiTheme="majorHAnsi"/>
                <w:sz w:val="17"/>
                <w:szCs w:val="17"/>
              </w:rPr>
              <w:t>Packaging</w:t>
            </w:r>
          </w:p>
        </w:tc>
        <w:tc>
          <w:tcPr>
            <w:tcW w:w="533" w:type="dxa"/>
            <w:tcBorders>
              <w:left w:val="single" w:sz="24" w:space="0" w:color="FFFFFF" w:themeColor="background1"/>
              <w:right w:val="single" w:sz="24" w:space="0" w:color="FFFFFF" w:themeColor="background1"/>
            </w:tcBorders>
            <w:shd w:val="clear" w:color="auto" w:fill="87189D" w:themeFill="accent1"/>
            <w:textDirection w:val="btLr"/>
            <w:vAlign w:val="center"/>
          </w:tcPr>
          <w:p w14:paraId="096AAE91" w14:textId="77777777" w:rsidR="00710A0D" w:rsidRPr="00C147EA" w:rsidRDefault="00710A0D" w:rsidP="00F7602B">
            <w:pPr>
              <w:pStyle w:val="Tableheader"/>
              <w:spacing w:before="6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7"/>
                <w:szCs w:val="17"/>
              </w:rPr>
            </w:pPr>
            <w:r w:rsidRPr="00C147EA">
              <w:rPr>
                <w:rFonts w:asciiTheme="majorHAnsi" w:hAnsiTheme="majorHAnsi"/>
                <w:sz w:val="17"/>
                <w:szCs w:val="17"/>
              </w:rPr>
              <w:t>Model selection</w:t>
            </w:r>
          </w:p>
        </w:tc>
      </w:tr>
      <w:tr w:rsidR="00DC29A4" w:rsidRPr="0059193F" w14:paraId="495AC3E2" w14:textId="77777777" w:rsidTr="00C14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left w:val="nil"/>
              <w:bottom w:val="single" w:sz="24" w:space="0" w:color="E7D1EB" w:themeColor="background2"/>
              <w:right w:val="nil"/>
            </w:tcBorders>
            <w:shd w:val="clear" w:color="auto" w:fill="auto"/>
            <w:vAlign w:val="center"/>
          </w:tcPr>
          <w:p w14:paraId="0AFC0B09" w14:textId="77777777" w:rsidR="00710A0D" w:rsidRPr="0059193F" w:rsidRDefault="00710A0D" w:rsidP="00171CF8">
            <w:pPr>
              <w:pStyle w:val="Tabletext"/>
              <w:spacing w:before="30" w:after="30" w:line="240" w:lineRule="auto"/>
            </w:pPr>
            <w:r w:rsidRPr="0059193F">
              <w:t>Whole</w:t>
            </w:r>
            <w:r>
              <w:t>-of-life</w:t>
            </w:r>
            <w:r w:rsidRPr="0059193F" w:rsidDel="00DA30C0">
              <w:t xml:space="preserve"> </w:t>
            </w:r>
            <w:r w:rsidRPr="0059193F">
              <w:t>cost</w:t>
            </w:r>
            <w:r>
              <w:t xml:space="preserve"> effectiveness</w:t>
            </w:r>
          </w:p>
        </w:tc>
        <w:tc>
          <w:tcPr>
            <w:tcW w:w="4590" w:type="dxa"/>
            <w:tcBorders>
              <w:left w:val="nil"/>
              <w:bottom w:val="single" w:sz="24" w:space="0" w:color="E7D1EB" w:themeColor="background2"/>
            </w:tcBorders>
            <w:shd w:val="clear" w:color="auto" w:fill="auto"/>
            <w:vAlign w:val="center"/>
          </w:tcPr>
          <w:p w14:paraId="024009A7" w14:textId="77777777" w:rsidR="00710A0D" w:rsidRPr="0059193F" w:rsidRDefault="00710A0D" w:rsidP="00171CF8">
            <w:pPr>
              <w:pStyle w:val="Tabletext"/>
              <w:spacing w:before="30" w:after="30" w:line="240" w:lineRule="auto"/>
              <w:cnfStyle w:val="000000010000" w:firstRow="0" w:lastRow="0" w:firstColumn="0" w:lastColumn="0" w:oddVBand="0" w:evenVBand="0" w:oddHBand="0" w:evenHBand="1" w:firstRowFirstColumn="0" w:firstRowLastColumn="0" w:lastRowFirstColumn="0" w:lastRowLastColumn="0"/>
            </w:pPr>
            <w:r w:rsidRPr="0059193F">
              <w:t>Enhance whole</w:t>
            </w:r>
            <w:r>
              <w:t>-of-life</w:t>
            </w:r>
            <w:r w:rsidRPr="0059193F" w:rsidDel="00DA30C0">
              <w:t xml:space="preserve"> </w:t>
            </w:r>
            <w:r w:rsidRPr="0059193F">
              <w:t>cost outcomes</w:t>
            </w:r>
            <w:r>
              <w:t xml:space="preserve"> by achieving cost effectiveness during construction and operations</w:t>
            </w:r>
          </w:p>
        </w:tc>
        <w:tc>
          <w:tcPr>
            <w:tcW w:w="532" w:type="dxa"/>
            <w:shd w:val="clear" w:color="auto" w:fill="CC9DD5" w:themeFill="accent2" w:themeFillTint="99"/>
          </w:tcPr>
          <w:p w14:paraId="6DBEF3AD"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532" w:type="dxa"/>
            <w:shd w:val="clear" w:color="auto" w:fill="CC9DD5" w:themeFill="accent2" w:themeFillTint="99"/>
          </w:tcPr>
          <w:p w14:paraId="519733E7"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532" w:type="dxa"/>
            <w:shd w:val="clear" w:color="auto" w:fill="auto"/>
          </w:tcPr>
          <w:p w14:paraId="30AEFFA8"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533" w:type="dxa"/>
            <w:shd w:val="clear" w:color="auto" w:fill="CC9DD5" w:themeFill="accent2" w:themeFillTint="99"/>
          </w:tcPr>
          <w:p w14:paraId="4492A899"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r>
      <w:tr w:rsidR="00DC29A4" w:rsidRPr="0059193F" w14:paraId="270CC861" w14:textId="77777777" w:rsidTr="00C147EA">
        <w:tc>
          <w:tcPr>
            <w:cnfStyle w:val="001000000000" w:firstRow="0" w:lastRow="0" w:firstColumn="1" w:lastColumn="0" w:oddVBand="0" w:evenVBand="0" w:oddHBand="0" w:evenHBand="0" w:firstRowFirstColumn="0" w:firstRowLastColumn="0" w:lastRowFirstColumn="0" w:lastRowLastColumn="0"/>
            <w:tcW w:w="1710" w:type="dxa"/>
            <w:tcBorders>
              <w:top w:val="single" w:sz="24" w:space="0" w:color="E7D1EB" w:themeColor="background2"/>
              <w:left w:val="nil"/>
              <w:bottom w:val="single" w:sz="24" w:space="0" w:color="E7D1EB" w:themeColor="background2"/>
              <w:right w:val="nil"/>
            </w:tcBorders>
            <w:shd w:val="clear" w:color="auto" w:fill="auto"/>
            <w:vAlign w:val="center"/>
          </w:tcPr>
          <w:p w14:paraId="3A1987D3" w14:textId="77777777" w:rsidR="00710A0D" w:rsidRPr="0059193F" w:rsidRDefault="00710A0D" w:rsidP="00171CF8">
            <w:pPr>
              <w:pStyle w:val="Tabletext"/>
              <w:spacing w:before="30" w:after="30" w:line="240" w:lineRule="auto"/>
            </w:pPr>
            <w:r w:rsidRPr="0059193F">
              <w:t>Quality outcomes</w:t>
            </w:r>
          </w:p>
        </w:tc>
        <w:tc>
          <w:tcPr>
            <w:tcW w:w="4590" w:type="dxa"/>
            <w:tcBorders>
              <w:top w:val="single" w:sz="24" w:space="0" w:color="E7D1EB" w:themeColor="background2"/>
              <w:left w:val="nil"/>
              <w:bottom w:val="single" w:sz="24" w:space="0" w:color="E7D1EB" w:themeColor="background2"/>
            </w:tcBorders>
            <w:shd w:val="clear" w:color="auto" w:fill="auto"/>
            <w:vAlign w:val="center"/>
          </w:tcPr>
          <w:p w14:paraId="007C7183" w14:textId="08EB6822" w:rsidR="00710A0D" w:rsidRPr="0059193F" w:rsidRDefault="00710A0D" w:rsidP="00171CF8">
            <w:pPr>
              <w:pStyle w:val="Tabletext"/>
              <w:spacing w:before="30" w:after="30" w:line="240" w:lineRule="auto"/>
              <w:cnfStyle w:val="000000000000" w:firstRow="0" w:lastRow="0" w:firstColumn="0" w:lastColumn="0" w:oddVBand="0" w:evenVBand="0" w:oddHBand="0" w:evenHBand="0" w:firstRowFirstColumn="0" w:firstRowLastColumn="0" w:lastRowFirstColumn="0" w:lastRowLastColumn="0"/>
            </w:pPr>
            <w:r w:rsidRPr="0059193F">
              <w:t>Enhance whole</w:t>
            </w:r>
            <w:r>
              <w:t>-of-life</w:t>
            </w:r>
            <w:r w:rsidRPr="0059193F" w:rsidDel="00DA30C0">
              <w:t xml:space="preserve"> </w:t>
            </w:r>
            <w:r w:rsidRPr="0059193F">
              <w:t>benefits of the</w:t>
            </w:r>
            <w:r w:rsidR="00B30C24">
              <w:t xml:space="preserve"> </w:t>
            </w:r>
            <w:r w:rsidRPr="0059193F">
              <w:t xml:space="preserve">asset such as its functionality, environmental benefits and the performance of the asset </w:t>
            </w:r>
            <w:r w:rsidR="005744E5">
              <w:t>for its</w:t>
            </w:r>
            <w:r w:rsidRPr="0059193F">
              <w:t xml:space="preserve"> end users/operators/asset managers</w:t>
            </w:r>
          </w:p>
        </w:tc>
        <w:tc>
          <w:tcPr>
            <w:tcW w:w="532" w:type="dxa"/>
            <w:shd w:val="clear" w:color="auto" w:fill="CC9DD5" w:themeFill="accent2" w:themeFillTint="99"/>
          </w:tcPr>
          <w:p w14:paraId="411B697C" w14:textId="77777777" w:rsidR="00710A0D" w:rsidRPr="0059193F" w:rsidRDefault="00710A0D" w:rsidP="00171CF8">
            <w:pPr>
              <w:spacing w:before="30" w:after="3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532" w:type="dxa"/>
            <w:shd w:val="clear" w:color="auto" w:fill="CC9DD5" w:themeFill="accent2" w:themeFillTint="99"/>
          </w:tcPr>
          <w:p w14:paraId="53AA8B0B" w14:textId="77777777" w:rsidR="00710A0D" w:rsidRPr="0059193F" w:rsidRDefault="00710A0D" w:rsidP="00171CF8">
            <w:pPr>
              <w:spacing w:before="30" w:after="3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532" w:type="dxa"/>
            <w:shd w:val="clear" w:color="auto" w:fill="auto"/>
          </w:tcPr>
          <w:p w14:paraId="50A517DC" w14:textId="77777777" w:rsidR="00710A0D" w:rsidRPr="0059193F" w:rsidRDefault="00710A0D" w:rsidP="00171CF8">
            <w:pPr>
              <w:spacing w:before="30" w:after="3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533" w:type="dxa"/>
            <w:shd w:val="clear" w:color="auto" w:fill="CC9DD5" w:themeFill="accent2" w:themeFillTint="99"/>
          </w:tcPr>
          <w:p w14:paraId="68913E38" w14:textId="77777777" w:rsidR="00710A0D" w:rsidRPr="0059193F" w:rsidRDefault="00710A0D" w:rsidP="00171CF8">
            <w:pPr>
              <w:spacing w:before="30" w:after="30"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DC29A4" w:rsidRPr="0059193F" w14:paraId="087499F6" w14:textId="77777777" w:rsidTr="00C14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24" w:space="0" w:color="E7D1EB" w:themeColor="background2"/>
              <w:left w:val="nil"/>
              <w:bottom w:val="single" w:sz="24" w:space="0" w:color="E7D1EB" w:themeColor="background2"/>
              <w:right w:val="nil"/>
            </w:tcBorders>
            <w:shd w:val="clear" w:color="auto" w:fill="auto"/>
            <w:vAlign w:val="center"/>
          </w:tcPr>
          <w:p w14:paraId="30700981" w14:textId="77777777" w:rsidR="00710A0D" w:rsidRPr="0059193F" w:rsidRDefault="00710A0D" w:rsidP="00171CF8">
            <w:pPr>
              <w:pStyle w:val="Tabletext"/>
              <w:spacing w:before="30" w:after="30" w:line="240" w:lineRule="auto"/>
            </w:pPr>
            <w:r w:rsidRPr="0059193F">
              <w:t>Market participation and</w:t>
            </w:r>
            <w:r>
              <w:rPr>
                <w:rFonts w:ascii="Calibri" w:hAnsi="Calibri" w:cs="Calibri"/>
              </w:rPr>
              <w:t xml:space="preserve"> </w:t>
            </w:r>
            <w:r w:rsidRPr="0059193F">
              <w:t>competition</w:t>
            </w:r>
          </w:p>
        </w:tc>
        <w:tc>
          <w:tcPr>
            <w:tcW w:w="4590" w:type="dxa"/>
            <w:tcBorders>
              <w:top w:val="single" w:sz="24" w:space="0" w:color="E7D1EB" w:themeColor="background2"/>
              <w:left w:val="nil"/>
              <w:bottom w:val="single" w:sz="24" w:space="0" w:color="E7D1EB" w:themeColor="background2"/>
            </w:tcBorders>
            <w:shd w:val="clear" w:color="auto" w:fill="auto"/>
            <w:vAlign w:val="center"/>
          </w:tcPr>
          <w:p w14:paraId="552972A7" w14:textId="77777777" w:rsidR="00710A0D" w:rsidRPr="0059193F" w:rsidRDefault="00710A0D" w:rsidP="00171CF8">
            <w:pPr>
              <w:pStyle w:val="Tabletext"/>
              <w:spacing w:before="30" w:after="30" w:line="240" w:lineRule="auto"/>
              <w:cnfStyle w:val="000000010000" w:firstRow="0" w:lastRow="0" w:firstColumn="0" w:lastColumn="0" w:oddVBand="0" w:evenVBand="0" w:oddHBand="0" w:evenHBand="1" w:firstRowFirstColumn="0" w:firstRowLastColumn="0" w:lastRowFirstColumn="0" w:lastRowLastColumn="0"/>
            </w:pPr>
            <w:r w:rsidRPr="0059193F">
              <w:t>Promote market participation</w:t>
            </w:r>
            <w:r>
              <w:t>, capability,</w:t>
            </w:r>
            <w:r w:rsidRPr="0059193F">
              <w:t xml:space="preserve"> competition</w:t>
            </w:r>
            <w:r>
              <w:t>, innovation and continuous improvement</w:t>
            </w:r>
            <w:r w:rsidRPr="0059193F">
              <w:t xml:space="preserve"> to drive value</w:t>
            </w:r>
            <w:r>
              <w:t>-for-money</w:t>
            </w:r>
            <w:r w:rsidRPr="0059193F" w:rsidDel="00DA30C0">
              <w:t xml:space="preserve"> </w:t>
            </w:r>
            <w:r w:rsidRPr="0059193F">
              <w:t>given current market and supply chain dynamics</w:t>
            </w:r>
          </w:p>
        </w:tc>
        <w:tc>
          <w:tcPr>
            <w:tcW w:w="532" w:type="dxa"/>
            <w:shd w:val="clear" w:color="auto" w:fill="CC9DD5" w:themeFill="accent2" w:themeFillTint="99"/>
          </w:tcPr>
          <w:p w14:paraId="322053E0"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532" w:type="dxa"/>
            <w:shd w:val="clear" w:color="auto" w:fill="auto"/>
          </w:tcPr>
          <w:p w14:paraId="1D3E7EBC"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532" w:type="dxa"/>
            <w:shd w:val="clear" w:color="auto" w:fill="CC9DD5" w:themeFill="accent2" w:themeFillTint="99"/>
          </w:tcPr>
          <w:p w14:paraId="0190BB48"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533" w:type="dxa"/>
            <w:shd w:val="clear" w:color="auto" w:fill="CC9DD5" w:themeFill="accent2" w:themeFillTint="99"/>
          </w:tcPr>
          <w:p w14:paraId="286D697D"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r>
      <w:tr w:rsidR="00DC29A4" w:rsidRPr="0059193F" w14:paraId="61DD9610" w14:textId="77777777" w:rsidTr="00C147EA">
        <w:tc>
          <w:tcPr>
            <w:cnfStyle w:val="001000000000" w:firstRow="0" w:lastRow="0" w:firstColumn="1" w:lastColumn="0" w:oddVBand="0" w:evenVBand="0" w:oddHBand="0" w:evenHBand="0" w:firstRowFirstColumn="0" w:firstRowLastColumn="0" w:lastRowFirstColumn="0" w:lastRowLastColumn="0"/>
            <w:tcW w:w="1710" w:type="dxa"/>
            <w:tcBorders>
              <w:top w:val="single" w:sz="24" w:space="0" w:color="E7D1EB" w:themeColor="background2"/>
              <w:left w:val="nil"/>
              <w:bottom w:val="single" w:sz="24" w:space="0" w:color="E7D1EB" w:themeColor="background2"/>
              <w:right w:val="nil"/>
            </w:tcBorders>
            <w:shd w:val="clear" w:color="auto" w:fill="auto"/>
            <w:vAlign w:val="center"/>
          </w:tcPr>
          <w:p w14:paraId="7C431E29" w14:textId="77777777" w:rsidR="00710A0D" w:rsidRPr="0059193F" w:rsidRDefault="00710A0D" w:rsidP="00171CF8">
            <w:pPr>
              <w:pStyle w:val="Tabletext"/>
              <w:spacing w:before="30" w:after="30" w:line="240" w:lineRule="auto"/>
            </w:pPr>
            <w:r w:rsidRPr="0059193F">
              <w:t>Timely delivery</w:t>
            </w:r>
          </w:p>
        </w:tc>
        <w:tc>
          <w:tcPr>
            <w:tcW w:w="4590" w:type="dxa"/>
            <w:tcBorders>
              <w:top w:val="single" w:sz="24" w:space="0" w:color="E7D1EB" w:themeColor="background2"/>
              <w:left w:val="nil"/>
              <w:bottom w:val="single" w:sz="24" w:space="0" w:color="E7D1EB" w:themeColor="background2"/>
            </w:tcBorders>
            <w:shd w:val="clear" w:color="auto" w:fill="auto"/>
            <w:vAlign w:val="center"/>
          </w:tcPr>
          <w:p w14:paraId="35E8FE66" w14:textId="7B840994" w:rsidR="00710A0D" w:rsidRPr="0059193F" w:rsidRDefault="00710A0D" w:rsidP="00171CF8">
            <w:pPr>
              <w:pStyle w:val="Tabletext"/>
              <w:spacing w:before="30" w:after="30" w:line="240" w:lineRule="auto"/>
              <w:cnfStyle w:val="000000000000" w:firstRow="0" w:lastRow="0" w:firstColumn="0" w:lastColumn="0" w:oddVBand="0" w:evenVBand="0" w:oddHBand="0" w:evenHBand="0" w:firstRowFirstColumn="0" w:firstRowLastColumn="0" w:lastRowFirstColumn="0" w:lastRowLastColumn="0"/>
            </w:pPr>
            <w:r w:rsidRPr="0059193F">
              <w:t xml:space="preserve">Deliver </w:t>
            </w:r>
            <w:r w:rsidR="008F3013">
              <w:t xml:space="preserve">project </w:t>
            </w:r>
            <w:r w:rsidR="00FA3CE3">
              <w:t xml:space="preserve">within </w:t>
            </w:r>
            <w:r w:rsidRPr="0059193F">
              <w:t>required timeframes</w:t>
            </w:r>
          </w:p>
        </w:tc>
        <w:tc>
          <w:tcPr>
            <w:tcW w:w="532" w:type="dxa"/>
            <w:shd w:val="clear" w:color="auto" w:fill="CC9DD5" w:themeFill="accent2" w:themeFillTint="99"/>
          </w:tcPr>
          <w:p w14:paraId="467455B6" w14:textId="77777777" w:rsidR="00710A0D" w:rsidRPr="0059193F" w:rsidRDefault="00710A0D" w:rsidP="00171CF8">
            <w:pPr>
              <w:spacing w:before="30" w:after="3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532" w:type="dxa"/>
            <w:shd w:val="clear" w:color="auto" w:fill="auto"/>
          </w:tcPr>
          <w:p w14:paraId="78090BF8" w14:textId="77777777" w:rsidR="00710A0D" w:rsidRPr="0059193F" w:rsidRDefault="00710A0D" w:rsidP="00171CF8">
            <w:pPr>
              <w:spacing w:before="30" w:after="3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532" w:type="dxa"/>
            <w:shd w:val="clear" w:color="auto" w:fill="CC9DD5" w:themeFill="accent2" w:themeFillTint="99"/>
          </w:tcPr>
          <w:p w14:paraId="0E1D15AB" w14:textId="77777777" w:rsidR="00710A0D" w:rsidRPr="0059193F" w:rsidRDefault="00710A0D" w:rsidP="00171CF8">
            <w:pPr>
              <w:spacing w:before="30" w:after="30" w:line="240" w:lineRule="auto"/>
              <w:cnfStyle w:val="000000000000" w:firstRow="0" w:lastRow="0" w:firstColumn="0" w:lastColumn="0" w:oddVBand="0" w:evenVBand="0" w:oddHBand="0" w:evenHBand="0" w:firstRowFirstColumn="0" w:firstRowLastColumn="0" w:lastRowFirstColumn="0" w:lastRowLastColumn="0"/>
              <w:rPr>
                <w:sz w:val="16"/>
                <w:szCs w:val="16"/>
              </w:rPr>
            </w:pPr>
          </w:p>
        </w:tc>
        <w:tc>
          <w:tcPr>
            <w:tcW w:w="533" w:type="dxa"/>
            <w:shd w:val="clear" w:color="auto" w:fill="CC9DD5" w:themeFill="accent2" w:themeFillTint="99"/>
          </w:tcPr>
          <w:p w14:paraId="0CD4FC3E" w14:textId="77777777" w:rsidR="00710A0D" w:rsidRPr="0059193F" w:rsidRDefault="00710A0D" w:rsidP="00171CF8">
            <w:pPr>
              <w:spacing w:before="30" w:after="30" w:line="240" w:lineRule="auto"/>
              <w:cnfStyle w:val="000000000000" w:firstRow="0" w:lastRow="0" w:firstColumn="0" w:lastColumn="0" w:oddVBand="0" w:evenVBand="0" w:oddHBand="0" w:evenHBand="0" w:firstRowFirstColumn="0" w:firstRowLastColumn="0" w:lastRowFirstColumn="0" w:lastRowLastColumn="0"/>
              <w:rPr>
                <w:sz w:val="16"/>
                <w:szCs w:val="16"/>
              </w:rPr>
            </w:pPr>
          </w:p>
        </w:tc>
      </w:tr>
      <w:tr w:rsidR="00DC29A4" w:rsidRPr="0059193F" w14:paraId="738E402C" w14:textId="77777777" w:rsidTr="00C14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24" w:space="0" w:color="E7D1EB" w:themeColor="background2"/>
              <w:left w:val="nil"/>
              <w:bottom w:val="single" w:sz="12" w:space="0" w:color="87189D" w:themeColor="accent1"/>
              <w:right w:val="nil"/>
            </w:tcBorders>
            <w:shd w:val="clear" w:color="auto" w:fill="auto"/>
            <w:vAlign w:val="center"/>
          </w:tcPr>
          <w:p w14:paraId="0CD2BEDB" w14:textId="77777777" w:rsidR="00710A0D" w:rsidRPr="0059193F" w:rsidRDefault="00710A0D" w:rsidP="00171CF8">
            <w:pPr>
              <w:pStyle w:val="Tabletext"/>
              <w:spacing w:before="30" w:after="30" w:line="240" w:lineRule="auto"/>
            </w:pPr>
            <w:r w:rsidRPr="0059193F">
              <w:t>Effective management of</w:t>
            </w:r>
            <w:r>
              <w:t xml:space="preserve"> </w:t>
            </w:r>
            <w:r w:rsidRPr="0059193F">
              <w:t>risk and uncertainty</w:t>
            </w:r>
          </w:p>
        </w:tc>
        <w:tc>
          <w:tcPr>
            <w:tcW w:w="4590" w:type="dxa"/>
            <w:tcBorders>
              <w:top w:val="single" w:sz="24" w:space="0" w:color="E7D1EB" w:themeColor="background2"/>
              <w:left w:val="nil"/>
              <w:bottom w:val="single" w:sz="12" w:space="0" w:color="87189D" w:themeColor="accent1"/>
            </w:tcBorders>
            <w:shd w:val="clear" w:color="auto" w:fill="auto"/>
            <w:vAlign w:val="center"/>
          </w:tcPr>
          <w:p w14:paraId="0BF07F46" w14:textId="2FD24AFC" w:rsidR="00710A0D" w:rsidRPr="0059193F" w:rsidRDefault="00710A0D" w:rsidP="00171CF8">
            <w:pPr>
              <w:pStyle w:val="Tabletext"/>
              <w:spacing w:before="30" w:after="30" w:line="240" w:lineRule="auto"/>
              <w:cnfStyle w:val="000000010000" w:firstRow="0" w:lastRow="0" w:firstColumn="0" w:lastColumn="0" w:oddVBand="0" w:evenVBand="0" w:oddHBand="0" w:evenHBand="1" w:firstRowFirstColumn="0" w:firstRowLastColumn="0" w:lastRowFirstColumn="0" w:lastRowLastColumn="0"/>
            </w:pPr>
            <w:r w:rsidRPr="0059193F">
              <w:t>Achieve efficient risk pricing by retaining, sharing or allocating risks</w:t>
            </w:r>
            <w:r>
              <w:t xml:space="preserve"> and incorporating flexibility where required to manage uncertainty,</w:t>
            </w:r>
            <w:r w:rsidRPr="0059193F">
              <w:t xml:space="preserve"> to deliver the project outcomes given the project</w:t>
            </w:r>
            <w:r w:rsidR="00344D3F">
              <w:t>’</w:t>
            </w:r>
            <w:r w:rsidRPr="0059193F">
              <w:t>s delivery and operational context</w:t>
            </w:r>
          </w:p>
        </w:tc>
        <w:tc>
          <w:tcPr>
            <w:tcW w:w="532" w:type="dxa"/>
            <w:tcBorders>
              <w:bottom w:val="single" w:sz="12" w:space="0" w:color="87189D" w:themeColor="accent1"/>
            </w:tcBorders>
            <w:shd w:val="clear" w:color="auto" w:fill="CC9DD5" w:themeFill="accent2" w:themeFillTint="99"/>
          </w:tcPr>
          <w:p w14:paraId="244F5E3F"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532" w:type="dxa"/>
            <w:tcBorders>
              <w:bottom w:val="single" w:sz="12" w:space="0" w:color="87189D" w:themeColor="accent1"/>
            </w:tcBorders>
            <w:shd w:val="clear" w:color="auto" w:fill="CC9DD5" w:themeFill="accent2" w:themeFillTint="99"/>
          </w:tcPr>
          <w:p w14:paraId="13DF6B1C"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532" w:type="dxa"/>
            <w:tcBorders>
              <w:bottom w:val="single" w:sz="12" w:space="0" w:color="87189D" w:themeColor="accent1"/>
            </w:tcBorders>
            <w:shd w:val="clear" w:color="auto" w:fill="CC9DD5" w:themeFill="accent2" w:themeFillTint="99"/>
          </w:tcPr>
          <w:p w14:paraId="7D1CCAF0"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c>
          <w:tcPr>
            <w:tcW w:w="533" w:type="dxa"/>
            <w:tcBorders>
              <w:bottom w:val="single" w:sz="12" w:space="0" w:color="87189D" w:themeColor="accent1"/>
            </w:tcBorders>
            <w:shd w:val="clear" w:color="auto" w:fill="CC9DD5" w:themeFill="accent2" w:themeFillTint="99"/>
          </w:tcPr>
          <w:p w14:paraId="54A25B1D" w14:textId="77777777" w:rsidR="00710A0D" w:rsidRPr="0059193F" w:rsidRDefault="00710A0D" w:rsidP="00171CF8">
            <w:pPr>
              <w:spacing w:before="30" w:after="30" w:line="240" w:lineRule="auto"/>
              <w:cnfStyle w:val="000000010000" w:firstRow="0" w:lastRow="0" w:firstColumn="0" w:lastColumn="0" w:oddVBand="0" w:evenVBand="0" w:oddHBand="0" w:evenHBand="1" w:firstRowFirstColumn="0" w:firstRowLastColumn="0" w:lastRowFirstColumn="0" w:lastRowLastColumn="0"/>
              <w:rPr>
                <w:sz w:val="16"/>
                <w:szCs w:val="16"/>
              </w:rPr>
            </w:pPr>
          </w:p>
        </w:tc>
      </w:tr>
    </w:tbl>
    <w:p w14:paraId="3340D39E" w14:textId="0162A93E" w:rsidR="00B172BB" w:rsidRPr="00524BFB" w:rsidRDefault="77A93FF4" w:rsidP="001D2615">
      <w:pPr>
        <w:pStyle w:val="Heading2numbered"/>
      </w:pPr>
      <w:bookmarkStart w:id="223" w:name="Step2"/>
      <w:bookmarkStart w:id="224" w:name="_Toc124245337"/>
      <w:bookmarkStart w:id="225" w:name="_Toc161321758"/>
      <w:bookmarkEnd w:id="211"/>
      <w:r w:rsidRPr="00524BFB">
        <w:t>Step 2</w:t>
      </w:r>
      <w:bookmarkEnd w:id="223"/>
      <w:r w:rsidRPr="00524BFB">
        <w:t>: Project structuring, bundling and packaging</w:t>
      </w:r>
      <w:bookmarkEnd w:id="224"/>
      <w:bookmarkEnd w:id="225"/>
    </w:p>
    <w:p w14:paraId="59032326" w14:textId="5D505652" w:rsidR="00710A0D" w:rsidRPr="00524BFB" w:rsidRDefault="00710A0D" w:rsidP="00834461">
      <w:pPr>
        <w:pStyle w:val="NormalIndent"/>
        <w:rPr>
          <w:color w:val="auto"/>
        </w:rPr>
      </w:pPr>
      <w:r w:rsidRPr="00524BFB">
        <w:t xml:space="preserve">Building on the foundation established in Step 1, practitioners should utilise the procurement objectives and </w:t>
      </w:r>
      <w:r w:rsidR="002A688C">
        <w:t xml:space="preserve">their </w:t>
      </w:r>
      <w:r w:rsidRPr="00524BFB">
        <w:t>comprehensive understanding of the project characteristics to guid</w:t>
      </w:r>
      <w:r>
        <w:t>e</w:t>
      </w:r>
      <w:r w:rsidRPr="00524BFB">
        <w:t xml:space="preserve"> consideration of the most suitable project structure, bundling and packaging approach. The requirements of this step will vary depending on the project</w:t>
      </w:r>
      <w:r w:rsidR="00344D3F">
        <w:t>’</w:t>
      </w:r>
      <w:r w:rsidRPr="00524BFB">
        <w:t>s scale and complexity. For HVHR or megaprojects</w:t>
      </w:r>
      <w:r w:rsidR="00DC350B">
        <w:rPr>
          <w:rFonts w:ascii="ZWAdobeF" w:hAnsi="ZWAdobeF" w:cs="ZWAdobeF"/>
          <w:color w:val="auto"/>
          <w:sz w:val="2"/>
          <w:szCs w:val="2"/>
        </w:rPr>
        <w:t>1F</w:t>
      </w:r>
      <w:r>
        <w:rPr>
          <w:rStyle w:val="FootnoteReference"/>
          <w:rFonts w:ascii="VIC" w:hAnsi="VIC"/>
        </w:rPr>
        <w:footnoteReference w:id="3"/>
      </w:r>
      <w:r w:rsidRPr="00524BFB">
        <w:t xml:space="preserve">, </w:t>
      </w:r>
      <w:r>
        <w:t>practitioners should</w:t>
      </w:r>
      <w:r w:rsidRPr="00524BFB">
        <w:t xml:space="preserve"> consider project structuring and bundling opportunities to deliver</w:t>
      </w:r>
      <w:r>
        <w:t xml:space="preserve"> the project</w:t>
      </w:r>
      <w:r w:rsidRPr="00524BFB">
        <w:t xml:space="preserve"> </w:t>
      </w:r>
      <w:r>
        <w:t>efficiently and add value</w:t>
      </w:r>
      <w:r w:rsidRPr="00524BFB">
        <w:t xml:space="preserve">. </w:t>
      </w:r>
      <w:r w:rsidR="00FB095F">
        <w:t>P</w:t>
      </w:r>
      <w:r>
        <w:t xml:space="preserve">roject packaging analysis should be undertaken regardless of the </w:t>
      </w:r>
      <w:r w:rsidR="00F7108D">
        <w:t xml:space="preserve">project </w:t>
      </w:r>
      <w:r>
        <w:t>size</w:t>
      </w:r>
      <w:r w:rsidRPr="00524BFB">
        <w:t>. It is important to complete this step before moving on to procurement model shortlisting and analysis for each project bundle or package (Steps 3</w:t>
      </w:r>
      <w:r>
        <w:t>–</w:t>
      </w:r>
      <w:r w:rsidRPr="00524BFB">
        <w:t xml:space="preserve">5). </w:t>
      </w:r>
      <w:r>
        <w:t>T</w:t>
      </w:r>
      <w:r w:rsidRPr="00524BFB">
        <w:t xml:space="preserve">he structuring, bunding and packaging </w:t>
      </w:r>
      <w:r>
        <w:t xml:space="preserve">approach may need to be reworked as additional </w:t>
      </w:r>
      <w:r>
        <w:rPr>
          <w:rFonts w:eastAsia="MS Gothic" w:cs="Arial"/>
        </w:rPr>
        <w:t xml:space="preserve">market and project detail </w:t>
      </w:r>
      <w:r>
        <w:t>comes</w:t>
      </w:r>
      <w:r w:rsidRPr="00524BFB">
        <w:t xml:space="preserve"> to </w:t>
      </w:r>
      <w:r>
        <w:t>light through</w:t>
      </w:r>
      <w:r w:rsidRPr="00524BFB">
        <w:t xml:space="preserve"> subsequent stages of the procurement</w:t>
      </w:r>
      <w:r w:rsidRPr="00524BFB">
        <w:rPr>
          <w:rFonts w:eastAsia="MS Gothic" w:cs="Arial"/>
        </w:rPr>
        <w:t xml:space="preserve"> analysis.</w:t>
      </w:r>
    </w:p>
    <w:p w14:paraId="68683EF8" w14:textId="40D118EE" w:rsidR="00710A0D" w:rsidRPr="00524BFB" w:rsidRDefault="00710A0D" w:rsidP="00834461">
      <w:pPr>
        <w:pStyle w:val="NormalIndent"/>
      </w:pPr>
      <w:r w:rsidRPr="00524BFB">
        <w:t xml:space="preserve">Practitioners should consider the benefits of market engagement to inform </w:t>
      </w:r>
      <w:r w:rsidR="006B5D13">
        <w:t>p</w:t>
      </w:r>
      <w:r w:rsidR="00D03215" w:rsidRPr="00D03215">
        <w:t>roject development and due diligence (PDDD)</w:t>
      </w:r>
      <w:r w:rsidRPr="00524BFB">
        <w:t xml:space="preserve"> </w:t>
      </w:r>
      <w:r w:rsidRPr="00524BFB">
        <w:rPr>
          <w:rFonts w:cstheme="minorHAnsi"/>
          <w:color w:val="auto"/>
        </w:rPr>
        <w:t>when</w:t>
      </w:r>
      <w:r w:rsidRPr="00524BFB">
        <w:t xml:space="preserve"> it comes to structuring, bundling and packaging determinations.</w:t>
      </w:r>
    </w:p>
    <w:p w14:paraId="0244ABF4" w14:textId="77777777" w:rsidR="00B172BB" w:rsidRPr="00727079" w:rsidRDefault="00B172BB" w:rsidP="001D2615">
      <w:pPr>
        <w:pStyle w:val="Heading3numbered"/>
        <w:rPr>
          <w:rFonts w:eastAsia="MS Mincho" w:cs="Times New Roman"/>
          <w:color w:val="232B39"/>
          <w:sz w:val="20"/>
        </w:rPr>
      </w:pPr>
      <w:bookmarkStart w:id="226" w:name="_Toc124245338"/>
      <w:bookmarkStart w:id="227" w:name="_Toc124245339"/>
      <w:bookmarkEnd w:id="226"/>
      <w:r w:rsidRPr="00524BFB">
        <w:t xml:space="preserve">Project </w:t>
      </w:r>
      <w:r w:rsidR="002C785E" w:rsidRPr="00524BFB">
        <w:t>structuring</w:t>
      </w:r>
      <w:bookmarkEnd w:id="227"/>
    </w:p>
    <w:p w14:paraId="1F856CC9" w14:textId="64C8CAF2" w:rsidR="00710A0D" w:rsidRDefault="00710A0D" w:rsidP="00834461">
      <w:pPr>
        <w:pStyle w:val="NormalIndent"/>
      </w:pPr>
      <w:r w:rsidRPr="000B566F">
        <w:t>Some projects (</w:t>
      </w:r>
      <w:r>
        <w:t>such as</w:t>
      </w:r>
      <w:r w:rsidRPr="000B566F">
        <w:t xml:space="preserve"> HVHR or megaprojects) may warrant consideration of the supporting </w:t>
      </w:r>
      <w:r w:rsidRPr="00EF0204">
        <w:rPr>
          <w:rFonts w:cstheme="minorHAnsi"/>
          <w:color w:val="auto"/>
        </w:rPr>
        <w:t>commercial</w:t>
      </w:r>
      <w:r w:rsidRPr="000B566F">
        <w:t xml:space="preserve"> structures, financing solutions</w:t>
      </w:r>
      <w:r>
        <w:t xml:space="preserve"> and </w:t>
      </w:r>
      <w:r w:rsidRPr="000B566F">
        <w:t xml:space="preserve">organisational delivery structures to </w:t>
      </w:r>
      <w:r>
        <w:t>address project delivery issues or optimise government investment.</w:t>
      </w:r>
    </w:p>
    <w:p w14:paraId="5CAB16E3" w14:textId="5636A8AF" w:rsidR="00B172BB" w:rsidRPr="00727EF0" w:rsidRDefault="00B172BB" w:rsidP="002770AB">
      <w:pPr>
        <w:pStyle w:val="Quote"/>
        <w:rPr>
          <w:color w:val="232B39"/>
          <w:highlight w:val="yellow"/>
        </w:rPr>
      </w:pPr>
      <w:r w:rsidRPr="00D13631">
        <w:rPr>
          <w:b/>
          <w:bCs/>
        </w:rPr>
        <w:t>Decision point:</w:t>
      </w:r>
      <w:r w:rsidRPr="00D13631">
        <w:t xml:space="preserve"> Is there a need to consider commercial and organisational structuring </w:t>
      </w:r>
      <w:r w:rsidR="00A26DFC" w:rsidRPr="00D13631">
        <w:t xml:space="preserve">or alternative funding streams </w:t>
      </w:r>
      <w:r w:rsidRPr="00D13631">
        <w:t>for the project? If so, what is the optimal project structure?</w:t>
      </w:r>
    </w:p>
    <w:p w14:paraId="2A99F854" w14:textId="77777777" w:rsidR="00B172BB" w:rsidRDefault="00B172BB" w:rsidP="00834461">
      <w:pPr>
        <w:pStyle w:val="NormalIndent"/>
      </w:pPr>
      <w:r>
        <w:t>Structuring requirements will generally be present where either (or both) of the following factors are in play:</w:t>
      </w:r>
    </w:p>
    <w:p w14:paraId="6FD87DA3" w14:textId="3E56F54B" w:rsidR="00710A0D" w:rsidRPr="00657F73" w:rsidRDefault="00A35D39" w:rsidP="001D2615">
      <w:pPr>
        <w:pStyle w:val="Bulletindent"/>
      </w:pPr>
      <w:r>
        <w:t xml:space="preserve">there is </w:t>
      </w:r>
      <w:r w:rsidR="00710A0D" w:rsidRPr="00657F73">
        <w:t>a need to manage a large and complex project or program of work, and this may require adapting organisational design or client capability and capacity to deliver the works</w:t>
      </w:r>
    </w:p>
    <w:p w14:paraId="5F58CF39" w14:textId="164E4D95" w:rsidR="00710A0D" w:rsidRPr="00657F73" w:rsidRDefault="00A35D39" w:rsidP="001D2615">
      <w:pPr>
        <w:pStyle w:val="Bulletindent"/>
      </w:pPr>
      <w:r>
        <w:t xml:space="preserve">there are </w:t>
      </w:r>
      <w:r w:rsidR="00710A0D" w:rsidRPr="00657F73">
        <w:t>material commercial or financial opportunities associated with a project that may open alternative delivery arrangements that can support other government priorities.</w:t>
      </w:r>
    </w:p>
    <w:p w14:paraId="6D12A508" w14:textId="77777777" w:rsidR="00710A0D" w:rsidRPr="00171CF8" w:rsidRDefault="00710A0D" w:rsidP="0094649D">
      <w:pPr>
        <w:pStyle w:val="HighlightBoxHeading"/>
      </w:pPr>
      <w:r w:rsidRPr="00171CF8">
        <w:t>Project structuring checklist</w:t>
      </w:r>
    </w:p>
    <w:p w14:paraId="7F521040" w14:textId="6E0C6C57" w:rsidR="00710A0D" w:rsidRPr="00194366" w:rsidRDefault="00710A0D" w:rsidP="00710A0D">
      <w:pPr>
        <w:pStyle w:val="HighlightBoxText"/>
      </w:pPr>
      <w:r w:rsidRPr="00194366">
        <w:t>Consider the following questions. If</w:t>
      </w:r>
      <w:r w:rsidR="00E919F3">
        <w:t xml:space="preserve"> you respond</w:t>
      </w:r>
      <w:r w:rsidRPr="00194366">
        <w:t xml:space="preserve"> </w:t>
      </w:r>
      <w:r w:rsidR="00E919F3">
        <w:t xml:space="preserve">with </w:t>
      </w:r>
      <w:r w:rsidR="00344D3F">
        <w:t>‘</w:t>
      </w:r>
      <w:r w:rsidR="00E919F3">
        <w:t>y</w:t>
      </w:r>
      <w:r w:rsidR="00E919F3" w:rsidRPr="00194366">
        <w:t>es</w:t>
      </w:r>
      <w:r w:rsidR="00E919F3">
        <w:t>’</w:t>
      </w:r>
      <w:r w:rsidR="00E919F3" w:rsidRPr="00194366">
        <w:t xml:space="preserve"> </w:t>
      </w:r>
      <w:r w:rsidRPr="00194366">
        <w:t xml:space="preserve">or </w:t>
      </w:r>
      <w:r w:rsidR="00344D3F">
        <w:t>‘</w:t>
      </w:r>
      <w:r w:rsidR="00E919F3">
        <w:t>m</w:t>
      </w:r>
      <w:r w:rsidR="00E919F3" w:rsidRPr="00194366">
        <w:t>aybe</w:t>
      </w:r>
      <w:r w:rsidR="00E919F3">
        <w:t>’</w:t>
      </w:r>
      <w:r w:rsidR="00E919F3" w:rsidRPr="00194366">
        <w:t xml:space="preserve"> </w:t>
      </w:r>
      <w:r w:rsidRPr="00194366">
        <w:t xml:space="preserve">to any of these questions, engage </w:t>
      </w:r>
      <w:r w:rsidR="006049C5">
        <w:t xml:space="preserve">with </w:t>
      </w:r>
      <w:r w:rsidRPr="00194366">
        <w:t>DTF early to assess potential structuring options</w:t>
      </w:r>
      <w:r>
        <w:t>.</w:t>
      </w:r>
    </w:p>
    <w:p w14:paraId="0A465A45" w14:textId="6F70A00C" w:rsidR="00710A0D" w:rsidRPr="001076C7" w:rsidRDefault="00710A0D" w:rsidP="001D2615">
      <w:pPr>
        <w:pStyle w:val="HighlightBoxBullet"/>
      </w:pPr>
      <w:r w:rsidRPr="001076C7">
        <w:t>Is there a need to significantly augment organisational capability and capacity to manage complex system and broader network integration, supply chain management and project interfaces during delivery</w:t>
      </w:r>
      <w:r w:rsidR="00693EC8">
        <w:t>, for example, by</w:t>
      </w:r>
      <w:r>
        <w:t xml:space="preserve"> establis</w:t>
      </w:r>
      <w:r w:rsidR="00693EC8">
        <w:t>hing</w:t>
      </w:r>
      <w:r>
        <w:t xml:space="preserve"> a dedicated departmental delivery function or </w:t>
      </w:r>
      <w:r w:rsidR="00B15234">
        <w:t xml:space="preserve">a </w:t>
      </w:r>
      <w:r>
        <w:t>separate delivery agency</w:t>
      </w:r>
      <w:r w:rsidRPr="001076C7">
        <w:t>?</w:t>
      </w:r>
    </w:p>
    <w:p w14:paraId="4801B5A6" w14:textId="77777777" w:rsidR="00710A0D" w:rsidRPr="001076C7" w:rsidRDefault="00710A0D" w:rsidP="001D2615">
      <w:pPr>
        <w:pStyle w:val="HighlightBoxBullet"/>
        <w:ind w:left="1076" w:hanging="284"/>
      </w:pPr>
      <w:r w:rsidRPr="001076C7">
        <w:t xml:space="preserve">Is there a need to manage competition requirements </w:t>
      </w:r>
      <w:r>
        <w:t>or</w:t>
      </w:r>
      <w:r w:rsidRPr="001076C7">
        <w:t xml:space="preserve"> supply chain constraints, particularly at a portfolio or programmatic level?</w:t>
      </w:r>
    </w:p>
    <w:p w14:paraId="04A27E12" w14:textId="54367D5A" w:rsidR="00710A0D" w:rsidRPr="001076C7" w:rsidRDefault="00710A0D" w:rsidP="001D2615">
      <w:pPr>
        <w:pStyle w:val="HighlightBoxBullet"/>
        <w:ind w:left="1076" w:hanging="284"/>
      </w:pPr>
      <w:r w:rsidRPr="001076C7">
        <w:t>Is there a significant pipeline of similar works expected over an extended period</w:t>
      </w:r>
      <w:r w:rsidR="00A35D39">
        <w:t xml:space="preserve"> (</w:t>
      </w:r>
      <w:r>
        <w:t>for example</w:t>
      </w:r>
      <w:r w:rsidRPr="001076C7">
        <w:t>, 5–10 years</w:t>
      </w:r>
      <w:r w:rsidR="00A35D39">
        <w:t>)</w:t>
      </w:r>
      <w:r>
        <w:t xml:space="preserve"> that may merit a programmatic approach</w:t>
      </w:r>
      <w:r w:rsidRPr="001076C7">
        <w:t>?</w:t>
      </w:r>
    </w:p>
    <w:p w14:paraId="68CB2711" w14:textId="5DF03CB3" w:rsidR="00710A0D" w:rsidRPr="001076C7" w:rsidRDefault="00710A0D" w:rsidP="001D2615">
      <w:pPr>
        <w:pStyle w:val="HighlightBoxBullet"/>
        <w:ind w:left="1076" w:hanging="284"/>
      </w:pPr>
      <w:r w:rsidRPr="001076C7">
        <w:t>Are there opportunities to optimise the project</w:t>
      </w:r>
      <w:r w:rsidR="00344D3F">
        <w:t>’</w:t>
      </w:r>
      <w:r w:rsidRPr="001076C7">
        <w:t>s scope or commercial character to appeal to potential project partners such as community groups, financiers or equity investors</w:t>
      </w:r>
      <w:r w:rsidR="00A35D39">
        <w:t xml:space="preserve"> (</w:t>
      </w:r>
      <w:r>
        <w:t>for example, enabling creation of separable commercial revenue streams</w:t>
      </w:r>
      <w:r w:rsidR="00A35D39">
        <w:t>)</w:t>
      </w:r>
      <w:r>
        <w:t>?</w:t>
      </w:r>
    </w:p>
    <w:p w14:paraId="54A6AFA9" w14:textId="2983803E" w:rsidR="00710A0D" w:rsidRPr="001076C7" w:rsidRDefault="00710A0D" w:rsidP="001D2615">
      <w:pPr>
        <w:pStyle w:val="HighlightBoxBullet"/>
        <w:ind w:left="1076" w:hanging="284"/>
      </w:pPr>
      <w:r w:rsidRPr="001076C7">
        <w:t>Is there a need for government involvement in, or an opportunity to deliver improved outcomes through, otherwise private sector-led projects</w:t>
      </w:r>
      <w:r w:rsidR="00A35D39">
        <w:t xml:space="preserve"> (</w:t>
      </w:r>
      <w:r>
        <w:t>for example</w:t>
      </w:r>
      <w:r w:rsidRPr="001076C7">
        <w:t>, joint venture arrangements with private partners</w:t>
      </w:r>
      <w:r w:rsidR="00A35D39">
        <w:t>)</w:t>
      </w:r>
      <w:r w:rsidRPr="001076C7">
        <w:t>?</w:t>
      </w:r>
    </w:p>
    <w:p w14:paraId="19ADC33C" w14:textId="609B7F51" w:rsidR="00710A0D" w:rsidRPr="001076C7" w:rsidRDefault="00710A0D" w:rsidP="001D2615">
      <w:pPr>
        <w:pStyle w:val="HighlightBoxBullet"/>
        <w:ind w:left="1076" w:hanging="284"/>
      </w:pPr>
      <w:r w:rsidRPr="001076C7">
        <w:t xml:space="preserve">Is there is </w:t>
      </w:r>
      <w:r w:rsidR="00C66385">
        <w:t xml:space="preserve">a </w:t>
      </w:r>
      <w:r w:rsidRPr="001076C7">
        <w:t xml:space="preserve">need to deliver </w:t>
      </w:r>
      <w:r w:rsidR="00074477">
        <w:t>the</w:t>
      </w:r>
      <w:r w:rsidRPr="001076C7">
        <w:t xml:space="preserve"> project as part of a broader commercial enterprise or opportunity</w:t>
      </w:r>
      <w:r w:rsidR="00A35D39">
        <w:t xml:space="preserve"> (</w:t>
      </w:r>
      <w:r>
        <w:t>for example</w:t>
      </w:r>
      <w:r w:rsidRPr="001076C7">
        <w:t>, public non-financial corporations delivering or owning and maintaining built assets</w:t>
      </w:r>
      <w:r w:rsidR="00A35D39">
        <w:t xml:space="preserve">, </w:t>
      </w:r>
      <w:r w:rsidRPr="001076C7">
        <w:t>not including routine arrangements)?</w:t>
      </w:r>
    </w:p>
    <w:p w14:paraId="3A278A4C" w14:textId="426E9BC1" w:rsidR="00710A0D" w:rsidRPr="001076C7" w:rsidRDefault="00710A0D" w:rsidP="001D2615">
      <w:pPr>
        <w:pStyle w:val="HighlightBoxBullet"/>
        <w:ind w:left="1076" w:hanging="284"/>
      </w:pPr>
      <w:r w:rsidRPr="001076C7">
        <w:t>Are there opportunities to mitigate</w:t>
      </w:r>
      <w:r>
        <w:t xml:space="preserve"> the </w:t>
      </w:r>
      <w:r w:rsidR="001468EC">
        <w:t>G</w:t>
      </w:r>
      <w:r w:rsidRPr="001076C7">
        <w:t>overnment</w:t>
      </w:r>
      <w:r w:rsidR="00344D3F">
        <w:t>’</w:t>
      </w:r>
      <w:r w:rsidRPr="001076C7">
        <w:t>s funding requirements or balance sheet exposure to the project through</w:t>
      </w:r>
      <w:r>
        <w:t>, for example,</w:t>
      </w:r>
      <w:r w:rsidRPr="001076C7">
        <w:t xml:space="preserve"> new revenue generation, cost offsets or third-party financing?</w:t>
      </w:r>
    </w:p>
    <w:p w14:paraId="1EE0DE3D" w14:textId="77777777" w:rsidR="00BE2139" w:rsidRDefault="00BE2139" w:rsidP="00171CF8">
      <w:pPr>
        <w:pStyle w:val="Spacer"/>
      </w:pPr>
    </w:p>
    <w:p w14:paraId="19F1539D" w14:textId="77777777" w:rsidR="00710A0D" w:rsidRDefault="00710A0D" w:rsidP="00834461">
      <w:pPr>
        <w:pStyle w:val="NormalIndent"/>
      </w:pPr>
      <w:r w:rsidRPr="00380C99">
        <w:t xml:space="preserve">When evaluating project structure options, it is important to consider the broader operating context and whether alternative structuring could better </w:t>
      </w:r>
      <w:r w:rsidRPr="51A6D8F1">
        <w:rPr>
          <w:color w:val="auto"/>
        </w:rPr>
        <w:t>manage</w:t>
      </w:r>
      <w:r w:rsidRPr="00380C99">
        <w:t xml:space="preserve"> risk, enhance project outcomes or provide more opportunities to drive value</w:t>
      </w:r>
      <w:r>
        <w:t>-</w:t>
      </w:r>
      <w:r w:rsidRPr="00380C99">
        <w:t>for</w:t>
      </w:r>
      <w:r>
        <w:t>-</w:t>
      </w:r>
      <w:r w:rsidRPr="00380C99">
        <w:t>money.</w:t>
      </w:r>
    </w:p>
    <w:p w14:paraId="5A2164E2" w14:textId="77777777" w:rsidR="00284318" w:rsidRDefault="00AA6FFB" w:rsidP="001D2615">
      <w:pPr>
        <w:pStyle w:val="Heading4numbered"/>
      </w:pPr>
      <w:r>
        <w:t>Addressing c</w:t>
      </w:r>
      <w:r w:rsidR="00CA5469">
        <w:t>omplexity</w:t>
      </w:r>
      <w:r w:rsidR="00DE09E8">
        <w:t xml:space="preserve"> and governance</w:t>
      </w:r>
    </w:p>
    <w:p w14:paraId="4E280A71" w14:textId="22CE8738" w:rsidR="00B172BB" w:rsidRDefault="00B172BB" w:rsidP="00834461">
      <w:pPr>
        <w:pStyle w:val="NormalIndent"/>
      </w:pPr>
      <w:r w:rsidRPr="00380C99">
        <w:t>This assessment should</w:t>
      </w:r>
      <w:r>
        <w:t xml:space="preserve"> consider</w:t>
      </w:r>
      <w:r w:rsidRPr="00380C99">
        <w:t xml:space="preserve"> </w:t>
      </w:r>
      <w:r>
        <w:t>the size and complexity of the project and the client</w:t>
      </w:r>
      <w:r w:rsidR="00344D3F">
        <w:t>’</w:t>
      </w:r>
      <w:r>
        <w:t>s current capacity and capability to deliver. C</w:t>
      </w:r>
      <w:r w:rsidRPr="00380C99">
        <w:t>onsider</w:t>
      </w:r>
      <w:r>
        <w:t>ations can include:</w:t>
      </w:r>
    </w:p>
    <w:p w14:paraId="712570CE" w14:textId="77777777" w:rsidR="00710A0D" w:rsidRPr="00EF0204" w:rsidRDefault="00710A0D" w:rsidP="001D2615">
      <w:pPr>
        <w:pStyle w:val="Bulletindent"/>
      </w:pPr>
      <w:r>
        <w:t>the optimal organisational structure (including form, capacity and capability) for delivering the project</w:t>
      </w:r>
    </w:p>
    <w:p w14:paraId="44659449" w14:textId="77777777" w:rsidR="00710A0D" w:rsidRPr="00EF0204" w:rsidRDefault="00710A0D" w:rsidP="001D2615">
      <w:pPr>
        <w:pStyle w:val="Bulletindent"/>
      </w:pPr>
      <w:r>
        <w:t>the roles of sponsoring agencies, existing delivery agencies and other key stakeholders</w:t>
      </w:r>
    </w:p>
    <w:p w14:paraId="07F67B55" w14:textId="77777777" w:rsidR="00B172BB" w:rsidRPr="00EF0204" w:rsidRDefault="285B83F7" w:rsidP="001D2615">
      <w:pPr>
        <w:pStyle w:val="Bulletindent"/>
      </w:pPr>
      <w:r>
        <w:t>the need for establishing specific project entities and optimal project governance arrangements</w:t>
      </w:r>
    </w:p>
    <w:p w14:paraId="15E611F2" w14:textId="77777777" w:rsidR="00B172BB" w:rsidRPr="00163346" w:rsidRDefault="285B83F7" w:rsidP="001D2615">
      <w:pPr>
        <w:pStyle w:val="Bulletindent"/>
      </w:pPr>
      <w:r>
        <w:t>t</w:t>
      </w:r>
      <w:r w:rsidRPr="00163346">
        <w:t>he need for maintaining design control.</w:t>
      </w:r>
    </w:p>
    <w:p w14:paraId="364B2EE1" w14:textId="77777777" w:rsidR="00710A0D" w:rsidRPr="00247A32" w:rsidRDefault="00710A0D" w:rsidP="00A35D39">
      <w:pPr>
        <w:pStyle w:val="HighlightBoxHeading"/>
      </w:pPr>
      <w:r w:rsidRPr="00247A32">
        <w:t>An integrated delivery partner can augment client capability and capacity</w:t>
      </w:r>
    </w:p>
    <w:p w14:paraId="7D524FE4" w14:textId="6DA53CAA" w:rsidR="00710A0D" w:rsidRPr="00247A32" w:rsidRDefault="00710A0D" w:rsidP="00A35D39">
      <w:pPr>
        <w:pStyle w:val="HighlightBoxText"/>
      </w:pPr>
      <w:r w:rsidRPr="00247A32">
        <w:t>Consider an integrated delivery partner (IDP) for complex projects that require significant system integration, supply chain management, program-wide delivery integration, owner capabilities and development, increased front</w:t>
      </w:r>
      <w:r w:rsidR="00EA5D8F">
        <w:t>-</w:t>
      </w:r>
      <w:r w:rsidRPr="00247A32">
        <w:t>end project development and external due diligence activities. IDP arrangements vary from consultancy engagements to highly</w:t>
      </w:r>
      <w:r w:rsidR="00BA1635">
        <w:t xml:space="preserve"> </w:t>
      </w:r>
      <w:r w:rsidRPr="00247A32">
        <w:t>integrated project teams where internal project management is supplemented or fully supplied by the delivery partner for the project</w:t>
      </w:r>
      <w:r w:rsidR="00344D3F">
        <w:t>’</w:t>
      </w:r>
      <w:r w:rsidRPr="00247A32">
        <w:t>s duration. An IDP service offering can range from business case and procurement support through to implementation (including construction management services).</w:t>
      </w:r>
    </w:p>
    <w:p w14:paraId="59CFDC15" w14:textId="77777777" w:rsidR="00710A0D" w:rsidRPr="00247A32" w:rsidRDefault="00710A0D" w:rsidP="00A35D39">
      <w:pPr>
        <w:pStyle w:val="HighlightBoxText"/>
      </w:pPr>
      <w:r w:rsidRPr="00247A32">
        <w:t>An IDP can identify effective packaging and support delivery of a broader range of procurement models and packaging options that may not be feasible relying on internal capability. This option may be particularly relevant for agencies where project delivery is not a core function. An IDP can also provide existing systems, expertise and resources to support project delivery. It can allow for phasing of design and construction as well as disaggregating supply and delivery contracts, such as long lead items and owner-supplied materials.</w:t>
      </w:r>
    </w:p>
    <w:p w14:paraId="163AEE05" w14:textId="59114218" w:rsidR="00163346" w:rsidRPr="00247A32" w:rsidRDefault="00163346" w:rsidP="00A35D39">
      <w:pPr>
        <w:pStyle w:val="HighlightBoxText"/>
      </w:pPr>
      <w:r>
        <w:t xml:space="preserve">An IDP model </w:t>
      </w:r>
      <w:r w:rsidR="302AFD4B">
        <w:t>could be</w:t>
      </w:r>
      <w:r>
        <w:t xml:space="preserve"> suitable </w:t>
      </w:r>
      <w:r w:rsidRPr="00247A32">
        <w:t>for:</w:t>
      </w:r>
    </w:p>
    <w:p w14:paraId="6DC9E7DE" w14:textId="61BFD92E" w:rsidR="00163346" w:rsidRPr="00247A32" w:rsidRDefault="00163346" w:rsidP="001D2615">
      <w:pPr>
        <w:pStyle w:val="HighlightBoxBullet"/>
      </w:pPr>
      <w:r w:rsidRPr="00247A32">
        <w:t>large</w:t>
      </w:r>
      <w:r w:rsidR="00B572EA">
        <w:t>-</w:t>
      </w:r>
      <w:r w:rsidRPr="00247A32">
        <w:t xml:space="preserve">scale projects or programs of work with challenging interfaces, </w:t>
      </w:r>
      <w:r w:rsidR="00225632">
        <w:t xml:space="preserve">or </w:t>
      </w:r>
      <w:r w:rsidRPr="00247A32">
        <w:t>network and program constraints</w:t>
      </w:r>
    </w:p>
    <w:p w14:paraId="75D1165F" w14:textId="77777777" w:rsidR="00710A0D" w:rsidRPr="00247A32" w:rsidRDefault="00710A0D" w:rsidP="001D2615">
      <w:pPr>
        <w:pStyle w:val="HighlightBoxBullet"/>
      </w:pPr>
      <w:r w:rsidRPr="00247A32">
        <w:t>high complexity or specialised project scope, for example, requiring tailored supply chain management strategies.</w:t>
      </w:r>
    </w:p>
    <w:p w14:paraId="71543BE9" w14:textId="77777777" w:rsidR="00163346" w:rsidRPr="00247A32" w:rsidRDefault="00163346" w:rsidP="00A35D39">
      <w:pPr>
        <w:pStyle w:val="HighlightBoxText"/>
      </w:pPr>
      <w:r w:rsidRPr="00247A32">
        <w:t>IDP fees may include:</w:t>
      </w:r>
    </w:p>
    <w:p w14:paraId="478B4E28" w14:textId="5583B531" w:rsidR="00163346" w:rsidRPr="00247A32" w:rsidRDefault="00A35D39" w:rsidP="001D2615">
      <w:pPr>
        <w:pStyle w:val="HighlightBoxBullet"/>
      </w:pPr>
      <w:r w:rsidRPr="00247A32">
        <w:t xml:space="preserve">a </w:t>
      </w:r>
      <w:r w:rsidR="00163346" w:rsidRPr="00247A32">
        <w:t>fixed fee for management functions</w:t>
      </w:r>
    </w:p>
    <w:p w14:paraId="46423FC1" w14:textId="7D7F900B" w:rsidR="00163346" w:rsidRPr="00247A32" w:rsidRDefault="00A35D39" w:rsidP="001D2615">
      <w:pPr>
        <w:pStyle w:val="HighlightBoxBullet"/>
      </w:pPr>
      <w:r w:rsidRPr="00247A32">
        <w:t xml:space="preserve">the </w:t>
      </w:r>
      <w:r w:rsidR="00163346" w:rsidRPr="00247A32">
        <w:t xml:space="preserve">reimbursement of actual costs on </w:t>
      </w:r>
      <w:r w:rsidR="0087147F">
        <w:t xml:space="preserve">an </w:t>
      </w:r>
      <w:r w:rsidR="007C7BD5">
        <w:t>open-book basis</w:t>
      </w:r>
    </w:p>
    <w:p w14:paraId="7694A62D" w14:textId="30AC71E8" w:rsidR="00710A0D" w:rsidRPr="00247A32" w:rsidRDefault="00710A0D" w:rsidP="001D2615">
      <w:pPr>
        <w:pStyle w:val="HighlightBoxBullet"/>
      </w:pPr>
      <w:r w:rsidRPr="00247A32">
        <w:t>performance incentives in the form of gainshare</w:t>
      </w:r>
      <w:r w:rsidR="00A35D39" w:rsidRPr="00247A32">
        <w:t>/</w:t>
      </w:r>
      <w:r w:rsidRPr="00247A32">
        <w:t xml:space="preserve">painshare regimes and </w:t>
      </w:r>
      <w:bookmarkStart w:id="228" w:name="OLE_LINK65"/>
      <w:bookmarkStart w:id="229" w:name="OLE_LINK66"/>
      <w:r w:rsidRPr="00247A32">
        <w:t>for on</w:t>
      </w:r>
      <w:r w:rsidR="00B64D36">
        <w:t>-</w:t>
      </w:r>
      <w:r w:rsidRPr="00247A32">
        <w:t>time completion</w:t>
      </w:r>
      <w:bookmarkEnd w:id="228"/>
      <w:bookmarkEnd w:id="229"/>
      <w:r w:rsidRPr="00247A32">
        <w:t>.</w:t>
      </w:r>
    </w:p>
    <w:p w14:paraId="3FB80F19" w14:textId="77777777" w:rsidR="00710A0D" w:rsidRDefault="00710A0D" w:rsidP="001D2615">
      <w:pPr>
        <w:pStyle w:val="Heading4numbered"/>
      </w:pPr>
      <w:r>
        <w:t>Programs and time-based contracting</w:t>
      </w:r>
    </w:p>
    <w:p w14:paraId="13280A93" w14:textId="06282C39" w:rsidR="00710A0D" w:rsidRDefault="00710A0D" w:rsidP="00834461">
      <w:pPr>
        <w:pStyle w:val="NormalIndent"/>
      </w:pPr>
      <w:r>
        <w:t>Structuring may also be driven by the need to manage a pipeline of similar projects to be delivered over an extended period (</w:t>
      </w:r>
      <w:r w:rsidR="00A35D39">
        <w:t xml:space="preserve">for example, </w:t>
      </w:r>
      <w:r w:rsidR="00A35D39" w:rsidRPr="001076C7">
        <w:t>5–10 years</w:t>
      </w:r>
      <w:r w:rsidR="00A35D39">
        <w:t xml:space="preserve"> or more</w:t>
      </w:r>
      <w:r>
        <w:t xml:space="preserve">). </w:t>
      </w:r>
      <w:r w:rsidR="00A35D39">
        <w:t>Therefore,</w:t>
      </w:r>
      <w:r>
        <w:t xml:space="preserve"> it is important </w:t>
      </w:r>
      <w:r w:rsidRPr="00DE558F">
        <w:t>to</w:t>
      </w:r>
      <w:r>
        <w:t xml:space="preserve"> establish how the project aligns with other related projects, initiatives, programs or proposals, having regard to:</w:t>
      </w:r>
    </w:p>
    <w:p w14:paraId="022A70BD" w14:textId="77777777" w:rsidR="00710A0D" w:rsidRPr="00B358A5" w:rsidRDefault="00710A0D" w:rsidP="001D2615">
      <w:pPr>
        <w:pStyle w:val="Bulletindent"/>
        <w:rPr>
          <w:rFonts w:eastAsia="MS Mincho"/>
        </w:rPr>
      </w:pPr>
      <w:r w:rsidRPr="00B358A5">
        <w:rPr>
          <w:rFonts w:eastAsia="MS Mincho"/>
        </w:rPr>
        <w:t>the need to integrate into a broader program of work</w:t>
      </w:r>
    </w:p>
    <w:p w14:paraId="3133B324" w14:textId="77777777" w:rsidR="00710A0D" w:rsidRPr="00B358A5" w:rsidRDefault="00710A0D" w:rsidP="001D2615">
      <w:pPr>
        <w:pStyle w:val="Bulletindent"/>
        <w:rPr>
          <w:rFonts w:eastAsia="MS Mincho"/>
        </w:rPr>
      </w:pPr>
      <w:r w:rsidRPr="00B358A5">
        <w:rPr>
          <w:rFonts w:eastAsia="MS Mincho"/>
        </w:rPr>
        <w:t>the extent to which procurement decisions will impact related projects (including timing)</w:t>
      </w:r>
    </w:p>
    <w:p w14:paraId="276C3390" w14:textId="77777777" w:rsidR="00710A0D" w:rsidRPr="000040BF" w:rsidRDefault="00710A0D" w:rsidP="001D2615">
      <w:pPr>
        <w:pStyle w:val="Bulletindent"/>
        <w:rPr>
          <w:rFonts w:eastAsia="MS Mincho"/>
        </w:rPr>
      </w:pPr>
      <w:r w:rsidRPr="2E598E95">
        <w:rPr>
          <w:rFonts w:eastAsia="MS Mincho"/>
        </w:rPr>
        <w:t xml:space="preserve"> opportunities</w:t>
      </w:r>
      <w:r w:rsidRPr="000040BF">
        <w:rPr>
          <w:rFonts w:eastAsia="MS Mincho"/>
        </w:rPr>
        <w:t xml:space="preserve"> to leverage supplier expertise or competencies</w:t>
      </w:r>
    </w:p>
    <w:p w14:paraId="7D02F0BA" w14:textId="72AD29F3" w:rsidR="00710A0D" w:rsidRPr="00B358A5" w:rsidRDefault="00710A0D" w:rsidP="001D2615">
      <w:pPr>
        <w:pStyle w:val="Bulletindent"/>
        <w:rPr>
          <w:rFonts w:eastAsia="MS Mincho"/>
        </w:rPr>
      </w:pPr>
      <w:r w:rsidRPr="00B358A5">
        <w:rPr>
          <w:rFonts w:eastAsia="MS Mincho"/>
        </w:rPr>
        <w:t>the ability to phase design and construction and identify opportunities to overlap and fast</w:t>
      </w:r>
      <w:r>
        <w:rPr>
          <w:rFonts w:eastAsia="MS Mincho"/>
        </w:rPr>
        <w:t>-</w:t>
      </w:r>
      <w:r w:rsidRPr="00B358A5">
        <w:rPr>
          <w:rFonts w:eastAsia="MS Mincho"/>
        </w:rPr>
        <w:t>track schedule</w:t>
      </w:r>
      <w:r w:rsidR="00A35D39">
        <w:rPr>
          <w:rFonts w:eastAsia="MS Mincho"/>
        </w:rPr>
        <w:t>s</w:t>
      </w:r>
      <w:r w:rsidR="00B12FFB">
        <w:rPr>
          <w:rFonts w:eastAsia="MS Mincho"/>
        </w:rPr>
        <w:t>, avoid abortive works</w:t>
      </w:r>
      <w:r w:rsidRPr="00B358A5">
        <w:rPr>
          <w:rFonts w:eastAsia="MS Mincho"/>
        </w:rPr>
        <w:t xml:space="preserve"> or leverage other programs of work.</w:t>
      </w:r>
    </w:p>
    <w:p w14:paraId="74DA1278" w14:textId="5C251233" w:rsidR="00710A0D" w:rsidRDefault="00710A0D" w:rsidP="00834461">
      <w:pPr>
        <w:pStyle w:val="NormalIndent"/>
      </w:pPr>
      <w:r>
        <w:t xml:space="preserve">Projects </w:t>
      </w:r>
      <w:r w:rsidR="002C570B">
        <w:t>suitable for aggregating in</w:t>
      </w:r>
      <w:r>
        <w:t xml:space="preserve">to a program approach are typically </w:t>
      </w:r>
      <w:r w:rsidR="002C570B">
        <w:t xml:space="preserve">relatively similar, </w:t>
      </w:r>
      <w:r>
        <w:t>stand-</w:t>
      </w:r>
      <w:r w:rsidDel="002B27F0">
        <w:t>alone</w:t>
      </w:r>
      <w:r>
        <w:t xml:space="preserve"> work packages with known scopes of programmed works to be carried out over an extended period (5–10</w:t>
      </w:r>
      <w:r w:rsidR="00A35D39">
        <w:t xml:space="preserve"> years or more</w:t>
      </w:r>
      <w:r>
        <w:t xml:space="preserve">). </w:t>
      </w:r>
      <w:r w:rsidR="00E21973">
        <w:t>W</w:t>
      </w:r>
      <w:r w:rsidR="00E21973" w:rsidRPr="00DE558F">
        <w:t>hen implemented effectively</w:t>
      </w:r>
      <w:r w:rsidR="00E21973">
        <w:t xml:space="preserve">, a </w:t>
      </w:r>
      <w:r w:rsidRPr="00DE558F">
        <w:t xml:space="preserve">major advantage </w:t>
      </w:r>
      <w:r w:rsidR="00E21973">
        <w:t>of</w:t>
      </w:r>
      <w:r w:rsidR="00E21973" w:rsidRPr="00DE558F">
        <w:t xml:space="preserve"> </w:t>
      </w:r>
      <w:r>
        <w:t>programs</w:t>
      </w:r>
      <w:r w:rsidRPr="00DE558F">
        <w:t xml:space="preserve"> is </w:t>
      </w:r>
      <w:r>
        <w:t>achieving</w:t>
      </w:r>
      <w:r w:rsidRPr="00DE558F">
        <w:t xml:space="preserve"> </w:t>
      </w:r>
      <w:r>
        <w:t>sustained</w:t>
      </w:r>
      <w:r w:rsidRPr="00DE558F">
        <w:t xml:space="preserve"> levels of efficiency in </w:t>
      </w:r>
      <w:r>
        <w:t xml:space="preserve">a pipeline of work over </w:t>
      </w:r>
      <w:r w:rsidRPr="00DE558F">
        <w:t>the medium to long term.</w:t>
      </w:r>
    </w:p>
    <w:p w14:paraId="6D036C05" w14:textId="0E6DB06C" w:rsidR="00710A0D" w:rsidRDefault="00710A0D" w:rsidP="00834461">
      <w:pPr>
        <w:pStyle w:val="NormalIndent"/>
      </w:pPr>
      <w:r>
        <w:t xml:space="preserve">A common feature of a program approach is that it is </w:t>
      </w:r>
      <w:r w:rsidR="00344D3F">
        <w:t>‘</w:t>
      </w:r>
      <w:r>
        <w:t>time bound</w:t>
      </w:r>
      <w:r w:rsidR="00344D3F">
        <w:t>’</w:t>
      </w:r>
      <w:r>
        <w:t>, meaning that contractors are engaged for an initial period</w:t>
      </w:r>
      <w:r w:rsidR="00A35D39">
        <w:t xml:space="preserve">, </w:t>
      </w:r>
      <w:r w:rsidR="00126807">
        <w:t xml:space="preserve">or for a </w:t>
      </w:r>
      <w:r>
        <w:t>works package</w:t>
      </w:r>
      <w:r w:rsidR="00FC3336">
        <w:t>,</w:t>
      </w:r>
      <w:r w:rsidR="00A35D39">
        <w:t xml:space="preserve"> or both</w:t>
      </w:r>
      <w:r>
        <w:t>, with an opportunity for further work subject to performance and a robust approvals process. This helps drive strategic, long-term partnerships with industry, encouraging greater investment in capability and capacity (including skills, plant, technology and materials).</w:t>
      </w:r>
    </w:p>
    <w:p w14:paraId="3753E158" w14:textId="77777777" w:rsidR="00710A0D" w:rsidRDefault="00710A0D" w:rsidP="00834461">
      <w:pPr>
        <w:pStyle w:val="NormalIndent"/>
      </w:pPr>
      <w:r>
        <w:t>The benefits of program and other time-based contracting approaches include:</w:t>
      </w:r>
    </w:p>
    <w:p w14:paraId="27F8CB9B" w14:textId="5E246E1A" w:rsidR="00710A0D" w:rsidRDefault="00710A0D" w:rsidP="001D2615">
      <w:pPr>
        <w:pStyle w:val="Bulletindent"/>
        <w:rPr>
          <w:rFonts w:eastAsia="MS Mincho"/>
        </w:rPr>
      </w:pPr>
      <w:r w:rsidRPr="00B358A5">
        <w:rPr>
          <w:rFonts w:eastAsia="MS Mincho"/>
        </w:rPr>
        <w:t>supporting contractors</w:t>
      </w:r>
      <w:r w:rsidR="00D57CFF">
        <w:rPr>
          <w:rFonts w:eastAsia="MS Mincho"/>
        </w:rPr>
        <w:t xml:space="preserve"> to</w:t>
      </w:r>
      <w:r w:rsidRPr="00B358A5">
        <w:rPr>
          <w:rFonts w:eastAsia="MS Mincho"/>
        </w:rPr>
        <w:t xml:space="preserve"> proactive</w:t>
      </w:r>
      <w:r w:rsidR="00D57CFF">
        <w:rPr>
          <w:rFonts w:eastAsia="MS Mincho"/>
        </w:rPr>
        <w:t>ly</w:t>
      </w:r>
      <w:r w:rsidRPr="00B358A5">
        <w:rPr>
          <w:rFonts w:eastAsia="MS Mincho"/>
        </w:rPr>
        <w:t xml:space="preserve"> plan and mobilis</w:t>
      </w:r>
      <w:r w:rsidR="00D57CFF">
        <w:rPr>
          <w:rFonts w:eastAsia="MS Mincho"/>
        </w:rPr>
        <w:t>e</w:t>
      </w:r>
      <w:r w:rsidRPr="00B358A5">
        <w:rPr>
          <w:rFonts w:eastAsia="MS Mincho"/>
        </w:rPr>
        <w:t xml:space="preserve"> resources</w:t>
      </w:r>
      <w:r w:rsidRPr="2E598E95">
        <w:rPr>
          <w:rFonts w:eastAsia="MS Mincho"/>
        </w:rPr>
        <w:t xml:space="preserve">, avoiding </w:t>
      </w:r>
      <w:r w:rsidR="00344D3F">
        <w:rPr>
          <w:rFonts w:eastAsia="MS Mincho"/>
        </w:rPr>
        <w:t>‘</w:t>
      </w:r>
      <w:r w:rsidRPr="2E598E95">
        <w:rPr>
          <w:rFonts w:eastAsia="MS Mincho"/>
        </w:rPr>
        <w:t>stop-start</w:t>
      </w:r>
      <w:r w:rsidR="00344D3F">
        <w:rPr>
          <w:rFonts w:eastAsia="MS Mincho"/>
        </w:rPr>
        <w:t>’</w:t>
      </w:r>
      <w:r w:rsidRPr="2E598E95" w:rsidDel="00A35D39">
        <w:rPr>
          <w:rFonts w:eastAsia="MS Mincho"/>
        </w:rPr>
        <w:t xml:space="preserve"> </w:t>
      </w:r>
      <w:r w:rsidRPr="2E598E95">
        <w:rPr>
          <w:rFonts w:eastAsia="MS Mincho"/>
        </w:rPr>
        <w:t>procurement and delivery</w:t>
      </w:r>
    </w:p>
    <w:p w14:paraId="6C358C1F" w14:textId="77777777" w:rsidR="00F14D41" w:rsidRPr="00B358A5" w:rsidRDefault="00F14D41" w:rsidP="001D2615">
      <w:pPr>
        <w:pStyle w:val="Bulletindent"/>
        <w:rPr>
          <w:rFonts w:eastAsia="MS Mincho"/>
        </w:rPr>
      </w:pPr>
      <w:r>
        <w:rPr>
          <w:rFonts w:eastAsia="MS Mincho"/>
        </w:rPr>
        <w:t>s</w:t>
      </w:r>
      <w:r w:rsidRPr="00E52C87">
        <w:rPr>
          <w:rFonts w:eastAsia="MS Mincho"/>
        </w:rPr>
        <w:t xml:space="preserve">ecuring </w:t>
      </w:r>
      <w:r w:rsidRPr="002F105C">
        <w:rPr>
          <w:rFonts w:eastAsia="MS Mincho"/>
        </w:rPr>
        <w:t>volume discounts and reductions based on greater certainty of workload</w:t>
      </w:r>
    </w:p>
    <w:p w14:paraId="53FAF167" w14:textId="5C776A4A" w:rsidR="00710A0D" w:rsidRPr="001C3A33" w:rsidRDefault="00710A0D" w:rsidP="001D2615">
      <w:pPr>
        <w:pStyle w:val="Bulletindent"/>
        <w:rPr>
          <w:rFonts w:eastAsia="MS Mincho"/>
        </w:rPr>
      </w:pPr>
      <w:r w:rsidRPr="001C3A33">
        <w:rPr>
          <w:rFonts w:eastAsia="MS Mincho"/>
        </w:rPr>
        <w:t>leveraging existing relationships with key stakeholders, including local councils, operators and utilities providers</w:t>
      </w:r>
    </w:p>
    <w:p w14:paraId="5D0BE29E" w14:textId="3710CBDD" w:rsidR="00710A0D" w:rsidRPr="00B358A5" w:rsidRDefault="00710A0D" w:rsidP="001D2615">
      <w:pPr>
        <w:pStyle w:val="Bulletindent"/>
        <w:rPr>
          <w:rFonts w:eastAsia="MS Mincho"/>
        </w:rPr>
      </w:pPr>
      <w:r w:rsidRPr="00B358A5">
        <w:rPr>
          <w:rFonts w:eastAsia="MS Mincho"/>
        </w:rPr>
        <w:t>incentivising contractors to invest in continuous improvement and innovation from project</w:t>
      </w:r>
      <w:r w:rsidR="005D2383">
        <w:rPr>
          <w:rFonts w:eastAsia="MS Mincho"/>
        </w:rPr>
        <w:t xml:space="preserve"> </w:t>
      </w:r>
      <w:r w:rsidRPr="00B358A5">
        <w:rPr>
          <w:rFonts w:eastAsia="MS Mincho"/>
        </w:rPr>
        <w:t>to</w:t>
      </w:r>
      <w:r w:rsidR="005D2383">
        <w:rPr>
          <w:rFonts w:eastAsia="MS Mincho"/>
        </w:rPr>
        <w:t xml:space="preserve"> </w:t>
      </w:r>
      <w:r w:rsidRPr="00B358A5">
        <w:rPr>
          <w:rFonts w:eastAsia="MS Mincho"/>
        </w:rPr>
        <w:t>project</w:t>
      </w:r>
    </w:p>
    <w:p w14:paraId="2C01BE50" w14:textId="6D37D050" w:rsidR="00710A0D" w:rsidRPr="00B358A5" w:rsidRDefault="00710A0D" w:rsidP="001D2615">
      <w:pPr>
        <w:pStyle w:val="Bulletindent"/>
        <w:rPr>
          <w:rFonts w:eastAsia="MS Mincho"/>
        </w:rPr>
      </w:pPr>
      <w:r w:rsidRPr="2E598E95">
        <w:rPr>
          <w:rFonts w:eastAsia="MS Mincho"/>
        </w:rPr>
        <w:t xml:space="preserve">facilitating cross-program information sharing and opportunities for whole-of-sector efficiencies such as design standardisation and </w:t>
      </w:r>
      <w:r w:rsidR="00A35D39">
        <w:rPr>
          <w:rFonts w:eastAsia="MS Mincho"/>
        </w:rPr>
        <w:t xml:space="preserve">the </w:t>
      </w:r>
      <w:r w:rsidRPr="2E598E95">
        <w:rPr>
          <w:rFonts w:eastAsia="MS Mincho"/>
        </w:rPr>
        <w:t>adoption of new technologies, materials and processes</w:t>
      </w:r>
    </w:p>
    <w:p w14:paraId="59EEC0A7" w14:textId="77777777" w:rsidR="00710A0D" w:rsidRDefault="00710A0D" w:rsidP="001D2615">
      <w:pPr>
        <w:pStyle w:val="Bulletindent"/>
        <w:rPr>
          <w:rFonts w:eastAsia="MS Mincho"/>
        </w:rPr>
      </w:pPr>
      <w:r w:rsidRPr="00B358A5">
        <w:rPr>
          <w:rFonts w:eastAsia="MS Mincho"/>
        </w:rPr>
        <w:t>incentivising contractor performance by rewarding performance with additional works in the pipeline</w:t>
      </w:r>
      <w:r>
        <w:rPr>
          <w:rFonts w:eastAsia="MS Mincho"/>
        </w:rPr>
        <w:t xml:space="preserve"> or setting efficiency requirements to be achieved over time</w:t>
      </w:r>
    </w:p>
    <w:p w14:paraId="3761AC59" w14:textId="37CB87E2" w:rsidR="00F14D41" w:rsidRPr="00E52C87" w:rsidRDefault="00F14D41" w:rsidP="001D2615">
      <w:pPr>
        <w:pStyle w:val="Bulletindent"/>
        <w:rPr>
          <w:rFonts w:eastAsia="MS Mincho"/>
        </w:rPr>
      </w:pPr>
      <w:r w:rsidRPr="00DE558F">
        <w:rPr>
          <w:rFonts w:eastAsia="MS Mincho"/>
        </w:rPr>
        <w:t>expan</w:t>
      </w:r>
      <w:r>
        <w:rPr>
          <w:rFonts w:eastAsia="MS Mincho"/>
        </w:rPr>
        <w:t>ding the market or supply chain</w:t>
      </w:r>
      <w:r w:rsidR="002F6011">
        <w:rPr>
          <w:rFonts w:eastAsia="MS Mincho"/>
        </w:rPr>
        <w:t>,</w:t>
      </w:r>
      <w:r>
        <w:rPr>
          <w:rFonts w:eastAsia="MS Mincho"/>
        </w:rPr>
        <w:t xml:space="preserve"> with a particular focus on cost</w:t>
      </w:r>
      <w:r w:rsidR="002F6011">
        <w:rPr>
          <w:rFonts w:eastAsia="MS Mincho"/>
        </w:rPr>
        <w:t>,</w:t>
      </w:r>
      <w:r>
        <w:rPr>
          <w:rFonts w:eastAsia="MS Mincho"/>
        </w:rPr>
        <w:t xml:space="preserve"> risk allocation and overall affordability of infrastructure development, by providing certainty in a pipeline of work.</w:t>
      </w:r>
    </w:p>
    <w:p w14:paraId="391D9877" w14:textId="771537B9" w:rsidR="00710A0D" w:rsidRDefault="00710A0D" w:rsidP="00834461">
      <w:pPr>
        <w:pStyle w:val="NormalIndent"/>
      </w:pPr>
      <w:r>
        <w:t xml:space="preserve">Effective programs can also streamline the tendering process and reduce tender costs by establishing a framework upfront with a relatively small number of participants (less than 10 grouped by experience and capability) through a competitive process. Individual project procurements can be </w:t>
      </w:r>
      <w:r w:rsidR="006A3795">
        <w:t>fast-track</w:t>
      </w:r>
      <w:r>
        <w:t xml:space="preserve">ed as standard prequalification and </w:t>
      </w:r>
      <w:r w:rsidR="00035DFB">
        <w:t>expression of interest (</w:t>
      </w:r>
      <w:r>
        <w:t>EOI</w:t>
      </w:r>
      <w:r w:rsidR="00035DFB">
        <w:t>)</w:t>
      </w:r>
      <w:r>
        <w:t xml:space="preserve"> processes are replaced with pre-agreed contractual and commercial framework</w:t>
      </w:r>
      <w:r w:rsidR="00B979D1">
        <w:t>s</w:t>
      </w:r>
      <w:r>
        <w:t xml:space="preserve"> for the procurement of future works</w:t>
      </w:r>
      <w:r w:rsidR="00A35D39">
        <w:t>.</w:t>
      </w:r>
    </w:p>
    <w:p w14:paraId="3F6EE7AB" w14:textId="09886D84" w:rsidR="00710A0D" w:rsidRDefault="00710A0D" w:rsidP="00834461">
      <w:pPr>
        <w:pStyle w:val="NormalIndent"/>
      </w:pPr>
      <w:r>
        <w:t xml:space="preserve">Projects and programs procured in this way must still build in </w:t>
      </w:r>
      <w:r w:rsidR="00344D3F">
        <w:t>‘</w:t>
      </w:r>
      <w:r>
        <w:t>competitive tension</w:t>
      </w:r>
      <w:r w:rsidR="00344D3F">
        <w:t>’</w:t>
      </w:r>
      <w:r>
        <w:t xml:space="preserve"> including by benchmarking and other mechanisms that seek to validate quality and performance</w:t>
      </w:r>
      <w:r w:rsidR="00944D3A">
        <w:t>,</w:t>
      </w:r>
      <w:r>
        <w:t xml:space="preserve"> to ensure work allocations demonstrate VfM. This is particularly critical </w:t>
      </w:r>
      <w:r w:rsidR="00BA6C95">
        <w:t xml:space="preserve">when </w:t>
      </w:r>
      <w:r>
        <w:t xml:space="preserve">work is directly allocated, rather than awarded through </w:t>
      </w:r>
      <w:r w:rsidR="00A35D39">
        <w:t>smaller</w:t>
      </w:r>
      <w:r>
        <w:t xml:space="preserve"> competitions of select panel suppliers. These programs also require effective planning, management and governance to deliver efficiencies in design and construction.</w:t>
      </w:r>
    </w:p>
    <w:p w14:paraId="1CBA6E2E" w14:textId="77777777" w:rsidR="00710A0D" w:rsidRDefault="00710A0D" w:rsidP="00834461">
      <w:pPr>
        <w:pStyle w:val="NormalIndent"/>
      </w:pPr>
      <w:r>
        <w:t>The selection of a procurement model under a program or other time-based contracting approach will depend on the nature of the individual projects to be delivered as well as the outcomes and benefits that the program is aiming to deliver. The procurement strategy must demonstrate the preferred procurement model(s) are best suited on an individual project basis and collectively as part of the program.</w:t>
      </w:r>
    </w:p>
    <w:p w14:paraId="37219322" w14:textId="77777777" w:rsidR="00FE09FA" w:rsidRPr="006303EB" w:rsidRDefault="00FE09FA" w:rsidP="00A35D39">
      <w:pPr>
        <w:pStyle w:val="HighlightBoxHeading"/>
      </w:pPr>
      <w:r w:rsidRPr="006303EB">
        <w:t>Program alliances</w:t>
      </w:r>
    </w:p>
    <w:p w14:paraId="1E165094" w14:textId="6A43266C" w:rsidR="00710A0D" w:rsidRPr="006303EB" w:rsidRDefault="00710A0D" w:rsidP="00C75934">
      <w:pPr>
        <w:pStyle w:val="HighlightBoxText"/>
      </w:pPr>
      <w:r w:rsidRPr="006303EB">
        <w:t>A program alliance is a procurement model that combines multiple similar projects to be undertaken under an alliance contract</w:t>
      </w:r>
      <w:r w:rsidR="00234DDA">
        <w:t>ing</w:t>
      </w:r>
      <w:r w:rsidRPr="006303EB">
        <w:t xml:space="preserve"> model. The specific number, scope, duration and budget of these projects may be unknown</w:t>
      </w:r>
      <w:r w:rsidR="00D37044">
        <w:t>,</w:t>
      </w:r>
      <w:r w:rsidRPr="006303EB">
        <w:t xml:space="preserve"> and potentially the same participants will be responsible for delivering all </w:t>
      </w:r>
      <w:r w:rsidR="00D37044">
        <w:t xml:space="preserve">the </w:t>
      </w:r>
      <w:r w:rsidRPr="006303EB">
        <w:t>projects. These are often established to deliver a long-term pipeline of capital works, typically lasting 5</w:t>
      </w:r>
      <w:r w:rsidR="00807B47">
        <w:t>–</w:t>
      </w:r>
      <w:r w:rsidRPr="006303EB">
        <w:t>10 years.</w:t>
      </w:r>
    </w:p>
    <w:p w14:paraId="591DED58" w14:textId="5EC59455" w:rsidR="00710A0D" w:rsidRPr="006303EB" w:rsidRDefault="00A35D39" w:rsidP="00A35D39">
      <w:pPr>
        <w:pStyle w:val="HighlightBoxText"/>
      </w:pPr>
      <w:r>
        <w:t>Once formed, p</w:t>
      </w:r>
      <w:r w:rsidR="00710A0D" w:rsidRPr="006303EB">
        <w:t>rogram alliances can also serve effectively as prequalified panels of potential alliancing parties. This assists agencies to efficiently select prequalified parties for an alliance</w:t>
      </w:r>
      <w:r w:rsidR="003C26ED">
        <w:t>,</w:t>
      </w:r>
      <w:r w:rsidR="00710A0D" w:rsidRPr="006303EB">
        <w:t xml:space="preserve"> for a specific project or </w:t>
      </w:r>
      <w:r w:rsidR="003C26ED">
        <w:t xml:space="preserve">a </w:t>
      </w:r>
      <w:r w:rsidR="00710A0D" w:rsidRPr="006303EB">
        <w:t>package of related works.</w:t>
      </w:r>
    </w:p>
    <w:p w14:paraId="6C272FEB" w14:textId="6550CCF7" w:rsidR="00710A0D" w:rsidRPr="006303EB" w:rsidRDefault="00710A0D" w:rsidP="00A35D39">
      <w:pPr>
        <w:pStyle w:val="HighlightBoxText"/>
      </w:pPr>
      <w:r w:rsidRPr="006303EB">
        <w:t>While program alliances provide a range of benefits</w:t>
      </w:r>
      <w:r w:rsidR="003C26ED">
        <w:t>,</w:t>
      </w:r>
      <w:r w:rsidRPr="006303EB">
        <w:t xml:space="preserve"> there are some risks. Successfully navigating these risks involves:</w:t>
      </w:r>
    </w:p>
    <w:p w14:paraId="36663A3D" w14:textId="77777777" w:rsidR="00710A0D" w:rsidRPr="006303EB" w:rsidRDefault="00710A0D" w:rsidP="001D2615">
      <w:pPr>
        <w:pStyle w:val="HighlightBoxBullet"/>
      </w:pPr>
      <w:r w:rsidRPr="006303EB">
        <w:t>managing the allocation of work carefully, given that this can occur via allocation criteria rather than scope and price competition at contract award</w:t>
      </w:r>
    </w:p>
    <w:p w14:paraId="0AD51759" w14:textId="77777777" w:rsidR="00710A0D" w:rsidRPr="006303EB" w:rsidRDefault="00710A0D" w:rsidP="001D2615">
      <w:pPr>
        <w:pStyle w:val="HighlightBoxBullet"/>
      </w:pPr>
      <w:r w:rsidRPr="006303EB">
        <w:t>ensuring that there is a sophisticated, active and informed client that can prepare appropriate cost benchmarks to negotiate with the contractor</w:t>
      </w:r>
    </w:p>
    <w:p w14:paraId="2BED5500" w14:textId="77777777" w:rsidR="00710A0D" w:rsidRPr="006303EB" w:rsidRDefault="00710A0D" w:rsidP="001D2615">
      <w:pPr>
        <w:pStyle w:val="HighlightBoxBullet"/>
      </w:pPr>
      <w:r w:rsidRPr="006303EB">
        <w:t>making sure that barriers to entry are not too high for new entrants</w:t>
      </w:r>
    </w:p>
    <w:p w14:paraId="4AE2A629" w14:textId="157DB013" w:rsidR="00710A0D" w:rsidRPr="006303EB" w:rsidRDefault="00710A0D" w:rsidP="001D2615">
      <w:pPr>
        <w:pStyle w:val="HighlightBoxBullet"/>
      </w:pPr>
      <w:r w:rsidRPr="006303EB">
        <w:t>ensuring that the</w:t>
      </w:r>
      <w:r>
        <w:t xml:space="preserve"> </w:t>
      </w:r>
      <w:r w:rsidR="00344D3F">
        <w:t>‘</w:t>
      </w:r>
      <w:r w:rsidRPr="006303EB">
        <w:t>no fault, no blame</w:t>
      </w:r>
      <w:r w:rsidR="002871CE">
        <w:t>’</w:t>
      </w:r>
      <w:r>
        <w:t xml:space="preserve"> </w:t>
      </w:r>
      <w:r w:rsidRPr="006303EB">
        <w:t>approach to alliance risk allocation is appropriate relative to the program</w:t>
      </w:r>
      <w:r w:rsidR="00344D3F">
        <w:t>’</w:t>
      </w:r>
      <w:r w:rsidRPr="006303EB">
        <w:t>s characteristics</w:t>
      </w:r>
      <w:r w:rsidR="00A35D39">
        <w:t>.</w:t>
      </w:r>
    </w:p>
    <w:p w14:paraId="740D3F78" w14:textId="77777777" w:rsidR="00AA6FFB" w:rsidRDefault="00AA6FFB" w:rsidP="001D2615">
      <w:pPr>
        <w:pStyle w:val="Heading4numbered"/>
      </w:pPr>
      <w:r>
        <w:t>Commercial opportunities</w:t>
      </w:r>
    </w:p>
    <w:p w14:paraId="3B48D0DC" w14:textId="7D04EE2D" w:rsidR="00B172BB" w:rsidRPr="006B1AE3" w:rsidRDefault="00B172BB" w:rsidP="00834461">
      <w:pPr>
        <w:pStyle w:val="NormalIndent"/>
      </w:pPr>
      <w:r w:rsidRPr="00BC29F3">
        <w:t>Structuring o</w:t>
      </w:r>
      <w:r w:rsidRPr="00D901A1">
        <w:t xml:space="preserve">pportunities </w:t>
      </w:r>
      <w:r>
        <w:t>often</w:t>
      </w:r>
      <w:r w:rsidRPr="00BC29F3">
        <w:t xml:space="preserve"> </w:t>
      </w:r>
      <w:r w:rsidRPr="00D901A1">
        <w:t>involve commercial opportunities for alternative funding and financing streams</w:t>
      </w:r>
      <w:r w:rsidRPr="00BC29F3">
        <w:t>. Th</w:t>
      </w:r>
      <w:r w:rsidR="00A35D39">
        <w:t>e</w:t>
      </w:r>
      <w:r w:rsidRPr="00BC29F3">
        <w:t>s</w:t>
      </w:r>
      <w:r w:rsidR="00A35D39">
        <w:t>e</w:t>
      </w:r>
      <w:r w:rsidRPr="00BC29F3">
        <w:t xml:space="preserve"> can include </w:t>
      </w:r>
      <w:r w:rsidRPr="00BC29F3" w:rsidDel="00A35D39">
        <w:t>the</w:t>
      </w:r>
      <w:r w:rsidRPr="00D901A1" w:rsidDel="00A35D39">
        <w:t xml:space="preserve"> </w:t>
      </w:r>
      <w:r w:rsidRPr="00EF0204" w:rsidDel="00A35D39">
        <w:rPr>
          <w:rFonts w:cstheme="minorHAnsi"/>
          <w:color w:val="auto"/>
        </w:rPr>
        <w:t>creation</w:t>
      </w:r>
      <w:r w:rsidRPr="00D901A1" w:rsidDel="00A35D39">
        <w:t xml:space="preserve"> of </w:t>
      </w:r>
      <w:r w:rsidRPr="00D901A1">
        <w:t>secondary opportunities</w:t>
      </w:r>
      <w:r w:rsidR="00710A0D">
        <w:t>,</w:t>
      </w:r>
      <w:r w:rsidRPr="00D901A1">
        <w:t xml:space="preserve"> such as revenue generation, third-party funding and cost offsets or partnership opportunities </w:t>
      </w:r>
      <w:r w:rsidR="00710A0D">
        <w:t>which</w:t>
      </w:r>
      <w:r w:rsidRPr="00D901A1">
        <w:t xml:space="preserve"> </w:t>
      </w:r>
      <w:r w:rsidR="00A35D39">
        <w:t>may</w:t>
      </w:r>
      <w:r w:rsidR="00A35D39" w:rsidRPr="00D901A1">
        <w:t xml:space="preserve"> </w:t>
      </w:r>
      <w:r w:rsidRPr="00D901A1">
        <w:t>inform the optimal project structure.</w:t>
      </w:r>
    </w:p>
    <w:p w14:paraId="738161E8" w14:textId="77777777" w:rsidR="00710A0D" w:rsidRPr="000B566F" w:rsidRDefault="00710A0D" w:rsidP="00834461">
      <w:pPr>
        <w:pStyle w:val="NormalIndent"/>
      </w:pPr>
      <w:r w:rsidRPr="006B1AE3">
        <w:t xml:space="preserve">If these </w:t>
      </w:r>
      <w:r w:rsidRPr="00EF0204">
        <w:rPr>
          <w:rFonts w:cstheme="minorHAnsi"/>
          <w:color w:val="auto"/>
        </w:rPr>
        <w:t>are</w:t>
      </w:r>
      <w:r w:rsidRPr="006B1AE3">
        <w:t xml:space="preserve"> relevant considerations for your project, DTF should be consulted early in the development process</w:t>
      </w:r>
      <w:r>
        <w:t xml:space="preserve"> to</w:t>
      </w:r>
      <w:r w:rsidRPr="006B1AE3">
        <w:t xml:space="preserve"> assist </w:t>
      </w:r>
      <w:r>
        <w:t>in developing</w:t>
      </w:r>
      <w:r w:rsidRPr="006B1AE3">
        <w:t xml:space="preserve"> such delivery structure</w:t>
      </w:r>
      <w:r>
        <w:t xml:space="preserve"> options</w:t>
      </w:r>
      <w:r w:rsidRPr="006B1AE3" w:rsidDel="00412E92">
        <w:t>.</w:t>
      </w:r>
    </w:p>
    <w:p w14:paraId="45960741" w14:textId="77777777" w:rsidR="00B172BB" w:rsidRPr="004F3D2C" w:rsidRDefault="00B172BB" w:rsidP="001D2615">
      <w:pPr>
        <w:pStyle w:val="Heading3numbered"/>
      </w:pPr>
      <w:bookmarkStart w:id="230" w:name="_Toc124245369"/>
      <w:r w:rsidRPr="004F3D2C">
        <w:t xml:space="preserve">Bundling </w:t>
      </w:r>
      <w:r w:rsidR="00AC6BCF" w:rsidRPr="004F3D2C">
        <w:t>determination</w:t>
      </w:r>
      <w:bookmarkEnd w:id="230"/>
    </w:p>
    <w:p w14:paraId="27A119C3" w14:textId="040798B1" w:rsidR="00710A0D" w:rsidRPr="00524BFB" w:rsidRDefault="00710A0D" w:rsidP="00834461">
      <w:pPr>
        <w:pStyle w:val="NormalIndent"/>
      </w:pPr>
      <w:r w:rsidRPr="00FE09FA">
        <w:t>Bundling is most likely to be relevant to larger HVHR projects</w:t>
      </w:r>
      <w:r>
        <w:t>. I</w:t>
      </w:r>
      <w:r w:rsidRPr="00FE09FA">
        <w:t>t involves consolidating management and responsibility for multiple components of the project scope under one</w:t>
      </w:r>
      <w:r w:rsidRPr="00524BFB">
        <w:t xml:space="preserve"> party. This can include development services, construction and commissioning services, </w:t>
      </w:r>
      <w:r w:rsidRPr="00EF0204">
        <w:t>maintenance</w:t>
      </w:r>
      <w:r w:rsidRPr="00524BFB">
        <w:t>, operations and facilities management services.</w:t>
      </w:r>
    </w:p>
    <w:p w14:paraId="6A661CD0" w14:textId="00646185" w:rsidR="00710A0D" w:rsidRPr="00D13631" w:rsidRDefault="00710A0D" w:rsidP="00834461">
      <w:pPr>
        <w:pStyle w:val="NormalIndent"/>
      </w:pPr>
      <w:r w:rsidRPr="00524BFB">
        <w:rPr>
          <w:rFonts w:cstheme="minorHAnsi"/>
          <w:color w:val="auto"/>
        </w:rPr>
        <w:t>Bundling can generate efficiencies</w:t>
      </w:r>
      <w:r w:rsidRPr="00806CFA">
        <w:t xml:space="preserve">, allocate risks optimally, increase opportunities for innovation and improve asset </w:t>
      </w:r>
      <w:r w:rsidRPr="00EF0204">
        <w:rPr>
          <w:rFonts w:cstheme="minorHAnsi"/>
          <w:color w:val="auto"/>
        </w:rPr>
        <w:t>utilisation</w:t>
      </w:r>
      <w:r w:rsidR="00EE51C3">
        <w:rPr>
          <w:rFonts w:cstheme="minorHAnsi"/>
          <w:color w:val="auto"/>
        </w:rPr>
        <w:t>,</w:t>
      </w:r>
      <w:r>
        <w:t xml:space="preserve"> which leads</w:t>
      </w:r>
      <w:r w:rsidRPr="00806CFA">
        <w:t xml:space="preserve"> to better whole-of-life cost</w:t>
      </w:r>
      <w:r>
        <w:t xml:space="preserve"> </w:t>
      </w:r>
      <w:r w:rsidRPr="00806CFA">
        <w:t>and quality outcomes.</w:t>
      </w:r>
    </w:p>
    <w:p w14:paraId="6A6C42A2" w14:textId="77777777" w:rsidR="00B172BB" w:rsidRPr="00D13631" w:rsidRDefault="00B172BB" w:rsidP="002770AB">
      <w:pPr>
        <w:pStyle w:val="Quote"/>
        <w:rPr>
          <w:color w:val="232B39"/>
          <w:highlight w:val="yellow"/>
        </w:rPr>
      </w:pPr>
      <w:r w:rsidRPr="000B566F">
        <w:rPr>
          <w:b/>
          <w:bCs/>
        </w:rPr>
        <w:t>Decision point:</w:t>
      </w:r>
      <w:r w:rsidRPr="000B566F">
        <w:t xml:space="preserve"> Is there a case for bundling two or more components of the project scope</w:t>
      </w:r>
      <w:r>
        <w:t xml:space="preserve"> to deliver efficiencies and drive optimal public value</w:t>
      </w:r>
      <w:r w:rsidRPr="000B566F">
        <w:t>? If so, what is the approach for the project?</w:t>
      </w:r>
    </w:p>
    <w:p w14:paraId="56453058" w14:textId="21084E75" w:rsidR="00B172BB" w:rsidRPr="00806CFA" w:rsidRDefault="00F3487B" w:rsidP="00834461">
      <w:pPr>
        <w:pStyle w:val="NormalIndent"/>
      </w:pPr>
      <w:r w:rsidRPr="00806CFA">
        <w:t>Assessing the merit of bundling is important</w:t>
      </w:r>
      <w:r>
        <w:t>.</w:t>
      </w:r>
      <w:r w:rsidRPr="00806CFA">
        <w:t xml:space="preserve"> </w:t>
      </w:r>
      <w:r w:rsidR="00171022">
        <w:t>P</w:t>
      </w:r>
      <w:r w:rsidR="00171022" w:rsidRPr="00806CFA">
        <w:t>rocurement models can be broadly categori</w:t>
      </w:r>
      <w:r w:rsidR="00171022">
        <w:t>s</w:t>
      </w:r>
      <w:r w:rsidR="00171022" w:rsidRPr="00806CFA">
        <w:t xml:space="preserve">ed as </w:t>
      </w:r>
      <w:r w:rsidR="00171022" w:rsidRPr="00EF0204">
        <w:rPr>
          <w:rFonts w:cstheme="minorHAnsi"/>
          <w:color w:val="auto"/>
        </w:rPr>
        <w:t>bundled</w:t>
      </w:r>
      <w:r w:rsidR="00171022" w:rsidRPr="00806CFA">
        <w:t xml:space="preserve"> and unbundled</w:t>
      </w:r>
      <w:r w:rsidR="00171022">
        <w:t>.</w:t>
      </w:r>
      <w:r w:rsidR="00171022" w:rsidRPr="00806CFA">
        <w:t xml:space="preserve"> </w:t>
      </w:r>
      <w:r w:rsidR="00710A0D" w:rsidRPr="00806CFA">
        <w:t>Bundling opportunities are likely to be present when:</w:t>
      </w:r>
    </w:p>
    <w:p w14:paraId="375C8499" w14:textId="56B6A157" w:rsidR="00710A0D" w:rsidRPr="00BF33E1" w:rsidRDefault="00710A0D" w:rsidP="001D2615">
      <w:pPr>
        <w:pStyle w:val="Bulletindent"/>
        <w:rPr>
          <w:rFonts w:eastAsia="MS Mincho"/>
        </w:rPr>
      </w:pPr>
      <w:r w:rsidRPr="00412E92">
        <w:rPr>
          <w:rFonts w:eastAsia="MS Mincho"/>
        </w:rPr>
        <w:t xml:space="preserve">the operations or maintenance contracts </w:t>
      </w:r>
      <w:r w:rsidR="00EF27E5">
        <w:rPr>
          <w:rFonts w:eastAsia="MS Mincho"/>
        </w:rPr>
        <w:t>(</w:t>
      </w:r>
      <w:r>
        <w:rPr>
          <w:rFonts w:eastAsia="MS Mincho"/>
        </w:rPr>
        <w:t>or both</w:t>
      </w:r>
      <w:r w:rsidR="00EF27E5">
        <w:rPr>
          <w:rFonts w:eastAsia="MS Mincho"/>
        </w:rPr>
        <w:t>)</w:t>
      </w:r>
      <w:r>
        <w:rPr>
          <w:rFonts w:eastAsia="MS Mincho"/>
        </w:rPr>
        <w:t xml:space="preserve"> </w:t>
      </w:r>
      <w:r w:rsidRPr="00412E92">
        <w:rPr>
          <w:rFonts w:eastAsia="MS Mincho"/>
        </w:rPr>
        <w:t xml:space="preserve">are relatively large compared to the design and </w:t>
      </w:r>
      <w:r w:rsidRPr="00412E92">
        <w:t>construction</w:t>
      </w:r>
      <w:r w:rsidRPr="00412E92">
        <w:rPr>
          <w:rFonts w:eastAsia="MS Mincho"/>
        </w:rPr>
        <w:t xml:space="preserve"> contracts</w:t>
      </w:r>
    </w:p>
    <w:p w14:paraId="7357B93F" w14:textId="37586158" w:rsidR="00710A0D" w:rsidRPr="00BF33E1" w:rsidRDefault="00710A0D" w:rsidP="001D2615">
      <w:pPr>
        <w:pStyle w:val="Bulletindent"/>
        <w:rPr>
          <w:rFonts w:eastAsia="MS Mincho"/>
        </w:rPr>
      </w:pPr>
      <w:r w:rsidRPr="00412E92">
        <w:rPr>
          <w:rFonts w:eastAsia="MS Mincho"/>
        </w:rPr>
        <w:t xml:space="preserve">the operation or maintenance services </w:t>
      </w:r>
      <w:r w:rsidR="00EF27E5">
        <w:rPr>
          <w:rFonts w:eastAsia="MS Mincho"/>
        </w:rPr>
        <w:t>(</w:t>
      </w:r>
      <w:r>
        <w:rPr>
          <w:rFonts w:eastAsia="MS Mincho"/>
        </w:rPr>
        <w:t>or both</w:t>
      </w:r>
      <w:r w:rsidR="00EF27E5">
        <w:rPr>
          <w:rFonts w:eastAsia="MS Mincho"/>
        </w:rPr>
        <w:t>)</w:t>
      </w:r>
      <w:r>
        <w:rPr>
          <w:rFonts w:eastAsia="MS Mincho"/>
        </w:rPr>
        <w:t xml:space="preserve"> </w:t>
      </w:r>
      <w:r w:rsidRPr="00412E92">
        <w:rPr>
          <w:rFonts w:eastAsia="MS Mincho"/>
        </w:rPr>
        <w:t xml:space="preserve">are not being efficiently delivered at scale </w:t>
      </w:r>
      <w:r w:rsidRPr="00412E92">
        <w:t>elsewhere</w:t>
      </w:r>
    </w:p>
    <w:p w14:paraId="076A93A9" w14:textId="77777777" w:rsidR="00710A0D" w:rsidRPr="00BF33E1" w:rsidRDefault="00710A0D" w:rsidP="001D2615">
      <w:pPr>
        <w:pStyle w:val="Bulletindent"/>
        <w:rPr>
          <w:rFonts w:eastAsia="MS Mincho"/>
        </w:rPr>
      </w:pPr>
      <w:r w:rsidRPr="00412E92">
        <w:rPr>
          <w:rFonts w:eastAsia="MS Mincho"/>
        </w:rPr>
        <w:t>there is not a strategic need for direct control over the design or operations and maintenance of the project.</w:t>
      </w:r>
    </w:p>
    <w:p w14:paraId="1EAF71EB" w14:textId="25130233" w:rsidR="00710A0D" w:rsidRPr="00D13631" w:rsidRDefault="00710A0D" w:rsidP="00834461">
      <w:pPr>
        <w:pStyle w:val="NormalIndent"/>
      </w:pPr>
      <w:r w:rsidRPr="00CA767A">
        <w:t>In deciding whether to bundle, it is important to consider whether the benefits outweigh the additional costs</w:t>
      </w:r>
      <w:r w:rsidRPr="00CA767A" w:rsidDel="00412E92">
        <w:t xml:space="preserve">, </w:t>
      </w:r>
      <w:r w:rsidR="00F65C57">
        <w:t xml:space="preserve">for example, </w:t>
      </w:r>
      <w:r w:rsidR="00A84D67">
        <w:t xml:space="preserve">costs for </w:t>
      </w:r>
      <w:r w:rsidRPr="00CA767A">
        <w:t>complex procurement and contract management.</w:t>
      </w:r>
    </w:p>
    <w:p w14:paraId="4BB20EB3" w14:textId="77777777" w:rsidR="00710A0D" w:rsidRPr="0090336A" w:rsidRDefault="00710A0D" w:rsidP="00C147EA">
      <w:pPr>
        <w:pStyle w:val="HighlightBoxHeading"/>
        <w:pageBreakBefore/>
      </w:pPr>
      <w:r w:rsidRPr="0090336A">
        <w:t>Key factors to consider when determining if bundling is right for your project</w:t>
      </w:r>
    </w:p>
    <w:p w14:paraId="08EACA10" w14:textId="77777777" w:rsidR="00710A0D" w:rsidRPr="00A35D39" w:rsidRDefault="00710A0D" w:rsidP="001D2615">
      <w:pPr>
        <w:pStyle w:val="HighlightBoxBullet"/>
      </w:pPr>
      <w:r w:rsidRPr="00A35D39">
        <w:t>The extent to which services, including design, construction, operations and maintenance services, can be grouped as part of the project.</w:t>
      </w:r>
    </w:p>
    <w:p w14:paraId="325683E8" w14:textId="5065B4CE" w:rsidR="00710A0D" w:rsidRPr="00A35D39" w:rsidRDefault="00710A0D" w:rsidP="001D2615">
      <w:pPr>
        <w:pStyle w:val="HighlightBoxBullet"/>
      </w:pPr>
      <w:r w:rsidRPr="00A35D39">
        <w:t xml:space="preserve">The expected efficiencies and potential for innovation </w:t>
      </w:r>
      <w:r w:rsidR="001151B5">
        <w:t xml:space="preserve">– </w:t>
      </w:r>
      <w:r w:rsidR="001151B5" w:rsidRPr="00A35D39">
        <w:t xml:space="preserve">such as a strong interface between construction and maintenance or operating activities </w:t>
      </w:r>
      <w:r w:rsidR="00E05FC7">
        <w:t xml:space="preserve">– </w:t>
      </w:r>
      <w:r w:rsidRPr="00A35D39">
        <w:t>compared with other service delivery opportunities.</w:t>
      </w:r>
    </w:p>
    <w:p w14:paraId="3C0F28AF" w14:textId="77777777" w:rsidR="00710A0D" w:rsidRPr="00A35D39" w:rsidRDefault="00710A0D" w:rsidP="001D2615">
      <w:pPr>
        <w:pStyle w:val="HighlightBoxBullet"/>
      </w:pPr>
      <w:r w:rsidRPr="00A35D39">
        <w:t>The constraints, risks and opportunities that may affect bundling.</w:t>
      </w:r>
    </w:p>
    <w:p w14:paraId="2C988D67" w14:textId="38C2A2F5" w:rsidR="00710A0D" w:rsidRPr="00A35D39" w:rsidRDefault="00710A0D" w:rsidP="001D2615">
      <w:pPr>
        <w:pStyle w:val="HighlightBoxBullet"/>
      </w:pPr>
      <w:r w:rsidRPr="00A35D39">
        <w:t>The level and nature of services that could be delivered by non-government parties versus delivered solely by government</w:t>
      </w:r>
      <w:r w:rsidR="00DF02E3">
        <w:t xml:space="preserve"> entities</w:t>
      </w:r>
      <w:r w:rsidRPr="00A35D39">
        <w:t>, noting that core government services are often excluded from bundling.</w:t>
      </w:r>
    </w:p>
    <w:p w14:paraId="73757B5C" w14:textId="71A610B6" w:rsidR="00710A0D" w:rsidRPr="00A35D39" w:rsidRDefault="00710A0D" w:rsidP="001D2615">
      <w:pPr>
        <w:pStyle w:val="HighlightBoxBullet"/>
      </w:pPr>
      <w:r w:rsidRPr="00A35D39">
        <w:t>Whether the service need</w:t>
      </w:r>
      <w:r w:rsidR="00C24785" w:rsidRPr="00A35D39">
        <w:t>,</w:t>
      </w:r>
      <w:r w:rsidRPr="00A35D39">
        <w:t xml:space="preserve"> or a part thereof</w:t>
      </w:r>
      <w:r w:rsidR="00C24785" w:rsidRPr="00A35D39">
        <w:t>,</w:t>
      </w:r>
      <w:r w:rsidRPr="00A35D39">
        <w:t xml:space="preserve"> can be contracted out over the longer term with a high degree of certainty.</w:t>
      </w:r>
    </w:p>
    <w:p w14:paraId="7D0A7B8B" w14:textId="34CE86BD" w:rsidR="00710A0D" w:rsidRPr="00A35D39" w:rsidRDefault="00710A0D" w:rsidP="001D2615">
      <w:pPr>
        <w:pStyle w:val="HighlightBoxBullet"/>
      </w:pPr>
      <w:r w:rsidRPr="00A35D39">
        <w:t xml:space="preserve">The merits of bundling capital </w:t>
      </w:r>
      <w:r w:rsidR="00096A62" w:rsidRPr="00A35D39">
        <w:t xml:space="preserve">delivery </w:t>
      </w:r>
      <w:r w:rsidRPr="00A35D39">
        <w:t>and ongoing maintenance responsibilities.</w:t>
      </w:r>
    </w:p>
    <w:p w14:paraId="16327EE8" w14:textId="1803D9B5" w:rsidR="00471373" w:rsidRPr="00A35D39" w:rsidRDefault="00471373" w:rsidP="001D2615">
      <w:pPr>
        <w:pStyle w:val="HighlightBoxBullet"/>
      </w:pPr>
      <w:r w:rsidRPr="00A35D39">
        <w:t xml:space="preserve">Whether there is likely to be sufficient market </w:t>
      </w:r>
      <w:r w:rsidR="00FD4DC4" w:rsidRPr="00A35D39">
        <w:t xml:space="preserve">capability and </w:t>
      </w:r>
      <w:r w:rsidRPr="00A35D39">
        <w:t xml:space="preserve">interest </w:t>
      </w:r>
      <w:r w:rsidR="00A35D39">
        <w:t xml:space="preserve">(approximately four or five parties) </w:t>
      </w:r>
      <w:r w:rsidR="007C2417" w:rsidRPr="00A35D39">
        <w:t xml:space="preserve">to deliver the </w:t>
      </w:r>
      <w:r w:rsidR="00FD4DC4" w:rsidRPr="00A35D39">
        <w:t xml:space="preserve">bundled project </w:t>
      </w:r>
      <w:r w:rsidR="00A35D39">
        <w:t xml:space="preserve">while </w:t>
      </w:r>
      <w:r w:rsidRPr="00A35D39">
        <w:t>ensur</w:t>
      </w:r>
      <w:r w:rsidR="00FD4DC4" w:rsidRPr="00A35D39">
        <w:t>ing</w:t>
      </w:r>
      <w:r w:rsidRPr="00A35D39">
        <w:t xml:space="preserve"> a competitive process.</w:t>
      </w:r>
    </w:p>
    <w:p w14:paraId="40ACEE4A" w14:textId="77777777" w:rsidR="00C147EA" w:rsidRDefault="00C147EA" w:rsidP="00C147EA">
      <w:pPr>
        <w:pStyle w:val="Spacer"/>
      </w:pPr>
    </w:p>
    <w:p w14:paraId="2A3B440D" w14:textId="58926738" w:rsidR="00B172BB" w:rsidRDefault="4A1F871F" w:rsidP="00834461">
      <w:pPr>
        <w:pStyle w:val="NormalIndent"/>
      </w:pPr>
      <w:r>
        <w:t>DTF</w:t>
      </w:r>
      <w:r w:rsidR="00B172BB" w:rsidRPr="00E451A9">
        <w:t xml:space="preserve"> can provide support to delivery agencies in assessing the merits of bundling and developing an </w:t>
      </w:r>
      <w:r w:rsidR="00B172BB" w:rsidRPr="2DA1C254">
        <w:rPr>
          <w:color w:val="auto"/>
        </w:rPr>
        <w:t>appropriate</w:t>
      </w:r>
      <w:r w:rsidR="00B172BB" w:rsidRPr="00E451A9">
        <w:t xml:space="preserve"> bundling strategy. </w:t>
      </w:r>
      <w:r w:rsidR="00A35D39">
        <w:t>T</w:t>
      </w:r>
      <w:r w:rsidR="00B172BB" w:rsidRPr="00E451A9">
        <w:t xml:space="preserve">he potential incorporation of private finance into the bundling models </w:t>
      </w:r>
      <w:r w:rsidR="00A35D39">
        <w:t>is covered in</w:t>
      </w:r>
      <w:r w:rsidR="00A35D39" w:rsidRPr="00E451A9">
        <w:t xml:space="preserve"> </w:t>
      </w:r>
      <w:r w:rsidR="00B172BB" w:rsidRPr="00E451A9">
        <w:t xml:space="preserve">more detail in </w:t>
      </w:r>
      <w:r w:rsidR="008471CE">
        <w:t>S</w:t>
      </w:r>
      <w:r w:rsidR="008471CE" w:rsidRPr="001F4D89">
        <w:t xml:space="preserve">ection </w:t>
      </w:r>
      <w:r w:rsidR="001F4D89" w:rsidRPr="001F4D89">
        <w:fldChar w:fldCharType="begin" w:fldLock="1"/>
      </w:r>
      <w:r w:rsidR="001F4D89" w:rsidRPr="001F4D89">
        <w:instrText xml:space="preserve"> REF _Ref144375677 \n \h </w:instrText>
      </w:r>
      <w:r w:rsidR="001F4D89">
        <w:instrText xml:space="preserve"> \* MERGEFORMAT </w:instrText>
      </w:r>
      <w:r w:rsidR="001F4D89" w:rsidRPr="001F4D89">
        <w:fldChar w:fldCharType="separate"/>
      </w:r>
      <w:r w:rsidR="003D4A19">
        <w:t>4.4</w:t>
      </w:r>
      <w:r w:rsidR="001F4D89" w:rsidRPr="001F4D89">
        <w:fldChar w:fldCharType="end"/>
      </w:r>
      <w:r w:rsidR="00B172BB" w:rsidRPr="001F4D89">
        <w:t xml:space="preserve"> Whole</w:t>
      </w:r>
      <w:r w:rsidR="00710A0D">
        <w:t>-of-life</w:t>
      </w:r>
      <w:r w:rsidR="00B172BB" w:rsidRPr="005F070D">
        <w:t>.</w:t>
      </w:r>
    </w:p>
    <w:p w14:paraId="3EAE8249" w14:textId="48E29F67" w:rsidR="00B172BB" w:rsidRPr="004F3D2C" w:rsidRDefault="00B172BB" w:rsidP="001D2615">
      <w:pPr>
        <w:pStyle w:val="Heading3numbered"/>
      </w:pPr>
      <w:bookmarkStart w:id="231" w:name="_Toc124245370"/>
      <w:r w:rsidRPr="004F3D2C">
        <w:t xml:space="preserve">Packaging </w:t>
      </w:r>
      <w:r w:rsidR="00AC6BCF" w:rsidRPr="004F3D2C">
        <w:t>determination</w:t>
      </w:r>
      <w:bookmarkEnd w:id="231"/>
    </w:p>
    <w:p w14:paraId="47C90302" w14:textId="17B6F43F" w:rsidR="00B172BB" w:rsidRPr="00450139" w:rsidRDefault="00B172BB" w:rsidP="00834461">
      <w:pPr>
        <w:pStyle w:val="NormalIndent"/>
      </w:pPr>
      <w:r>
        <w:t>P</w:t>
      </w:r>
      <w:r w:rsidRPr="00450139">
        <w:t xml:space="preserve">ackaging works or a program of works should be considered for all projects (not just HVHR </w:t>
      </w:r>
      <w:r w:rsidRPr="00EF0204">
        <w:rPr>
          <w:rFonts w:cstheme="minorHAnsi"/>
          <w:color w:val="auto"/>
        </w:rPr>
        <w:t>projects</w:t>
      </w:r>
      <w:r w:rsidRPr="00450139">
        <w:t>).</w:t>
      </w:r>
    </w:p>
    <w:p w14:paraId="0585516D" w14:textId="79A0501C" w:rsidR="00B172BB" w:rsidRDefault="00B172BB" w:rsidP="00834461">
      <w:pPr>
        <w:pStyle w:val="NormalIndent"/>
      </w:pPr>
      <w:r w:rsidRPr="00450139">
        <w:t xml:space="preserve">Packaging refers to </w:t>
      </w:r>
      <w:r w:rsidR="00383B69">
        <w:t>how a</w:t>
      </w:r>
      <w:r w:rsidRPr="00450139">
        <w:t xml:space="preserve"> procurement activity, typically of works, </w:t>
      </w:r>
      <w:r w:rsidR="00383B69">
        <w:t xml:space="preserve">can be tailored </w:t>
      </w:r>
      <w:r w:rsidRPr="00450139">
        <w:t xml:space="preserve">to form </w:t>
      </w:r>
      <w:r w:rsidR="00245302">
        <w:t xml:space="preserve">smaller or larger </w:t>
      </w:r>
      <w:r w:rsidRPr="00450139">
        <w:t xml:space="preserve">contract packages. By doing so, </w:t>
      </w:r>
      <w:r w:rsidR="00A35D39">
        <w:t xml:space="preserve">it is possible to select </w:t>
      </w:r>
      <w:r w:rsidRPr="00450139">
        <w:t>procurement models that are better suited to specific project components</w:t>
      </w:r>
      <w:r w:rsidR="00710A0D" w:rsidRPr="00450139">
        <w:t>. It</w:t>
      </w:r>
      <w:r w:rsidR="00710A0D">
        <w:t xml:space="preserve"> is</w:t>
      </w:r>
      <w:r w:rsidRPr="00450139">
        <w:t xml:space="preserve"> important to develop a packaging strategy before </w:t>
      </w:r>
      <w:r w:rsidRPr="00EF0204">
        <w:rPr>
          <w:rFonts w:cstheme="minorHAnsi"/>
          <w:color w:val="auto"/>
        </w:rPr>
        <w:t>analysing</w:t>
      </w:r>
      <w:r w:rsidRPr="00450139">
        <w:t xml:space="preserve"> procurement models so that separate analys</w:t>
      </w:r>
      <w:r w:rsidR="004765C5">
        <w:t>i</w:t>
      </w:r>
      <w:r w:rsidRPr="00450139">
        <w:t>s can be conducted for each package.</w:t>
      </w:r>
    </w:p>
    <w:p w14:paraId="66917313" w14:textId="07115612" w:rsidR="00B172BB" w:rsidRDefault="00B172BB" w:rsidP="002770AB">
      <w:pPr>
        <w:pStyle w:val="Quote"/>
        <w:rPr>
          <w:color w:val="232B39"/>
        </w:rPr>
      </w:pPr>
      <w:r w:rsidRPr="000B566F">
        <w:rPr>
          <w:b/>
          <w:bCs/>
        </w:rPr>
        <w:t>Decision point:</w:t>
      </w:r>
      <w:r w:rsidRPr="000B566F">
        <w:t xml:space="preserve"> What is the packaging strategy for the project, </w:t>
      </w:r>
      <w:r>
        <w:t>considering</w:t>
      </w:r>
      <w:r w:rsidRPr="000B566F">
        <w:t xml:space="preserve"> the project characteristics</w:t>
      </w:r>
      <w:r w:rsidR="00A35D39">
        <w:t xml:space="preserve">, </w:t>
      </w:r>
      <w:r w:rsidRPr="000B566F">
        <w:t>the</w:t>
      </w:r>
      <w:r w:rsidRPr="000B566F" w:rsidDel="00A35D39">
        <w:t xml:space="preserve"> c</w:t>
      </w:r>
      <w:r w:rsidRPr="000B566F">
        <w:t xml:space="preserve">apabilities </w:t>
      </w:r>
      <w:r w:rsidR="00A35D39">
        <w:t>of the client</w:t>
      </w:r>
      <w:r w:rsidR="00A35D39" w:rsidRPr="000B566F">
        <w:t xml:space="preserve"> and </w:t>
      </w:r>
      <w:r w:rsidR="00A35D39">
        <w:t xml:space="preserve">the </w:t>
      </w:r>
      <w:r w:rsidR="00A35D39" w:rsidRPr="000B566F">
        <w:t>market</w:t>
      </w:r>
      <w:r w:rsidR="00E60667">
        <w:t>,</w:t>
      </w:r>
      <w:r w:rsidR="00A35D39" w:rsidRPr="000B566F">
        <w:t xml:space="preserve"> </w:t>
      </w:r>
      <w:r w:rsidRPr="000B566F">
        <w:t xml:space="preserve">and </w:t>
      </w:r>
      <w:r w:rsidR="00A35D39">
        <w:t xml:space="preserve">the </w:t>
      </w:r>
      <w:r w:rsidRPr="000B566F">
        <w:t>capacity</w:t>
      </w:r>
      <w:r>
        <w:t xml:space="preserve"> to deliver optimal public value</w:t>
      </w:r>
      <w:r w:rsidRPr="000B566F">
        <w:t>?</w:t>
      </w:r>
    </w:p>
    <w:p w14:paraId="74F88DBF" w14:textId="77777777" w:rsidR="00B172BB" w:rsidRPr="006D2D23" w:rsidRDefault="00B172BB" w:rsidP="00C147EA">
      <w:pPr>
        <w:pStyle w:val="NormalIndent"/>
        <w:keepNext/>
      </w:pPr>
      <w:r w:rsidRPr="006D2D23">
        <w:t xml:space="preserve">To </w:t>
      </w:r>
      <w:r w:rsidRPr="00EF0204">
        <w:rPr>
          <w:rFonts w:cstheme="minorHAnsi"/>
          <w:color w:val="auto"/>
        </w:rPr>
        <w:t>undertake</w:t>
      </w:r>
      <w:r w:rsidRPr="006D2D23">
        <w:t xml:space="preserve"> packaging analysis, it is important to first understand:</w:t>
      </w:r>
    </w:p>
    <w:p w14:paraId="7E62BD29" w14:textId="77777777" w:rsidR="00B172BB" w:rsidRPr="00EF0204" w:rsidRDefault="285B83F7" w:rsidP="001D2615">
      <w:pPr>
        <w:pStyle w:val="Bulletindent"/>
        <w:keepNext/>
      </w:pPr>
      <w:r>
        <w:t>project data and characteristics, including size, scale, complexity, interfaces, specialisation, location, timeframes, staging and sequencing</w:t>
      </w:r>
    </w:p>
    <w:p w14:paraId="2CFFD9F0" w14:textId="77777777" w:rsidR="00B172BB" w:rsidRPr="00EF0204" w:rsidRDefault="285B83F7" w:rsidP="001D2615">
      <w:pPr>
        <w:pStyle w:val="Bulletindent"/>
        <w:keepNext/>
      </w:pPr>
      <w:r>
        <w:t>market capacity issues, including the upcoming pipeline of comparable projects in planning and procurement in Victoria and other jurisdictions</w:t>
      </w:r>
    </w:p>
    <w:p w14:paraId="6E589265" w14:textId="77777777" w:rsidR="00B172BB" w:rsidRPr="00EF0204" w:rsidRDefault="285B83F7" w:rsidP="001D2615">
      <w:pPr>
        <w:pStyle w:val="Bulletindent"/>
        <w:keepNext/>
      </w:pPr>
      <w:r>
        <w:t>contractor capacity and capability</w:t>
      </w:r>
    </w:p>
    <w:p w14:paraId="56F50E19" w14:textId="5EFE03F9" w:rsidR="00B172BB" w:rsidRPr="00EF0204" w:rsidRDefault="285B83F7" w:rsidP="001D2615">
      <w:pPr>
        <w:pStyle w:val="Bulletindent"/>
        <w:keepNext/>
      </w:pPr>
      <w:r>
        <w:t>client capabilities, capacity and ambitions (</w:t>
      </w:r>
      <w:r w:rsidR="00A35D39">
        <w:t xml:space="preserve">including </w:t>
      </w:r>
      <w:r>
        <w:t>people and systems)</w:t>
      </w:r>
    </w:p>
    <w:p w14:paraId="122AB405" w14:textId="77777777" w:rsidR="00B172BB" w:rsidRPr="00EF0204" w:rsidRDefault="285B83F7" w:rsidP="001D2615">
      <w:pPr>
        <w:pStyle w:val="Bulletindent"/>
      </w:pPr>
      <w:r>
        <w:t>project integration capabilities and approach</w:t>
      </w:r>
    </w:p>
    <w:p w14:paraId="0B48DC9E" w14:textId="77777777" w:rsidR="00B172BB" w:rsidRPr="00EF0204" w:rsidRDefault="285B83F7" w:rsidP="001D2615">
      <w:pPr>
        <w:pStyle w:val="Bulletindent"/>
      </w:pPr>
      <w:r>
        <w:t>the role and influence of key stakeholders</w:t>
      </w:r>
    </w:p>
    <w:p w14:paraId="054440BD" w14:textId="06B7B031" w:rsidR="00B172BB" w:rsidRPr="00EF0204" w:rsidRDefault="285B83F7" w:rsidP="001D2615">
      <w:pPr>
        <w:pStyle w:val="Bulletindent"/>
      </w:pPr>
      <w:r>
        <w:t>whole</w:t>
      </w:r>
      <w:r w:rsidR="007334C6">
        <w:t xml:space="preserve"> </w:t>
      </w:r>
      <w:r>
        <w:t>of</w:t>
      </w:r>
      <w:r w:rsidR="007334C6">
        <w:t xml:space="preserve"> </w:t>
      </w:r>
      <w:r>
        <w:t>government considerations</w:t>
      </w:r>
      <w:r w:rsidR="00A35D39">
        <w:t>,</w:t>
      </w:r>
      <w:r>
        <w:t xml:space="preserve"> such as aggregate risk exposure to commonly used contractors.</w:t>
      </w:r>
    </w:p>
    <w:p w14:paraId="26745400" w14:textId="77BB264F" w:rsidR="00B172BB" w:rsidRDefault="00B172BB" w:rsidP="00834461">
      <w:pPr>
        <w:pStyle w:val="NormalIndent"/>
      </w:pPr>
      <w:r w:rsidRPr="00B674B1">
        <w:t xml:space="preserve">Utilising this </w:t>
      </w:r>
      <w:r w:rsidRPr="00EF0204">
        <w:rPr>
          <w:rFonts w:cstheme="minorHAnsi"/>
          <w:color w:val="auto"/>
        </w:rPr>
        <w:t>project</w:t>
      </w:r>
      <w:r w:rsidRPr="00B674B1">
        <w:t xml:space="preserve"> data, </w:t>
      </w:r>
      <w:r w:rsidR="00A35D39">
        <w:t xml:space="preserve">agencies should </w:t>
      </w:r>
      <w:r w:rsidRPr="00B674B1">
        <w:t>determine whether packaging would deliver any benefit to the project by reducing risk, seizing opportunities, responding to market capability and capacity</w:t>
      </w:r>
      <w:r w:rsidR="00710A0D">
        <w:t xml:space="preserve"> </w:t>
      </w:r>
      <w:r w:rsidR="00710A0D" w:rsidRPr="00B674B1">
        <w:t>or improving market participation and competition.</w:t>
      </w:r>
    </w:p>
    <w:p w14:paraId="57C74676" w14:textId="77777777" w:rsidR="00710A0D" w:rsidRPr="00E51107" w:rsidRDefault="00710A0D" w:rsidP="00A35D39">
      <w:pPr>
        <w:pStyle w:val="HighlightBoxHeading"/>
      </w:pPr>
      <w:r w:rsidRPr="00E51107">
        <w:t>Key factors to consider when determining if packaging is right for your project</w:t>
      </w:r>
    </w:p>
    <w:p w14:paraId="12E6FB21" w14:textId="4D6A0D1D" w:rsidR="00710A0D" w:rsidRDefault="00D54453" w:rsidP="001D2615">
      <w:pPr>
        <w:pStyle w:val="HighlightBoxBullet"/>
      </w:pPr>
      <w:r>
        <w:t>How many</w:t>
      </w:r>
      <w:r w:rsidR="00710A0D">
        <w:t xml:space="preserve"> phases or activities </w:t>
      </w:r>
      <w:r w:rsidR="00517343">
        <w:t xml:space="preserve">in </w:t>
      </w:r>
      <w:r w:rsidR="00710A0D">
        <w:t>the project.</w:t>
      </w:r>
    </w:p>
    <w:p w14:paraId="423CE7CC" w14:textId="436D2184" w:rsidR="00710A0D" w:rsidRDefault="00517343" w:rsidP="001D2615">
      <w:pPr>
        <w:pStyle w:val="HighlightBoxBullet"/>
        <w:ind w:left="1076" w:hanging="284"/>
      </w:pPr>
      <w:r>
        <w:t>What elements can</w:t>
      </w:r>
      <w:r w:rsidR="00710A0D">
        <w:t xml:space="preserve"> be undertaken independently, simultaneously or in sequence.</w:t>
      </w:r>
    </w:p>
    <w:p w14:paraId="3595498A" w14:textId="4CAB8F35" w:rsidR="00710A0D" w:rsidRDefault="00710A0D" w:rsidP="001D2615">
      <w:pPr>
        <w:pStyle w:val="HighlightBoxBullet"/>
        <w:ind w:left="1076" w:hanging="284"/>
      </w:pPr>
      <w:r>
        <w:t>Wh</w:t>
      </w:r>
      <w:r w:rsidR="005257AA">
        <w:t>at</w:t>
      </w:r>
      <w:r>
        <w:t xml:space="preserve"> efficiencies (or risk reductions) in supply, construction, integration and interface management or scheduling </w:t>
      </w:r>
      <w:r w:rsidR="005257AA">
        <w:t xml:space="preserve">can be </w:t>
      </w:r>
      <w:r>
        <w:t>gained from grouping together certain works.</w:t>
      </w:r>
    </w:p>
    <w:p w14:paraId="3B32F119" w14:textId="6CA1BE51" w:rsidR="00710A0D" w:rsidRDefault="00710A0D" w:rsidP="001D2615">
      <w:pPr>
        <w:pStyle w:val="HighlightBoxBullet"/>
        <w:ind w:left="1076" w:hanging="284"/>
      </w:pPr>
      <w:r>
        <w:t>Wh</w:t>
      </w:r>
      <w:r w:rsidR="005257AA">
        <w:t>at</w:t>
      </w:r>
      <w:r>
        <w:t xml:space="preserve"> efficiencies (or risk reductions) </w:t>
      </w:r>
      <w:r w:rsidR="005257AA">
        <w:t xml:space="preserve">can be </w:t>
      </w:r>
      <w:r>
        <w:t>gained from breaking up certain works.</w:t>
      </w:r>
    </w:p>
    <w:p w14:paraId="2C582E3D" w14:textId="140F1001" w:rsidR="00710A0D" w:rsidRDefault="00A0236F" w:rsidP="001D2615">
      <w:pPr>
        <w:pStyle w:val="HighlightBoxBullet"/>
        <w:ind w:left="1076" w:hanging="284"/>
      </w:pPr>
      <w:r>
        <w:t>K</w:t>
      </w:r>
      <w:r w:rsidR="00710A0D">
        <w:t>ey interdependencies between stages or activities.</w:t>
      </w:r>
    </w:p>
    <w:p w14:paraId="4DF2B20D" w14:textId="77777777" w:rsidR="00710A0D" w:rsidRDefault="00710A0D" w:rsidP="001D2615">
      <w:pPr>
        <w:pStyle w:val="HighlightBoxBullet"/>
        <w:ind w:left="1076" w:hanging="284"/>
      </w:pPr>
      <w:r>
        <w:t>Options for early or enabling works.</w:t>
      </w:r>
    </w:p>
    <w:p w14:paraId="628318D2" w14:textId="77777777" w:rsidR="00E007F8" w:rsidRDefault="00E007F8" w:rsidP="00E007F8">
      <w:pPr>
        <w:pStyle w:val="Spacer"/>
      </w:pPr>
    </w:p>
    <w:p w14:paraId="72A57908" w14:textId="7D167B3F" w:rsidR="00710A0D" w:rsidRPr="00B674B1" w:rsidRDefault="4A1F871F" w:rsidP="00D21F77">
      <w:pPr>
        <w:pStyle w:val="NormalIndent"/>
        <w:keepNext/>
      </w:pPr>
      <w:r>
        <w:t>DTF</w:t>
      </w:r>
      <w:r w:rsidR="00710A0D" w:rsidRPr="00B674B1">
        <w:t xml:space="preserve"> can </w:t>
      </w:r>
      <w:r w:rsidR="00710A0D" w:rsidRPr="2DA1C254">
        <w:rPr>
          <w:color w:val="auto"/>
        </w:rPr>
        <w:t>assist</w:t>
      </w:r>
      <w:r w:rsidR="00710A0D" w:rsidRPr="00B674B1">
        <w:t xml:space="preserve"> </w:t>
      </w:r>
      <w:r w:rsidR="00710A0D">
        <w:t>project teams</w:t>
      </w:r>
      <w:r w:rsidR="00710A0D" w:rsidRPr="00B674B1">
        <w:t xml:space="preserve"> </w:t>
      </w:r>
      <w:r w:rsidR="00A35D39">
        <w:t>to undertake</w:t>
      </w:r>
      <w:r w:rsidR="00710A0D" w:rsidRPr="00B674B1">
        <w:t xml:space="preserve"> this analysis.</w:t>
      </w:r>
    </w:p>
    <w:p w14:paraId="7ECA9A66" w14:textId="03AB8E26" w:rsidR="00710A0D" w:rsidRDefault="00222CA8" w:rsidP="00834461">
      <w:pPr>
        <w:pStyle w:val="NormalIndent"/>
      </w:pPr>
      <w:r>
        <w:fldChar w:fldCharType="begin" w:fldLock="1"/>
      </w:r>
      <w:r>
        <w:instrText xml:space="preserve"> REF _Ref144237846 \h </w:instrText>
      </w:r>
      <w:r>
        <w:fldChar w:fldCharType="separate"/>
      </w:r>
      <w:r w:rsidR="003D4A19">
        <w:t xml:space="preserve">Table </w:t>
      </w:r>
      <w:r w:rsidR="003D4A19">
        <w:rPr>
          <w:noProof/>
        </w:rPr>
        <w:t>7</w:t>
      </w:r>
      <w:r>
        <w:fldChar w:fldCharType="end"/>
      </w:r>
      <w:r w:rsidR="00710A0D">
        <w:t xml:space="preserve"> outlines </w:t>
      </w:r>
      <w:r w:rsidR="00710A0D" w:rsidRPr="00EF0204">
        <w:rPr>
          <w:rFonts w:cstheme="minorHAnsi"/>
          <w:color w:val="auto"/>
        </w:rPr>
        <w:t>two</w:t>
      </w:r>
      <w:r w:rsidR="00710A0D">
        <w:t xml:space="preserve"> general packaging strategies that practitioners should consider and some of the value drivers behind these approaches.</w:t>
      </w:r>
    </w:p>
    <w:p w14:paraId="3E2E109F" w14:textId="44614C86" w:rsidR="00222CA8" w:rsidRDefault="00222CA8" w:rsidP="00171CF8">
      <w:pPr>
        <w:pStyle w:val="Captionindent"/>
      </w:pPr>
      <w:bookmarkStart w:id="232" w:name="_Ref144237846"/>
      <w:bookmarkStart w:id="233" w:name="_Ref144237839"/>
      <w:bookmarkStart w:id="234" w:name="_Toc145621355"/>
      <w:bookmarkStart w:id="235" w:name="_Toc146097249"/>
      <w:r>
        <w:t xml:space="preserve">Table </w:t>
      </w:r>
      <w:r>
        <w:fldChar w:fldCharType="begin"/>
      </w:r>
      <w:r>
        <w:instrText>SEQ Table \* ARABIC</w:instrText>
      </w:r>
      <w:r>
        <w:fldChar w:fldCharType="separate"/>
      </w:r>
      <w:r w:rsidR="008A4B3E">
        <w:rPr>
          <w:noProof/>
        </w:rPr>
        <w:t>7</w:t>
      </w:r>
      <w:r>
        <w:fldChar w:fldCharType="end"/>
      </w:r>
      <w:bookmarkEnd w:id="232"/>
      <w:r w:rsidR="00C72879">
        <w:t xml:space="preserve"> –</w:t>
      </w:r>
      <w:r>
        <w:t xml:space="preserve"> </w:t>
      </w:r>
      <w:r w:rsidRPr="0083633D">
        <w:t>Packaging strategies</w:t>
      </w:r>
      <w:bookmarkEnd w:id="233"/>
      <w:bookmarkEnd w:id="234"/>
      <w:bookmarkEnd w:id="235"/>
    </w:p>
    <w:tbl>
      <w:tblPr>
        <w:tblStyle w:val="DTFtexttableindent"/>
        <w:tblW w:w="8298" w:type="dxa"/>
        <w:tblLook w:val="04A0" w:firstRow="1" w:lastRow="0" w:firstColumn="1" w:lastColumn="0" w:noHBand="0" w:noVBand="1"/>
      </w:tblPr>
      <w:tblGrid>
        <w:gridCol w:w="1291"/>
        <w:gridCol w:w="7007"/>
      </w:tblGrid>
      <w:tr w:rsidR="00710A0D" w:rsidRPr="000B566F" w14:paraId="01FD282E" w14:textId="77777777" w:rsidTr="00171C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dxa"/>
            <w:hideMark/>
          </w:tcPr>
          <w:p w14:paraId="3D9242FA" w14:textId="77777777" w:rsidR="00710A0D" w:rsidRPr="000B566F" w:rsidRDefault="00710A0D" w:rsidP="00F7602B">
            <w:pPr>
              <w:pStyle w:val="Tableheader"/>
            </w:pPr>
            <w:r w:rsidRPr="000B566F">
              <w:t>Packaging strategy</w:t>
            </w:r>
          </w:p>
        </w:tc>
        <w:tc>
          <w:tcPr>
            <w:tcW w:w="5868" w:type="dxa"/>
            <w:hideMark/>
          </w:tcPr>
          <w:p w14:paraId="2F20377B" w14:textId="77777777" w:rsidR="00710A0D" w:rsidRPr="000B566F" w:rsidRDefault="00710A0D" w:rsidP="00F7602B">
            <w:pPr>
              <w:pStyle w:val="Tableheader"/>
              <w:cnfStyle w:val="100000000000" w:firstRow="1" w:lastRow="0" w:firstColumn="0" w:lastColumn="0" w:oddVBand="0" w:evenVBand="0" w:oddHBand="0" w:evenHBand="0" w:firstRowFirstColumn="0" w:firstRowLastColumn="0" w:lastRowFirstColumn="0" w:lastRowLastColumn="0"/>
            </w:pPr>
          </w:p>
        </w:tc>
      </w:tr>
      <w:tr w:rsidR="00710A0D" w:rsidRPr="000B566F" w14:paraId="64C9C139" w14:textId="77777777" w:rsidTr="00171CF8">
        <w:tc>
          <w:tcPr>
            <w:cnfStyle w:val="001000000000" w:firstRow="0" w:lastRow="0" w:firstColumn="1" w:lastColumn="0" w:oddVBand="0" w:evenVBand="0" w:oddHBand="0" w:evenHBand="0" w:firstRowFirstColumn="0" w:firstRowLastColumn="0" w:lastRowFirstColumn="0" w:lastRowLastColumn="0"/>
            <w:tcW w:w="0" w:type="dxa"/>
            <w:hideMark/>
          </w:tcPr>
          <w:p w14:paraId="67FB0C8E" w14:textId="77777777" w:rsidR="00710A0D" w:rsidRPr="00AC6BCF" w:rsidRDefault="00710A0D" w:rsidP="00F7602B">
            <w:pPr>
              <w:pStyle w:val="Tabletext"/>
            </w:pPr>
            <w:r w:rsidRPr="00AC6BCF">
              <w:t>Into smaller contracts</w:t>
            </w:r>
          </w:p>
        </w:tc>
        <w:tc>
          <w:tcPr>
            <w:tcW w:w="5868" w:type="dxa"/>
          </w:tcPr>
          <w:p w14:paraId="251D84FF" w14:textId="038546E9" w:rsidR="00710A0D" w:rsidRPr="000B566F" w:rsidRDefault="00710A0D" w:rsidP="00F7602B">
            <w:pPr>
              <w:pStyle w:val="Tabletext"/>
              <w:cnfStyle w:val="000000000000" w:firstRow="0" w:lastRow="0" w:firstColumn="0" w:lastColumn="0" w:oddVBand="0" w:evenVBand="0" w:oddHBand="0" w:evenHBand="0" w:firstRowFirstColumn="0" w:firstRowLastColumn="0" w:lastRowFirstColumn="0" w:lastRowLastColumn="0"/>
            </w:pPr>
            <w:r w:rsidRPr="000B566F">
              <w:t xml:space="preserve">Disaggregation: </w:t>
            </w:r>
            <w:r w:rsidR="000D1702">
              <w:t>D</w:t>
            </w:r>
            <w:r w:rsidRPr="00436C8D">
              <w:t>ivi</w:t>
            </w:r>
            <w:r w:rsidR="000D1702">
              <w:t>ding</w:t>
            </w:r>
            <w:r w:rsidRPr="00436C8D">
              <w:t xml:space="preserve"> a single project into multiple (smaller) discrete packages</w:t>
            </w:r>
            <w:r w:rsidR="0075654F">
              <w:t>,</w:t>
            </w:r>
            <w:r w:rsidRPr="00374E83">
              <w:t xml:space="preserve"> </w:t>
            </w:r>
            <w:r w:rsidRPr="00436C8D">
              <w:t>each with a separate contract</w:t>
            </w:r>
            <w:r w:rsidRPr="00374E83">
              <w:t>. The procurement</w:t>
            </w:r>
            <w:r w:rsidRPr="000B566F">
              <w:t xml:space="preserve"> model for each package may differ depending on the characteristics of the package. Packaging into smaller contracts can facilitate:</w:t>
            </w:r>
          </w:p>
          <w:p w14:paraId="7883FA35" w14:textId="77777777" w:rsidR="00710A0D" w:rsidRPr="000B566F" w:rsidRDefault="00710A0D" w:rsidP="001D2615">
            <w:pPr>
              <w:pStyle w:val="Tablebullet"/>
              <w:cnfStyle w:val="000000000000" w:firstRow="0" w:lastRow="0" w:firstColumn="0" w:lastColumn="0" w:oddVBand="0" w:evenVBand="0" w:oddHBand="0" w:evenHBand="0" w:firstRowFirstColumn="0" w:firstRowLastColumn="0" w:lastRowFirstColumn="0" w:lastRowLastColumn="0"/>
            </w:pPr>
            <w:r>
              <w:t>i</w:t>
            </w:r>
            <w:r w:rsidRPr="000B566F">
              <w:t>ncreased market capacity and competition by providing the opportunity for work to be spread across a broader range of contractors</w:t>
            </w:r>
          </w:p>
          <w:p w14:paraId="7A22BFB5" w14:textId="28D51966" w:rsidR="00710A0D" w:rsidRPr="000B566F" w:rsidRDefault="00344D3F" w:rsidP="001D2615">
            <w:pPr>
              <w:pStyle w:val="Tablebullet"/>
              <w:cnfStyle w:val="000000000000" w:firstRow="0" w:lastRow="0" w:firstColumn="0" w:lastColumn="0" w:oddVBand="0" w:evenVBand="0" w:oddHBand="0" w:evenHBand="0" w:firstRowFirstColumn="0" w:firstRowLastColumn="0" w:lastRowFirstColumn="0" w:lastRowLastColumn="0"/>
            </w:pPr>
            <w:r>
              <w:t>‘</w:t>
            </w:r>
            <w:r w:rsidR="00710A0D">
              <w:t>ring</w:t>
            </w:r>
            <w:r w:rsidR="006177D7">
              <w:t xml:space="preserve"> </w:t>
            </w:r>
            <w:r w:rsidR="00710A0D">
              <w:t>fencing</w:t>
            </w:r>
            <w:r>
              <w:t>’</w:t>
            </w:r>
            <w:r w:rsidR="00710A0D">
              <w:t xml:space="preserve"> issues that arise within a single package, avoiding individual package risks having a project or program-wide impact</w:t>
            </w:r>
          </w:p>
          <w:p w14:paraId="222177B8" w14:textId="77777777" w:rsidR="00710A0D" w:rsidRPr="000B566F" w:rsidRDefault="00710A0D" w:rsidP="001D2615">
            <w:pPr>
              <w:pStyle w:val="Tablebullet"/>
              <w:cnfStyle w:val="000000000000" w:firstRow="0" w:lastRow="0" w:firstColumn="0" w:lastColumn="0" w:oddVBand="0" w:evenVBand="0" w:oddHBand="0" w:evenHBand="0" w:firstRowFirstColumn="0" w:firstRowLastColumn="0" w:lastRowFirstColumn="0" w:lastRowLastColumn="0"/>
            </w:pPr>
            <w:r>
              <w:t>r</w:t>
            </w:r>
            <w:r w:rsidRPr="000B566F">
              <w:t>isk distribution and diversification (</w:t>
            </w:r>
            <w:r>
              <w:t xml:space="preserve">including </w:t>
            </w:r>
            <w:r w:rsidRPr="000B566F">
              <w:t>across contractors)</w:t>
            </w:r>
          </w:p>
          <w:p w14:paraId="78FA9625" w14:textId="77777777" w:rsidR="00710A0D" w:rsidRPr="000B566F" w:rsidRDefault="00710A0D" w:rsidP="001D2615">
            <w:pPr>
              <w:pStyle w:val="Tablebullet"/>
              <w:cnfStyle w:val="000000000000" w:firstRow="0" w:lastRow="0" w:firstColumn="0" w:lastColumn="0" w:oddVBand="0" w:evenVBand="0" w:oddHBand="0" w:evenHBand="0" w:firstRowFirstColumn="0" w:firstRowLastColumn="0" w:lastRowFirstColumn="0" w:lastRowLastColumn="0"/>
            </w:pPr>
            <w:r>
              <w:rPr>
                <w:rFonts w:cs="Times New Roman"/>
              </w:rPr>
              <w:t>d</w:t>
            </w:r>
            <w:r w:rsidRPr="000B566F">
              <w:rPr>
                <w:rFonts w:cs="Times New Roman"/>
              </w:rPr>
              <w:t>evelopment of contractor capacity</w:t>
            </w:r>
          </w:p>
          <w:p w14:paraId="405F1482" w14:textId="77777777" w:rsidR="00710A0D" w:rsidRPr="000B566F" w:rsidRDefault="00710A0D" w:rsidP="001D2615">
            <w:pPr>
              <w:pStyle w:val="Tablebullet"/>
              <w:cnfStyle w:val="000000000000" w:firstRow="0" w:lastRow="0" w:firstColumn="0" w:lastColumn="0" w:oddVBand="0" w:evenVBand="0" w:oddHBand="0" w:evenHBand="0" w:firstRowFirstColumn="0" w:firstRowLastColumn="0" w:lastRowFirstColumn="0" w:lastRowLastColumn="0"/>
            </w:pPr>
            <w:r>
              <w:t>b</w:t>
            </w:r>
            <w:r w:rsidRPr="000B566F">
              <w:t xml:space="preserve">ringing forward and separating early works from the main work package(s), </w:t>
            </w:r>
            <w:r>
              <w:t>such as</w:t>
            </w:r>
            <w:r w:rsidRPr="000B566F">
              <w:t xml:space="preserve"> a preparatory or demolition package</w:t>
            </w:r>
          </w:p>
          <w:p w14:paraId="1AA29DDD" w14:textId="77777777" w:rsidR="00710A0D" w:rsidRDefault="00710A0D" w:rsidP="001D2615">
            <w:pPr>
              <w:pStyle w:val="Tablebullet"/>
              <w:cnfStyle w:val="000000000000" w:firstRow="0" w:lastRow="0" w:firstColumn="0" w:lastColumn="0" w:oddVBand="0" w:evenVBand="0" w:oddHBand="0" w:evenHBand="0" w:firstRowFirstColumn="0" w:firstRowLastColumn="0" w:lastRowFirstColumn="0" w:lastRowLastColumn="0"/>
            </w:pPr>
            <w:r>
              <w:t>d</w:t>
            </w:r>
            <w:r w:rsidRPr="000B566F">
              <w:t xml:space="preserve">elaying specific works, </w:t>
            </w:r>
            <w:r>
              <w:t>such as</w:t>
            </w:r>
            <w:r w:rsidRPr="000B566F">
              <w:t xml:space="preserve"> </w:t>
            </w:r>
            <w:r>
              <w:t xml:space="preserve">holding off on </w:t>
            </w:r>
            <w:r w:rsidRPr="000B566F">
              <w:t xml:space="preserve">public realm landscaping packaging </w:t>
            </w:r>
            <w:r>
              <w:t>until</w:t>
            </w:r>
            <w:r w:rsidRPr="000B566F" w:rsidDel="00AC4903">
              <w:t xml:space="preserve"> </w:t>
            </w:r>
            <w:r w:rsidRPr="000B566F">
              <w:t>other packages</w:t>
            </w:r>
            <w:r>
              <w:t xml:space="preserve"> are completed.</w:t>
            </w:r>
          </w:p>
          <w:p w14:paraId="6B8EEA92" w14:textId="56B5493B" w:rsidR="00710A0D" w:rsidRPr="00AC6BCF" w:rsidRDefault="00710A0D" w:rsidP="00F7602B">
            <w:pPr>
              <w:pStyle w:val="Tabletext"/>
              <w:cnfStyle w:val="000000000000" w:firstRow="0" w:lastRow="0" w:firstColumn="0" w:lastColumn="0" w:oddVBand="0" w:evenVBand="0" w:oddHBand="0" w:evenHBand="0" w:firstRowFirstColumn="0" w:firstRowLastColumn="0" w:lastRowFirstColumn="0" w:lastRowLastColumn="0"/>
            </w:pPr>
            <w:r w:rsidRPr="000B566F">
              <w:t>Disaggregation often occurs to align the package size with</w:t>
            </w:r>
            <w:r>
              <w:t xml:space="preserve"> the</w:t>
            </w:r>
            <w:r w:rsidRPr="000B566F">
              <w:t xml:space="preserve"> contractor </w:t>
            </w:r>
            <w:r w:rsidRPr="000B566F" w:rsidDel="00374E83">
              <w:t>o</w:t>
            </w:r>
            <w:r w:rsidRPr="000B566F">
              <w:t xml:space="preserve">r </w:t>
            </w:r>
            <w:r>
              <w:t>client</w:t>
            </w:r>
            <w:r w:rsidR="00344D3F">
              <w:t>’</w:t>
            </w:r>
            <w:r>
              <w:t>s</w:t>
            </w:r>
            <w:r w:rsidRPr="000B566F">
              <w:t xml:space="preserve"> capacity to delive</w:t>
            </w:r>
            <w:r>
              <w:t>r</w:t>
            </w:r>
            <w:r w:rsidRPr="000B566F">
              <w:t>.</w:t>
            </w:r>
          </w:p>
        </w:tc>
      </w:tr>
      <w:tr w:rsidR="00710A0D" w:rsidRPr="000B566F" w14:paraId="419D2320" w14:textId="77777777" w:rsidTr="0017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2B068DFC" w14:textId="77777777" w:rsidR="00710A0D" w:rsidRPr="00AC6BCF" w:rsidRDefault="00710A0D" w:rsidP="00F7602B">
            <w:pPr>
              <w:rPr>
                <w:rFonts w:asciiTheme="majorHAnsi" w:hAnsiTheme="majorHAnsi"/>
              </w:rPr>
            </w:pPr>
            <w:r w:rsidRPr="00AC6BCF">
              <w:rPr>
                <w:rFonts w:asciiTheme="majorHAnsi" w:hAnsiTheme="majorHAnsi"/>
              </w:rPr>
              <w:t xml:space="preserve">Into larger contracts </w:t>
            </w:r>
          </w:p>
        </w:tc>
        <w:tc>
          <w:tcPr>
            <w:tcW w:w="5868" w:type="dxa"/>
          </w:tcPr>
          <w:p w14:paraId="3581D410" w14:textId="133A5A0B" w:rsidR="00710A0D" w:rsidRPr="000B566F" w:rsidRDefault="00710A0D" w:rsidP="00F7602B">
            <w:pPr>
              <w:pStyle w:val="Tabletext"/>
              <w:cnfStyle w:val="000000010000" w:firstRow="0" w:lastRow="0" w:firstColumn="0" w:lastColumn="0" w:oddVBand="0" w:evenVBand="0" w:oddHBand="0" w:evenHBand="1" w:firstRowFirstColumn="0" w:firstRowLastColumn="0" w:lastRowFirstColumn="0" w:lastRowLastColumn="0"/>
            </w:pPr>
            <w:r w:rsidRPr="000B566F">
              <w:t xml:space="preserve">Aggregation: </w:t>
            </w:r>
            <w:r w:rsidR="0075654F">
              <w:t>G</w:t>
            </w:r>
            <w:r w:rsidRPr="000B566F">
              <w:t xml:space="preserve">rouping together procurement requirements </w:t>
            </w:r>
            <w:r>
              <w:t>of a similar category</w:t>
            </w:r>
            <w:r w:rsidR="0075654F">
              <w:t>,</w:t>
            </w:r>
            <w:r>
              <w:t xml:space="preserve"> </w:t>
            </w:r>
            <w:r w:rsidRPr="000B566F">
              <w:t xml:space="preserve">with the purpose of acquiring them under a single contract. Packaging </w:t>
            </w:r>
            <w:r w:rsidR="00FC0CC7">
              <w:t xml:space="preserve">smaller works </w:t>
            </w:r>
            <w:r w:rsidRPr="000B566F">
              <w:t>into a larger contract can facilitate:</w:t>
            </w:r>
          </w:p>
          <w:p w14:paraId="50B149A5" w14:textId="63F1216D" w:rsidR="00710A0D" w:rsidRPr="000B566F" w:rsidRDefault="00710A0D" w:rsidP="001D2615">
            <w:pPr>
              <w:pStyle w:val="Tablebullet"/>
              <w:cnfStyle w:val="000000010000" w:firstRow="0" w:lastRow="0" w:firstColumn="0" w:lastColumn="0" w:oddVBand="0" w:evenVBand="0" w:oddHBand="0" w:evenHBand="1" w:firstRowFirstColumn="0" w:firstRowLastColumn="0" w:lastRowFirstColumn="0" w:lastRowLastColumn="0"/>
            </w:pPr>
            <w:r>
              <w:t>c</w:t>
            </w:r>
            <w:r w:rsidRPr="62B08AC2">
              <w:t>ost and schedule efficiencies associated with scale or geograph</w:t>
            </w:r>
            <w:r>
              <w:t>y</w:t>
            </w:r>
            <w:r w:rsidR="00A35D39">
              <w:t>,</w:t>
            </w:r>
            <w:r>
              <w:t xml:space="preserve"> or both</w:t>
            </w:r>
          </w:p>
          <w:p w14:paraId="3C6324FF" w14:textId="2E2C14E8" w:rsidR="00710A0D" w:rsidRPr="000B566F" w:rsidRDefault="00710A0D" w:rsidP="001D2615">
            <w:pPr>
              <w:pStyle w:val="Tablebullet"/>
              <w:cnfStyle w:val="000000010000" w:firstRow="0" w:lastRow="0" w:firstColumn="0" w:lastColumn="0" w:oddVBand="0" w:evenVBand="0" w:oddHBand="0" w:evenHBand="1" w:firstRowFirstColumn="0" w:firstRowLastColumn="0" w:lastRowFirstColumn="0" w:lastRowLastColumn="0"/>
            </w:pPr>
            <w:r>
              <w:t>p</w:t>
            </w:r>
            <w:r w:rsidRPr="000B566F">
              <w:t>rocurement efficiencies associated with manag</w:t>
            </w:r>
            <w:r w:rsidR="00A35D39">
              <w:t>ing</w:t>
            </w:r>
            <w:r w:rsidRPr="000B566F">
              <w:t xml:space="preserve"> fewer contracts</w:t>
            </w:r>
          </w:p>
          <w:p w14:paraId="428F0D40" w14:textId="77777777" w:rsidR="00710A0D" w:rsidRPr="006135C9" w:rsidRDefault="00710A0D" w:rsidP="001D2615">
            <w:pPr>
              <w:pStyle w:val="Tablebullet"/>
              <w:cnfStyle w:val="000000010000" w:firstRow="0" w:lastRow="0" w:firstColumn="0" w:lastColumn="0" w:oddVBand="0" w:evenVBand="0" w:oddHBand="0" w:evenHBand="1" w:firstRowFirstColumn="0" w:firstRowLastColumn="0" w:lastRowFirstColumn="0" w:lastRowLastColumn="0"/>
            </w:pPr>
            <w:r>
              <w:t>access to skills, expertise and approaches that can only be provided by large multinational firms</w:t>
            </w:r>
          </w:p>
          <w:p w14:paraId="04FC1616" w14:textId="409D0E65" w:rsidR="00710A0D" w:rsidRDefault="00710A0D" w:rsidP="001D2615">
            <w:pPr>
              <w:pStyle w:val="Tablebullet"/>
              <w:cnfStyle w:val="000000010000" w:firstRow="0" w:lastRow="0" w:firstColumn="0" w:lastColumn="0" w:oddVBand="0" w:evenVBand="0" w:oddHBand="0" w:evenHBand="1" w:firstRowFirstColumn="0" w:firstRowLastColumn="0" w:lastRowFirstColumn="0" w:lastRowLastColumn="0"/>
            </w:pPr>
            <w:r>
              <w:t>a reduction in</w:t>
            </w:r>
            <w:r w:rsidRPr="62B08AC2">
              <w:t xml:space="preserve"> the number of complex interfaces across many contracts</w:t>
            </w:r>
            <w:r w:rsidR="009945D7">
              <w:t>,</w:t>
            </w:r>
            <w:r w:rsidR="00A35D39">
              <w:t xml:space="preserve"> which</w:t>
            </w:r>
            <w:r>
              <w:t xml:space="preserve"> can </w:t>
            </w:r>
            <w:r w:rsidR="00751CD2">
              <w:t>lead to</w:t>
            </w:r>
            <w:r w:rsidRPr="62B08AC2" w:rsidDel="00AC4903">
              <w:t xml:space="preserve"> </w:t>
            </w:r>
            <w:r w:rsidRPr="62B08AC2">
              <w:t>better manage</w:t>
            </w:r>
            <w:r>
              <w:t>ment of</w:t>
            </w:r>
            <w:r w:rsidRPr="62B08AC2">
              <w:t xml:space="preserve"> the liabilities that result from the various interfaces in construction and commissioning</w:t>
            </w:r>
            <w:r>
              <w:t>.</w:t>
            </w:r>
          </w:p>
          <w:p w14:paraId="55E8088E" w14:textId="77777777" w:rsidR="00710A0D" w:rsidRPr="00AC6BCF" w:rsidRDefault="00710A0D" w:rsidP="00F7602B">
            <w:pPr>
              <w:pStyle w:val="Tabletext"/>
              <w:cnfStyle w:val="000000010000" w:firstRow="0" w:lastRow="0" w:firstColumn="0" w:lastColumn="0" w:oddVBand="0" w:evenVBand="0" w:oddHBand="0" w:evenHBand="1" w:firstRowFirstColumn="0" w:firstRowLastColumn="0" w:lastRowFirstColumn="0" w:lastRowLastColumn="0"/>
            </w:pPr>
            <w:r w:rsidRPr="000B566F">
              <w:t>Aggregation is often used to bring together works of the same nature or technical requirements</w:t>
            </w:r>
            <w:r>
              <w:t xml:space="preserve"> and disciplines</w:t>
            </w:r>
            <w:r w:rsidRPr="000B566F">
              <w:t xml:space="preserve"> or in the same geographic location.</w:t>
            </w:r>
          </w:p>
        </w:tc>
      </w:tr>
    </w:tbl>
    <w:p w14:paraId="44595FE9" w14:textId="77777777" w:rsidR="00B172BB" w:rsidRPr="004F3D2C" w:rsidRDefault="00B172BB" w:rsidP="001D2615">
      <w:pPr>
        <w:pStyle w:val="Heading3numbered"/>
      </w:pPr>
      <w:bookmarkStart w:id="236" w:name="_Toc124245371"/>
      <w:r w:rsidRPr="004F3D2C">
        <w:t xml:space="preserve">Market </w:t>
      </w:r>
      <w:r w:rsidR="00AC6BCF" w:rsidRPr="004F3D2C">
        <w:t>engagement</w:t>
      </w:r>
      <w:bookmarkEnd w:id="236"/>
    </w:p>
    <w:p w14:paraId="33C14CF4" w14:textId="482D722D" w:rsidR="00710A0D" w:rsidRPr="00201B22" w:rsidRDefault="00710A0D" w:rsidP="00D21F77">
      <w:pPr>
        <w:pStyle w:val="NormalIndent"/>
        <w:keepNext/>
      </w:pPr>
      <w:r>
        <w:t xml:space="preserve">Market engagement is important for all projects (not just HVHR projects). </w:t>
      </w:r>
      <w:r w:rsidRPr="580BCC84">
        <w:t xml:space="preserve">Market engagement </w:t>
      </w:r>
      <w:r>
        <w:t>can improve</w:t>
      </w:r>
      <w:r w:rsidRPr="580BCC84">
        <w:t xml:space="preserve"> the likelihood of project success</w:t>
      </w:r>
      <w:r>
        <w:t xml:space="preserve"> through a process of increasingly detailed</w:t>
      </w:r>
      <w:r w:rsidRPr="580BCC84">
        <w:t xml:space="preserve"> stakeholder engagement. </w:t>
      </w:r>
      <w:r>
        <w:t>T</w:t>
      </w:r>
      <w:r w:rsidR="007F0BB5">
        <w:t xml:space="preserve">hrough market engagement, </w:t>
      </w:r>
      <w:r w:rsidR="007E6495">
        <w:t>the G</w:t>
      </w:r>
      <w:r w:rsidR="007E6495" w:rsidRPr="580BCC84">
        <w:t xml:space="preserve">overnment </w:t>
      </w:r>
      <w:r w:rsidR="007F0BB5">
        <w:t xml:space="preserve">gains </w:t>
      </w:r>
      <w:r w:rsidRPr="580BCC84">
        <w:t>an understand</w:t>
      </w:r>
      <w:r>
        <w:t>ing</w:t>
      </w:r>
      <w:r w:rsidRPr="580BCC84">
        <w:t xml:space="preserve"> of the market</w:t>
      </w:r>
      <w:r w:rsidR="00344D3F">
        <w:t>’</w:t>
      </w:r>
      <w:r w:rsidRPr="580BCC84">
        <w:t>s appetite, capability, capacity</w:t>
      </w:r>
      <w:r w:rsidR="001410CF">
        <w:t xml:space="preserve"> and</w:t>
      </w:r>
      <w:r w:rsidRPr="580BCC84">
        <w:t xml:space="preserve"> trends</w:t>
      </w:r>
      <w:r w:rsidR="001410CF">
        <w:t>,</w:t>
      </w:r>
      <w:r w:rsidRPr="580BCC84">
        <w:t xml:space="preserve"> and the potential impact of its intended procurement approach</w:t>
      </w:r>
      <w:r w:rsidR="00A35D39">
        <w:t>. Simultaneously,</w:t>
      </w:r>
      <w:r>
        <w:t xml:space="preserve"> industry </w:t>
      </w:r>
      <w:r w:rsidRPr="580BCC84" w:rsidDel="005440F4">
        <w:t>can prepare</w:t>
      </w:r>
      <w:r w:rsidRPr="580BCC84">
        <w:t xml:space="preserve"> to respond to </w:t>
      </w:r>
      <w:r w:rsidR="00F11B52">
        <w:t>g</w:t>
      </w:r>
      <w:r w:rsidR="003E4A30" w:rsidRPr="00201B22">
        <w:t xml:space="preserve">overnment </w:t>
      </w:r>
      <w:r w:rsidRPr="00201B22">
        <w:t>requirements as they are outlined.</w:t>
      </w:r>
    </w:p>
    <w:p w14:paraId="5DF46B40" w14:textId="572F5765" w:rsidR="00710A0D" w:rsidRDefault="00710A0D" w:rsidP="00834461">
      <w:pPr>
        <w:pStyle w:val="NormalIndent"/>
      </w:pPr>
      <w:r w:rsidRPr="00201B22" w:rsidDel="00221412">
        <w:t>Market engagement p</w:t>
      </w:r>
      <w:r w:rsidRPr="00201B22">
        <w:t xml:space="preserve">rior to funding approval and development of the procurement plan (see </w:t>
      </w:r>
      <w:r w:rsidR="00C658D6" w:rsidRPr="00201B22">
        <w:t>s</w:t>
      </w:r>
      <w:r w:rsidRPr="00201B22">
        <w:t>ection</w:t>
      </w:r>
      <w:r w:rsidR="00201B22">
        <w:t xml:space="preserve">s </w:t>
      </w:r>
      <w:r w:rsidR="00201B22">
        <w:fldChar w:fldCharType="begin" w:fldLock="1"/>
      </w:r>
      <w:r w:rsidR="00201B22">
        <w:instrText xml:space="preserve"> REF _Ref144388261 \n \h </w:instrText>
      </w:r>
      <w:r w:rsidR="00201B22">
        <w:fldChar w:fldCharType="separate"/>
      </w:r>
      <w:r w:rsidR="003D4A19">
        <w:t>5.2</w:t>
      </w:r>
      <w:r w:rsidR="00201B22">
        <w:fldChar w:fldCharType="end"/>
      </w:r>
      <w:r w:rsidR="00201B22">
        <w:t xml:space="preserve"> and</w:t>
      </w:r>
      <w:r w:rsidRPr="00201B22">
        <w:t xml:space="preserve"> </w:t>
      </w:r>
      <w:r w:rsidR="00201B22" w:rsidRPr="00201B22">
        <w:fldChar w:fldCharType="begin" w:fldLock="1"/>
      </w:r>
      <w:r w:rsidR="00201B22" w:rsidRPr="00201B22">
        <w:instrText xml:space="preserve"> REF _Ref144388175 \n \h  \* MERGEFORMAT </w:instrText>
      </w:r>
      <w:r w:rsidR="00201B22" w:rsidRPr="00201B22">
        <w:fldChar w:fldCharType="separate"/>
      </w:r>
      <w:r w:rsidR="003D4A19">
        <w:t>5.5</w:t>
      </w:r>
      <w:r w:rsidR="00201B22" w:rsidRPr="00201B22">
        <w:fldChar w:fldCharType="end"/>
      </w:r>
      <w:r w:rsidRPr="00201B22">
        <w:t>) is typically limited</w:t>
      </w:r>
      <w:r w:rsidR="41F41AA3" w:rsidRPr="00201B22">
        <w:t xml:space="preserve"> without specific government approval</w:t>
      </w:r>
      <w:r w:rsidRPr="00201B22">
        <w:t>. However, early market engagement can provide benefits, particularly for high-value and</w:t>
      </w:r>
      <w:r w:rsidR="00A35D39">
        <w:t>/or</w:t>
      </w:r>
      <w:r w:rsidRPr="00201B22">
        <w:t xml:space="preserve"> complex projects. Appropriate activities during procurement strategy development depend on the project</w:t>
      </w:r>
      <w:r w:rsidR="00344D3F">
        <w:t>’</w:t>
      </w:r>
      <w:r w:rsidRPr="00201B22">
        <w:t>s scale and complexity, confidentiality requirements and the maturity of information available. These activities include identifying project precedents, analysing similar projects and conducting market</w:t>
      </w:r>
      <w:r w:rsidRPr="580BCC84">
        <w:t xml:space="preserve"> soundings to gather feedback on preliminary project structuring, bundling and packaging approaches as well as procurement model options, key risks and timelines.</w:t>
      </w:r>
    </w:p>
    <w:p w14:paraId="04C35FD4" w14:textId="77777777" w:rsidR="0F057E96" w:rsidRDefault="0F057E96" w:rsidP="00834461">
      <w:pPr>
        <w:pStyle w:val="NormalIndent"/>
      </w:pPr>
      <w:r w:rsidRPr="580BCC84">
        <w:t>Agencies considering direct market engagement during business case development should contact DTF for advice on how to manage the process and obtain necessary government approvals before engaging the market.</w:t>
      </w:r>
    </w:p>
    <w:p w14:paraId="563FF8DE" w14:textId="1CD06C4A" w:rsidR="0F057E96" w:rsidRDefault="0F057E96" w:rsidP="00834461">
      <w:pPr>
        <w:pStyle w:val="NormalIndent"/>
      </w:pPr>
      <w:r w:rsidRPr="580BCC84">
        <w:t>More</w:t>
      </w:r>
      <w:r w:rsidRPr="580BCC84" w:rsidDel="00A35D39">
        <w:t xml:space="preserve"> </w:t>
      </w:r>
      <w:r w:rsidR="00A35D39">
        <w:t>information</w:t>
      </w:r>
      <w:r w:rsidR="00A35D39" w:rsidRPr="580BCC84">
        <w:t xml:space="preserve"> </w:t>
      </w:r>
      <w:r w:rsidRPr="580BCC84">
        <w:t xml:space="preserve">on common approaches to market engagement </w:t>
      </w:r>
      <w:r w:rsidR="00A35D39">
        <w:t>is available</w:t>
      </w:r>
      <w:r w:rsidRPr="00605564">
        <w:t xml:space="preserve"> in </w:t>
      </w:r>
      <w:r w:rsidR="00B718D9">
        <w:t>S</w:t>
      </w:r>
      <w:r w:rsidR="00B718D9" w:rsidRPr="00605564">
        <w:t xml:space="preserve">ection </w:t>
      </w:r>
      <w:r w:rsidR="00605564" w:rsidRPr="00605564">
        <w:fldChar w:fldCharType="begin" w:fldLock="1"/>
      </w:r>
      <w:r w:rsidR="00605564" w:rsidRPr="00605564">
        <w:instrText xml:space="preserve"> REF _Ref144388261 \r \h </w:instrText>
      </w:r>
      <w:r w:rsidR="00605564">
        <w:instrText xml:space="preserve"> \* MERGEFORMAT </w:instrText>
      </w:r>
      <w:r w:rsidR="00605564" w:rsidRPr="00605564">
        <w:fldChar w:fldCharType="separate"/>
      </w:r>
      <w:r w:rsidR="003D4A19">
        <w:t>5.2</w:t>
      </w:r>
      <w:r w:rsidR="00605564" w:rsidRPr="00605564">
        <w:fldChar w:fldCharType="end"/>
      </w:r>
      <w:r w:rsidRPr="00605564">
        <w:t>.</w:t>
      </w:r>
    </w:p>
    <w:p w14:paraId="6F3B46F8" w14:textId="77777777" w:rsidR="00710A0D" w:rsidRPr="000B566F" w:rsidRDefault="00710A0D" w:rsidP="001D2615">
      <w:pPr>
        <w:pStyle w:val="Heading2numbered"/>
      </w:pPr>
      <w:bookmarkStart w:id="237" w:name="_Toc124245372"/>
      <w:bookmarkStart w:id="238" w:name="_Toc124245373"/>
      <w:bookmarkStart w:id="239" w:name="_Toc124245374"/>
      <w:bookmarkStart w:id="240" w:name="_Toc124245375"/>
      <w:bookmarkStart w:id="241" w:name="_Toc124245376"/>
      <w:bookmarkStart w:id="242" w:name="_Toc124245377"/>
      <w:bookmarkStart w:id="243" w:name="_Toc124245378"/>
      <w:bookmarkStart w:id="244" w:name="_Toc124245379"/>
      <w:bookmarkStart w:id="245" w:name="_Toc124245380"/>
      <w:bookmarkStart w:id="246" w:name="_Toc124245381"/>
      <w:bookmarkStart w:id="247" w:name="_Toc124245382"/>
      <w:bookmarkStart w:id="248" w:name="_Toc124245383"/>
      <w:bookmarkStart w:id="249" w:name="_Toc124245384"/>
      <w:bookmarkStart w:id="250" w:name="_Toc124245385"/>
      <w:bookmarkStart w:id="251" w:name="_Toc124245386"/>
      <w:bookmarkStart w:id="252" w:name="_Toc124245387"/>
      <w:bookmarkStart w:id="253" w:name="_Toc124245388"/>
      <w:bookmarkStart w:id="254" w:name="_Toc124245389"/>
      <w:bookmarkStart w:id="255" w:name="_Toc124245390"/>
      <w:bookmarkStart w:id="256" w:name="_Toc124245391"/>
      <w:bookmarkStart w:id="257" w:name="_Toc124245392"/>
      <w:bookmarkStart w:id="258" w:name="_Toc124245393"/>
      <w:bookmarkStart w:id="259" w:name="_Toc124245394"/>
      <w:bookmarkStart w:id="260" w:name="_Toc124245395"/>
      <w:bookmarkStart w:id="261" w:name="_Toc124245396"/>
      <w:bookmarkStart w:id="262" w:name="_Toc124245397"/>
      <w:bookmarkStart w:id="263" w:name="_Toc124245398"/>
      <w:bookmarkStart w:id="264" w:name="_Toc124245399"/>
      <w:bookmarkStart w:id="265" w:name="_Toc124245400"/>
      <w:bookmarkStart w:id="266" w:name="_Toc124245401"/>
      <w:bookmarkStart w:id="267" w:name="_Toc124245402"/>
      <w:bookmarkStart w:id="268" w:name="_Toc124245403"/>
      <w:bookmarkStart w:id="269" w:name="_Toc124245404"/>
      <w:bookmarkStart w:id="270" w:name="_Toc124245405"/>
      <w:bookmarkStart w:id="271" w:name="_Toc124245406"/>
      <w:bookmarkStart w:id="272" w:name="_Toc124245407"/>
      <w:bookmarkStart w:id="273" w:name="_Toc124245408"/>
      <w:bookmarkStart w:id="274" w:name="_Toc124245409"/>
      <w:bookmarkStart w:id="275" w:name="_Toc124245410"/>
      <w:bookmarkStart w:id="276" w:name="_Toc124245411"/>
      <w:bookmarkStart w:id="277" w:name="_Toc124245412"/>
      <w:bookmarkStart w:id="278" w:name="_Toc124245413"/>
      <w:bookmarkStart w:id="279" w:name="_Toc161321759"/>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580BCC84">
        <w:t>Step 3: Test procurement model fit and shortlist</w:t>
      </w:r>
      <w:bookmarkEnd w:id="278"/>
      <w:bookmarkEnd w:id="279"/>
    </w:p>
    <w:p w14:paraId="501E8EA1" w14:textId="34F91525" w:rsidR="00710A0D" w:rsidRPr="003E2795" w:rsidRDefault="00710A0D" w:rsidP="00834461">
      <w:pPr>
        <w:pStyle w:val="NormalIndent"/>
      </w:pPr>
      <w:r w:rsidRPr="003E2795">
        <w:t xml:space="preserve">The goal of shortlisting is to identify those procurement models best aligned with the project characteristics and </w:t>
      </w:r>
      <w:r w:rsidR="00A35D39">
        <w:t xml:space="preserve">to </w:t>
      </w:r>
      <w:r w:rsidRPr="003E2795">
        <w:t>eliminate those least likely to effectively manage risk and deliver value (quality and cost outcomes). If a multi</w:t>
      </w:r>
      <w:r>
        <w:t>package</w:t>
      </w:r>
      <w:r w:rsidRPr="003E2795">
        <w:t xml:space="preserve"> strategy</w:t>
      </w:r>
      <w:r w:rsidR="00540823">
        <w:t xml:space="preserve"> has been </w:t>
      </w:r>
      <w:r w:rsidR="00FD30D0">
        <w:t>selected (</w:t>
      </w:r>
      <w:r w:rsidR="00A13F0A">
        <w:t xml:space="preserve">in </w:t>
      </w:r>
      <w:r w:rsidR="00FD30D0">
        <w:t>Step 2)</w:t>
      </w:r>
      <w:r w:rsidRPr="003E2795">
        <w:t xml:space="preserve">, then shortlisting and detailed procurement analysis </w:t>
      </w:r>
      <w:r>
        <w:t>must</w:t>
      </w:r>
      <w:r w:rsidRPr="003E2795">
        <w:t xml:space="preserve"> be done for each package.</w:t>
      </w:r>
    </w:p>
    <w:p w14:paraId="3F529E1D" w14:textId="73700A77" w:rsidR="00B172BB" w:rsidRPr="00EF0204" w:rsidRDefault="00B172BB" w:rsidP="00834461">
      <w:pPr>
        <w:pStyle w:val="NormalIndent"/>
      </w:pPr>
      <w:r w:rsidRPr="00EF0204">
        <w:t>A particular model</w:t>
      </w:r>
      <w:r w:rsidR="00344D3F">
        <w:t>’</w:t>
      </w:r>
      <w:r w:rsidRPr="00EF0204">
        <w:t>s strategic fit must be informed by a comprehensive analysis of the project</w:t>
      </w:r>
      <w:r w:rsidR="00344D3F">
        <w:t>’</w:t>
      </w:r>
      <w:r w:rsidRPr="00EF0204">
        <w:t>s key characteristics and the delivery issues identified in Steps 1 and 2. This approach is necessary to avoid potential bias in evaluating procurement model fit. If project details are not fully known, shortlisting should be based on the best available information</w:t>
      </w:r>
      <w:r w:rsidR="00306844">
        <w:t>,</w:t>
      </w:r>
      <w:r w:rsidRPr="00EF0204">
        <w:t xml:space="preserve"> and practitioners should identify the information needed to make a definitive decision.</w:t>
      </w:r>
    </w:p>
    <w:p w14:paraId="5F88A064" w14:textId="280923FD" w:rsidR="00B172BB" w:rsidRDefault="00B172BB" w:rsidP="0033748E">
      <w:pPr>
        <w:pStyle w:val="Quote"/>
        <w:keepNext/>
        <w:rPr>
          <w:color w:val="232B39"/>
          <w:highlight w:val="yellow"/>
        </w:rPr>
      </w:pPr>
      <w:r w:rsidRPr="000B566F">
        <w:rPr>
          <w:b/>
          <w:bCs/>
        </w:rPr>
        <w:t>Decision point:</w:t>
      </w:r>
      <w:r w:rsidRPr="000B566F">
        <w:t xml:space="preserve"> Which procurement models are the most suitable for delivering the project in the most effective and efficient way</w:t>
      </w:r>
      <w:r>
        <w:t xml:space="preserve"> </w:t>
      </w:r>
      <w:r w:rsidR="00710A0D">
        <w:t xml:space="preserve">(given the </w:t>
      </w:r>
      <w:r w:rsidR="00814417">
        <w:t>project characteristics</w:t>
      </w:r>
      <w:r w:rsidR="00710A0D">
        <w:t xml:space="preserve"> and delivery </w:t>
      </w:r>
      <w:r w:rsidR="00710A0D" w:rsidDel="001561A1">
        <w:t>environment</w:t>
      </w:r>
      <w:r w:rsidR="00710A0D">
        <w:t>) and</w:t>
      </w:r>
      <w:r w:rsidR="00710A0D" w:rsidRPr="000B566F">
        <w:t xml:space="preserve"> </w:t>
      </w:r>
      <w:r w:rsidR="0004281C">
        <w:t xml:space="preserve">therefore </w:t>
      </w:r>
      <w:r w:rsidR="00710A0D" w:rsidRPr="000B566F">
        <w:t>should be shortlisted</w:t>
      </w:r>
      <w:r w:rsidRPr="000B566F">
        <w:t xml:space="preserve"> for further analysis</w:t>
      </w:r>
      <w:r>
        <w:t>?</w:t>
      </w:r>
    </w:p>
    <w:p w14:paraId="177DFEB6" w14:textId="3D98ECBB" w:rsidR="00710A0D" w:rsidRPr="002F1F79" w:rsidRDefault="00F3305C" w:rsidP="00171CF8">
      <w:pPr>
        <w:pStyle w:val="NormalIndent"/>
        <w:keepNext/>
        <w:rPr>
          <w:rFonts w:eastAsia="MS Mincho"/>
        </w:rPr>
      </w:pPr>
      <w:r>
        <w:rPr>
          <w:rFonts w:eastAsia="MS Mincho"/>
        </w:rPr>
        <w:t>Chapter</w:t>
      </w:r>
      <w:r w:rsidR="00710A0D" w:rsidRPr="00C326FA">
        <w:rPr>
          <w:rFonts w:eastAsia="MS Mincho"/>
        </w:rPr>
        <w:t xml:space="preserve"> </w:t>
      </w:r>
      <w:r w:rsidR="00C326FA" w:rsidRPr="00C326FA">
        <w:rPr>
          <w:rFonts w:eastAsia="MS Mincho"/>
        </w:rPr>
        <w:fldChar w:fldCharType="begin" w:fldLock="1"/>
      </w:r>
      <w:r w:rsidR="00C326FA" w:rsidRPr="00C326FA">
        <w:rPr>
          <w:rFonts w:eastAsia="MS Mincho"/>
        </w:rPr>
        <w:instrText xml:space="preserve"> REF _Ref144375619 \r \h </w:instrText>
      </w:r>
      <w:r w:rsidR="00C326FA">
        <w:rPr>
          <w:rFonts w:eastAsia="MS Mincho"/>
        </w:rPr>
        <w:instrText xml:space="preserve"> \* MERGEFORMAT </w:instrText>
      </w:r>
      <w:r w:rsidR="00C326FA" w:rsidRPr="00C326FA">
        <w:rPr>
          <w:rFonts w:eastAsia="MS Mincho"/>
        </w:rPr>
      </w:r>
      <w:r w:rsidR="00C326FA" w:rsidRPr="00C326FA">
        <w:rPr>
          <w:rFonts w:eastAsia="MS Mincho"/>
        </w:rPr>
        <w:fldChar w:fldCharType="separate"/>
      </w:r>
      <w:r w:rsidR="003D4A19">
        <w:rPr>
          <w:rFonts w:eastAsia="MS Mincho"/>
        </w:rPr>
        <w:t>4</w:t>
      </w:r>
      <w:r w:rsidR="00C326FA" w:rsidRPr="00C326FA">
        <w:rPr>
          <w:rFonts w:eastAsia="MS Mincho"/>
        </w:rPr>
        <w:fldChar w:fldCharType="end"/>
      </w:r>
      <w:r w:rsidR="00710A0D" w:rsidRPr="00C326FA">
        <w:rPr>
          <w:rFonts w:eastAsia="MS Mincho"/>
        </w:rPr>
        <w:t xml:space="preserve"> of th</w:t>
      </w:r>
      <w:r w:rsidR="00F14C68">
        <w:rPr>
          <w:rFonts w:eastAsia="MS Mincho"/>
        </w:rPr>
        <w:t>ese</w:t>
      </w:r>
      <w:r w:rsidR="00710A0D" w:rsidRPr="00C326FA">
        <w:rPr>
          <w:rFonts w:eastAsia="MS Mincho"/>
        </w:rPr>
        <w:t xml:space="preserve"> guide</w:t>
      </w:r>
      <w:r w:rsidR="00F14C68">
        <w:rPr>
          <w:rFonts w:eastAsia="MS Mincho"/>
        </w:rPr>
        <w:t>lines</w:t>
      </w:r>
      <w:r w:rsidR="00710A0D" w:rsidRPr="00C326FA">
        <w:rPr>
          <w:rFonts w:eastAsia="MS Mincho"/>
        </w:rPr>
        <w:t xml:space="preserve"> provides detailed descriptions of each procurement model set. </w:t>
      </w:r>
      <w:r w:rsidR="00926A06" w:rsidRPr="00C326FA">
        <w:rPr>
          <w:rFonts w:eastAsia="MS Mincho"/>
        </w:rPr>
        <w:fldChar w:fldCharType="begin" w:fldLock="1"/>
      </w:r>
      <w:r w:rsidR="00926A06" w:rsidRPr="00C326FA">
        <w:rPr>
          <w:rFonts w:eastAsia="MS Mincho"/>
        </w:rPr>
        <w:instrText xml:space="preserve"> REF _Ref144283023 \h </w:instrText>
      </w:r>
      <w:r w:rsidR="00C326FA">
        <w:rPr>
          <w:rFonts w:eastAsia="MS Mincho"/>
        </w:rPr>
        <w:instrText xml:space="preserve"> \* MERGEFORMAT </w:instrText>
      </w:r>
      <w:r w:rsidR="00926A06" w:rsidRPr="00C326FA">
        <w:rPr>
          <w:rFonts w:eastAsia="MS Mincho"/>
        </w:rPr>
      </w:r>
      <w:r w:rsidR="00926A06" w:rsidRPr="00C326FA">
        <w:rPr>
          <w:rFonts w:eastAsia="MS Mincho"/>
        </w:rPr>
        <w:fldChar w:fldCharType="separate"/>
      </w:r>
      <w:r w:rsidR="003D4A19">
        <w:t xml:space="preserve">Table </w:t>
      </w:r>
      <w:r w:rsidR="003D4A19">
        <w:rPr>
          <w:noProof/>
        </w:rPr>
        <w:t>8</w:t>
      </w:r>
      <w:r w:rsidR="00926A06" w:rsidRPr="00C326FA">
        <w:rPr>
          <w:rFonts w:eastAsia="MS Mincho"/>
        </w:rPr>
        <w:fldChar w:fldCharType="end"/>
      </w:r>
      <w:r w:rsidR="00926A06" w:rsidRPr="00C326FA">
        <w:rPr>
          <w:rFonts w:eastAsia="MS Mincho"/>
        </w:rPr>
        <w:t xml:space="preserve"> </w:t>
      </w:r>
      <w:r w:rsidR="00710A0D" w:rsidRPr="00C326FA">
        <w:rPr>
          <w:rFonts w:eastAsia="MS Mincho"/>
        </w:rPr>
        <w:t xml:space="preserve">also provides a high-level overview of </w:t>
      </w:r>
      <w:r w:rsidR="6D5F2F90" w:rsidRPr="00C326FA">
        <w:rPr>
          <w:rFonts w:eastAsia="MS Mincho"/>
        </w:rPr>
        <w:t>indicative</w:t>
      </w:r>
      <w:r w:rsidR="00710A0D" w:rsidRPr="00C326FA">
        <w:rPr>
          <w:rFonts w:eastAsia="MS Mincho"/>
        </w:rPr>
        <w:t xml:space="preserve"> procurement model fit against certain project characteristics</w:t>
      </w:r>
      <w:r w:rsidR="00710A0D" w:rsidRPr="00D13631">
        <w:rPr>
          <w:rFonts w:eastAsia="MS Mincho"/>
        </w:rPr>
        <w:t>.</w:t>
      </w:r>
    </w:p>
    <w:p w14:paraId="57A1528C" w14:textId="4953227A" w:rsidR="00B172BB" w:rsidRPr="00EF0204" w:rsidRDefault="00B172BB" w:rsidP="00834461">
      <w:pPr>
        <w:pStyle w:val="NormalIndent"/>
      </w:pPr>
      <w:r w:rsidRPr="00EF0204">
        <w:t>Shortlisting should be supported and validated where possible by</w:t>
      </w:r>
      <w:r w:rsidR="00A35D39">
        <w:t xml:space="preserve"> assessing successful precedents and conducting market engagement.</w:t>
      </w:r>
    </w:p>
    <w:p w14:paraId="62E8BB2B" w14:textId="18B3DA65" w:rsidR="00B172BB" w:rsidRDefault="00A35D39" w:rsidP="00834461">
      <w:pPr>
        <w:pStyle w:val="NormalIndent"/>
      </w:pPr>
      <w:r w:rsidRPr="005824FF">
        <w:t>Successful precedents may include</w:t>
      </w:r>
      <w:r w:rsidR="285B83F7" w:rsidRPr="00A35D39">
        <w:t xml:space="preserve"> projects</w:t>
      </w:r>
      <w:r w:rsidR="285B83F7" w:rsidRPr="5500A5F5">
        <w:t xml:space="preserve"> with similar objectives, characteristics and risk profiles (including projects delivered in other Australian jurisdictions). Any lessons learn</w:t>
      </w:r>
      <w:r w:rsidR="00AD7B39">
        <w:t>t</w:t>
      </w:r>
      <w:r w:rsidR="285B83F7" w:rsidRPr="5500A5F5">
        <w:t xml:space="preserve"> </w:t>
      </w:r>
      <w:r>
        <w:t xml:space="preserve">in these successful precedents </w:t>
      </w:r>
      <w:r w:rsidR="285B83F7" w:rsidRPr="5500A5F5">
        <w:t xml:space="preserve">should be documented and included in </w:t>
      </w:r>
      <w:r>
        <w:t>the</w:t>
      </w:r>
      <w:r w:rsidRPr="5500A5F5">
        <w:t xml:space="preserve"> </w:t>
      </w:r>
      <w:r w:rsidR="285B83F7" w:rsidRPr="5500A5F5">
        <w:t xml:space="preserve">evaluation. Precedent delivery </w:t>
      </w:r>
      <w:r w:rsidR="00F32B7E">
        <w:t xml:space="preserve">on its own </w:t>
      </w:r>
      <w:r w:rsidR="285B83F7" w:rsidRPr="5500A5F5">
        <w:t xml:space="preserve">is not </w:t>
      </w:r>
      <w:r w:rsidR="00F32B7E">
        <w:t>enough</w:t>
      </w:r>
      <w:r w:rsidR="285B83F7" w:rsidRPr="5500A5F5">
        <w:t xml:space="preserve"> to justify us</w:t>
      </w:r>
      <w:r w:rsidR="003172C0">
        <w:t>ing</w:t>
      </w:r>
      <w:r w:rsidR="285B83F7" w:rsidRPr="5500A5F5">
        <w:t xml:space="preserve"> a particular procurement model without further analysis</w:t>
      </w:r>
      <w:r w:rsidR="00A36824">
        <w:t>,</w:t>
      </w:r>
      <w:r w:rsidR="285B83F7" w:rsidRPr="5500A5F5">
        <w:t xml:space="preserve"> but </w:t>
      </w:r>
      <w:r w:rsidR="00A36824">
        <w:t xml:space="preserve">it </w:t>
      </w:r>
      <w:r w:rsidR="285B83F7" w:rsidRPr="5500A5F5">
        <w:t xml:space="preserve">may justify </w:t>
      </w:r>
      <w:r w:rsidR="009A6808">
        <w:t xml:space="preserve">its </w:t>
      </w:r>
      <w:r w:rsidR="285B83F7" w:rsidRPr="5500A5F5">
        <w:t xml:space="preserve">inclusion in </w:t>
      </w:r>
      <w:r w:rsidR="00A36824">
        <w:t>the</w:t>
      </w:r>
      <w:r w:rsidR="285B83F7" w:rsidRPr="5500A5F5">
        <w:t xml:space="preserve"> shortlist.</w:t>
      </w:r>
    </w:p>
    <w:p w14:paraId="1561598F" w14:textId="05D12C1F" w:rsidR="00710A0D" w:rsidRPr="002F1F79" w:rsidRDefault="00A35D39" w:rsidP="00834461">
      <w:pPr>
        <w:pStyle w:val="NormalIndent"/>
      </w:pPr>
      <w:r w:rsidRPr="00E326D0">
        <w:t>M</w:t>
      </w:r>
      <w:r w:rsidR="00710A0D" w:rsidRPr="00E326D0">
        <w:t>arket</w:t>
      </w:r>
      <w:r w:rsidR="00710A0D" w:rsidRPr="00A35D39">
        <w:t xml:space="preserve"> </w:t>
      </w:r>
      <w:r w:rsidR="00710A0D" w:rsidRPr="00E326D0">
        <w:t>engagement</w:t>
      </w:r>
      <w:r w:rsidR="00710A0D" w:rsidRPr="00A35D39">
        <w:t xml:space="preserve"> </w:t>
      </w:r>
      <w:r w:rsidRPr="00A35D39">
        <w:t>can</w:t>
      </w:r>
      <w:r>
        <w:t xml:space="preserve"> aid in understanding</w:t>
      </w:r>
      <w:r w:rsidR="00710A0D" w:rsidRPr="5500A5F5">
        <w:t xml:space="preserve"> current market risk appetite, capability and capacity. The outputs</w:t>
      </w:r>
      <w:r w:rsidR="00710A0D" w:rsidRPr="5500A5F5" w:rsidDel="00A35D39">
        <w:t xml:space="preserve"> </w:t>
      </w:r>
      <w:r>
        <w:t>from</w:t>
      </w:r>
      <w:r w:rsidRPr="5500A5F5">
        <w:t xml:space="preserve"> </w:t>
      </w:r>
      <w:r w:rsidR="00710A0D" w:rsidRPr="5500A5F5">
        <w:t>this engagement should be documented and used to update the shortlist as required (</w:t>
      </w:r>
      <w:r w:rsidR="00710A0D">
        <w:t>Step 3</w:t>
      </w:r>
      <w:r w:rsidR="00710A0D" w:rsidRPr="5500A5F5">
        <w:t xml:space="preserve">) or </w:t>
      </w:r>
      <w:r>
        <w:t xml:space="preserve">to </w:t>
      </w:r>
      <w:r w:rsidR="00710A0D" w:rsidRPr="5500A5F5">
        <w:t>inform the detailed procurement model analysis (Step 4).</w:t>
      </w:r>
    </w:p>
    <w:p w14:paraId="52B57CDE" w14:textId="44964F58" w:rsidR="00710A0D" w:rsidRPr="005C4307" w:rsidRDefault="00710A0D" w:rsidP="00834461">
      <w:pPr>
        <w:pStyle w:val="NormalIndent"/>
      </w:pPr>
      <w:r w:rsidRPr="005C4307">
        <w:t>Both shortlisting (Step 3) and detailed procurement options analysis</w:t>
      </w:r>
      <w:r w:rsidR="00111B39">
        <w:t xml:space="preserve"> (POA)</w:t>
      </w:r>
      <w:r w:rsidRPr="005C4307">
        <w:t xml:space="preserve"> (Step 4) should be undertaken collaboratively with a broad range of project team members and key stakeholders. </w:t>
      </w:r>
      <w:r w:rsidRPr="00EF0204">
        <w:t>Typically</w:t>
      </w:r>
      <w:r w:rsidRPr="005C4307">
        <w:t>, this would be done in a workshop setting.</w:t>
      </w:r>
    </w:p>
    <w:p w14:paraId="17843A26" w14:textId="4A52663D" w:rsidR="00710A0D" w:rsidRPr="005C4307" w:rsidRDefault="00710A0D" w:rsidP="00834461">
      <w:pPr>
        <w:pStyle w:val="NormalIndent"/>
      </w:pPr>
      <w:r w:rsidRPr="005C4307">
        <w:t>The outcomes of the shortlist development should be documented</w:t>
      </w:r>
      <w:r>
        <w:t>. Th</w:t>
      </w:r>
      <w:r w:rsidR="00C80D8E">
        <w:t>e</w:t>
      </w:r>
      <w:r>
        <w:t xml:space="preserve"> documentation will include</w:t>
      </w:r>
      <w:r w:rsidRPr="005C4307">
        <w:t xml:space="preserve"> responses and considerations to the shortlisting categories and the key reasons for including or excluding a given procurement model</w:t>
      </w:r>
      <w:r>
        <w:t xml:space="preserve">. </w:t>
      </w:r>
      <w:r w:rsidRPr="005C4307">
        <w:t xml:space="preserve">A shortlist of between </w:t>
      </w:r>
      <w:r>
        <w:t>three</w:t>
      </w:r>
      <w:r w:rsidRPr="005C4307">
        <w:t xml:space="preserve"> and </w:t>
      </w:r>
      <w:r>
        <w:t>five</w:t>
      </w:r>
      <w:r w:rsidRPr="005C4307">
        <w:t xml:space="preserve"> models should be taken forward for </w:t>
      </w:r>
      <w:r w:rsidRPr="00EF0204">
        <w:t>detailed</w:t>
      </w:r>
      <w:r w:rsidRPr="005C4307">
        <w:t xml:space="preserve"> analysis (Step 4).</w:t>
      </w:r>
    </w:p>
    <w:p w14:paraId="1A7B7C7F" w14:textId="24413CA0" w:rsidR="001A32BB" w:rsidRDefault="3F9B98B1" w:rsidP="00171CF8">
      <w:pPr>
        <w:pStyle w:val="Caption"/>
        <w:pageBreakBefore/>
      </w:pPr>
      <w:bookmarkStart w:id="280" w:name="_Ref144283023"/>
      <w:bookmarkStart w:id="281" w:name="_Toc145621356"/>
      <w:bookmarkStart w:id="282" w:name="_Toc146097250"/>
      <w:r>
        <w:t xml:space="preserve">Table </w:t>
      </w:r>
      <w:r>
        <w:fldChar w:fldCharType="begin"/>
      </w:r>
      <w:r>
        <w:instrText>SEQ Table \* ARABIC</w:instrText>
      </w:r>
      <w:r>
        <w:fldChar w:fldCharType="separate"/>
      </w:r>
      <w:r w:rsidR="008A4B3E">
        <w:rPr>
          <w:noProof/>
        </w:rPr>
        <w:t>8</w:t>
      </w:r>
      <w:r>
        <w:fldChar w:fldCharType="end"/>
      </w:r>
      <w:bookmarkEnd w:id="280"/>
      <w:r w:rsidR="00E958D5">
        <w:t xml:space="preserve"> –</w:t>
      </w:r>
      <w:r w:rsidRPr="00B64C7A">
        <w:t xml:space="preserve"> </w:t>
      </w:r>
      <w:r w:rsidR="2D4A4DCF" w:rsidRPr="00B64C7A">
        <w:t>Indicative</w:t>
      </w:r>
      <w:r w:rsidRPr="00B64C7A">
        <w:t xml:space="preserve"> procurement model alignment to </w:t>
      </w:r>
      <w:r w:rsidR="00130E3E">
        <w:t xml:space="preserve">the </w:t>
      </w:r>
      <w:r w:rsidRPr="00B64C7A">
        <w:t xml:space="preserve">project </w:t>
      </w:r>
      <w:r w:rsidR="007A34B0" w:rsidRPr="00B64C7A">
        <w:t>characteristic</w:t>
      </w:r>
      <w:r w:rsidR="007A34B0" w:rsidRPr="001A32BB">
        <w:t>s</w:t>
      </w:r>
      <w:r w:rsidR="001A32BB" w:rsidRPr="001A32BB">
        <w:rPr>
          <w:rStyle w:val="FootnoteReference"/>
        </w:rPr>
        <w:footnoteReference w:id="4"/>
      </w:r>
      <w:bookmarkEnd w:id="281"/>
      <w:bookmarkEnd w:id="282"/>
    </w:p>
    <w:tbl>
      <w:tblPr>
        <w:tblStyle w:val="DTFtexttable"/>
        <w:tblW w:w="9484" w:type="dxa"/>
        <w:tblLayout w:type="fixed"/>
        <w:tblCellMar>
          <w:left w:w="43" w:type="dxa"/>
          <w:right w:w="43" w:type="dxa"/>
        </w:tblCellMar>
        <w:tblLook w:val="04A0" w:firstRow="1" w:lastRow="0" w:firstColumn="1" w:lastColumn="0" w:noHBand="0" w:noVBand="1"/>
      </w:tblPr>
      <w:tblGrid>
        <w:gridCol w:w="2340"/>
        <w:gridCol w:w="851"/>
        <w:gridCol w:w="1276"/>
        <w:gridCol w:w="805"/>
        <w:gridCol w:w="854"/>
        <w:gridCol w:w="952"/>
        <w:gridCol w:w="686"/>
        <w:gridCol w:w="672"/>
        <w:gridCol w:w="1048"/>
      </w:tblGrid>
      <w:tr w:rsidR="00710A0D" w:rsidRPr="00971702" w14:paraId="1C3069BE" w14:textId="77777777" w:rsidTr="0030271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340" w:type="dxa"/>
            <w:shd w:val="clear" w:color="auto" w:fill="3A3467" w:themeFill="text2"/>
          </w:tcPr>
          <w:p w14:paraId="1F48326C" w14:textId="77777777" w:rsidR="00710A0D" w:rsidRPr="000B566F" w:rsidRDefault="00710A0D" w:rsidP="0030271D">
            <w:pPr>
              <w:pStyle w:val="Tableheader"/>
            </w:pPr>
            <w:r w:rsidRPr="00D13631">
              <w:t>Categories</w:t>
            </w:r>
          </w:p>
        </w:tc>
        <w:tc>
          <w:tcPr>
            <w:tcW w:w="2932" w:type="dxa"/>
            <w:gridSpan w:val="3"/>
            <w:shd w:val="clear" w:color="auto" w:fill="A6A0CF" w:themeFill="text2" w:themeFillTint="66"/>
          </w:tcPr>
          <w:p w14:paraId="2FC31DDF" w14:textId="77777777" w:rsidR="00710A0D" w:rsidRPr="006E16E6"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color w:val="auto"/>
              </w:rPr>
            </w:pPr>
            <w:r w:rsidRPr="006E16E6">
              <w:rPr>
                <w:color w:val="auto"/>
              </w:rPr>
              <w:t xml:space="preserve">Lump </w:t>
            </w:r>
            <w:r w:rsidRPr="006E16E6" w:rsidDel="00EF0134">
              <w:rPr>
                <w:color w:val="auto"/>
              </w:rPr>
              <w:t>sum</w:t>
            </w:r>
          </w:p>
        </w:tc>
        <w:tc>
          <w:tcPr>
            <w:tcW w:w="2492" w:type="dxa"/>
            <w:gridSpan w:val="3"/>
            <w:shd w:val="clear" w:color="auto" w:fill="7971B7" w:themeFill="text2" w:themeFillTint="99"/>
          </w:tcPr>
          <w:p w14:paraId="6B5DB62C" w14:textId="77777777" w:rsidR="00710A0D" w:rsidRPr="00971702"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sz w:val="15"/>
                <w:szCs w:val="15"/>
              </w:rPr>
            </w:pPr>
            <w:r w:rsidRPr="006E16E6">
              <w:rPr>
                <w:color w:val="auto"/>
              </w:rPr>
              <w:t xml:space="preserve">Cost reimbursable </w:t>
            </w:r>
          </w:p>
        </w:tc>
        <w:tc>
          <w:tcPr>
            <w:tcW w:w="1720" w:type="dxa"/>
            <w:gridSpan w:val="2"/>
            <w:shd w:val="clear" w:color="auto" w:fill="3A3467" w:themeFill="text2"/>
          </w:tcPr>
          <w:p w14:paraId="05229EBD" w14:textId="77777777" w:rsidR="00710A0D" w:rsidRPr="00971702"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sz w:val="15"/>
                <w:szCs w:val="15"/>
              </w:rPr>
            </w:pPr>
            <w:r w:rsidRPr="00D13631">
              <w:t>Whole</w:t>
            </w:r>
            <w:r>
              <w:t>-</w:t>
            </w:r>
            <w:r w:rsidRPr="00D13631">
              <w:t>of</w:t>
            </w:r>
            <w:r>
              <w:t>-</w:t>
            </w:r>
            <w:r w:rsidRPr="00D13631">
              <w:t>life</w:t>
            </w:r>
          </w:p>
        </w:tc>
      </w:tr>
      <w:tr w:rsidR="0064604D" w:rsidRPr="0060578D" w14:paraId="3681BDFF" w14:textId="77777777" w:rsidTr="0030271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340" w:type="dxa"/>
            <w:shd w:val="clear" w:color="auto" w:fill="87189D" w:themeFill="accent1"/>
          </w:tcPr>
          <w:p w14:paraId="08555087" w14:textId="77777777" w:rsidR="00710A0D" w:rsidRPr="0060578D" w:rsidRDefault="00710A0D" w:rsidP="0030271D">
            <w:pPr>
              <w:pStyle w:val="Tableheader"/>
              <w:rPr>
                <w:sz w:val="14"/>
                <w:szCs w:val="14"/>
              </w:rPr>
            </w:pPr>
            <w:r>
              <w:rPr>
                <w:sz w:val="14"/>
                <w:szCs w:val="14"/>
              </w:rPr>
              <w:t>Project characteristics</w:t>
            </w:r>
          </w:p>
        </w:tc>
        <w:tc>
          <w:tcPr>
            <w:tcW w:w="851" w:type="dxa"/>
            <w:shd w:val="clear" w:color="auto" w:fill="87189D" w:themeFill="accent1"/>
          </w:tcPr>
          <w:p w14:paraId="4BFF0EDA" w14:textId="77777777" w:rsidR="00710A0D" w:rsidRPr="0060578D"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sz w:val="14"/>
                <w:szCs w:val="14"/>
              </w:rPr>
            </w:pPr>
            <w:r w:rsidRPr="0060578D">
              <w:rPr>
                <w:sz w:val="14"/>
                <w:szCs w:val="14"/>
              </w:rPr>
              <w:t xml:space="preserve">Construct </w:t>
            </w:r>
            <w:r>
              <w:rPr>
                <w:sz w:val="14"/>
                <w:szCs w:val="14"/>
              </w:rPr>
              <w:t>o</w:t>
            </w:r>
            <w:r w:rsidRPr="0060578D">
              <w:rPr>
                <w:sz w:val="14"/>
                <w:szCs w:val="14"/>
              </w:rPr>
              <w:t>nly</w:t>
            </w:r>
          </w:p>
        </w:tc>
        <w:tc>
          <w:tcPr>
            <w:tcW w:w="1276" w:type="dxa"/>
            <w:shd w:val="clear" w:color="auto" w:fill="87189D" w:themeFill="accent1"/>
          </w:tcPr>
          <w:p w14:paraId="12E9A9CC" w14:textId="77777777" w:rsidR="00710A0D" w:rsidRPr="0060578D"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sz w:val="14"/>
                <w:szCs w:val="14"/>
              </w:rPr>
            </w:pPr>
            <w:r w:rsidRPr="0060578D">
              <w:rPr>
                <w:sz w:val="14"/>
                <w:szCs w:val="14"/>
              </w:rPr>
              <w:t xml:space="preserve">Design and </w:t>
            </w:r>
            <w:r>
              <w:rPr>
                <w:sz w:val="14"/>
                <w:szCs w:val="14"/>
              </w:rPr>
              <w:t>c</w:t>
            </w:r>
            <w:r w:rsidRPr="0060578D">
              <w:rPr>
                <w:sz w:val="14"/>
                <w:szCs w:val="14"/>
              </w:rPr>
              <w:t>onstruct</w:t>
            </w:r>
            <w:r>
              <w:rPr>
                <w:sz w:val="14"/>
                <w:szCs w:val="14"/>
              </w:rPr>
              <w:t xml:space="preserve"> (D&amp;C)</w:t>
            </w:r>
          </w:p>
        </w:tc>
        <w:tc>
          <w:tcPr>
            <w:tcW w:w="805" w:type="dxa"/>
            <w:shd w:val="clear" w:color="auto" w:fill="87189D" w:themeFill="accent1"/>
          </w:tcPr>
          <w:p w14:paraId="2923C077" w14:textId="77777777" w:rsidR="00710A0D" w:rsidRPr="0060578D"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sz w:val="14"/>
                <w:szCs w:val="14"/>
              </w:rPr>
            </w:pPr>
            <w:r w:rsidRPr="0060578D">
              <w:rPr>
                <w:sz w:val="14"/>
                <w:szCs w:val="14"/>
              </w:rPr>
              <w:t xml:space="preserve">Enhanced </w:t>
            </w:r>
            <w:r>
              <w:rPr>
                <w:sz w:val="14"/>
                <w:szCs w:val="14"/>
              </w:rPr>
              <w:t>D&amp;C</w:t>
            </w:r>
          </w:p>
        </w:tc>
        <w:tc>
          <w:tcPr>
            <w:tcW w:w="854" w:type="dxa"/>
            <w:shd w:val="clear" w:color="auto" w:fill="87189D" w:themeFill="accent1"/>
          </w:tcPr>
          <w:p w14:paraId="5B9B6866" w14:textId="77777777" w:rsidR="00710A0D" w:rsidRPr="0060578D"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sz w:val="14"/>
                <w:szCs w:val="14"/>
              </w:rPr>
            </w:pPr>
            <w:r w:rsidRPr="0060578D">
              <w:rPr>
                <w:sz w:val="14"/>
                <w:szCs w:val="14"/>
              </w:rPr>
              <w:t xml:space="preserve">Managing </w:t>
            </w:r>
            <w:r>
              <w:rPr>
                <w:sz w:val="14"/>
                <w:szCs w:val="14"/>
              </w:rPr>
              <w:t>c</w:t>
            </w:r>
            <w:r w:rsidRPr="0060578D">
              <w:rPr>
                <w:sz w:val="14"/>
                <w:szCs w:val="14"/>
              </w:rPr>
              <w:t>ontractor</w:t>
            </w:r>
          </w:p>
        </w:tc>
        <w:tc>
          <w:tcPr>
            <w:tcW w:w="952" w:type="dxa"/>
            <w:shd w:val="clear" w:color="auto" w:fill="87189D" w:themeFill="accent1"/>
          </w:tcPr>
          <w:p w14:paraId="740102B8" w14:textId="77777777" w:rsidR="00710A0D" w:rsidRPr="0060578D"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sz w:val="14"/>
                <w:szCs w:val="14"/>
              </w:rPr>
            </w:pPr>
            <w:r w:rsidRPr="0060578D">
              <w:rPr>
                <w:sz w:val="14"/>
                <w:szCs w:val="14"/>
              </w:rPr>
              <w:t xml:space="preserve">Incentivised </w:t>
            </w:r>
            <w:r>
              <w:rPr>
                <w:sz w:val="14"/>
                <w:szCs w:val="14"/>
              </w:rPr>
              <w:t>t</w:t>
            </w:r>
            <w:r w:rsidRPr="0060578D">
              <w:rPr>
                <w:sz w:val="14"/>
                <w:szCs w:val="14"/>
              </w:rPr>
              <w:t xml:space="preserve">arget </w:t>
            </w:r>
            <w:r>
              <w:rPr>
                <w:sz w:val="14"/>
                <w:szCs w:val="14"/>
              </w:rPr>
              <w:t>c</w:t>
            </w:r>
            <w:r w:rsidRPr="0060578D">
              <w:rPr>
                <w:sz w:val="14"/>
                <w:szCs w:val="14"/>
              </w:rPr>
              <w:t>ost</w:t>
            </w:r>
          </w:p>
        </w:tc>
        <w:tc>
          <w:tcPr>
            <w:tcW w:w="686" w:type="dxa"/>
            <w:shd w:val="clear" w:color="auto" w:fill="87189D" w:themeFill="accent1"/>
          </w:tcPr>
          <w:p w14:paraId="65D23BBC" w14:textId="77777777" w:rsidR="00710A0D" w:rsidRPr="0060578D"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sz w:val="14"/>
                <w:szCs w:val="14"/>
              </w:rPr>
            </w:pPr>
            <w:r w:rsidRPr="0060578D">
              <w:rPr>
                <w:sz w:val="14"/>
                <w:szCs w:val="14"/>
              </w:rPr>
              <w:t>Alliance</w:t>
            </w:r>
          </w:p>
        </w:tc>
        <w:tc>
          <w:tcPr>
            <w:tcW w:w="672" w:type="dxa"/>
            <w:shd w:val="clear" w:color="auto" w:fill="87189D" w:themeFill="accent1"/>
          </w:tcPr>
          <w:p w14:paraId="4D4A94E8" w14:textId="77777777" w:rsidR="00710A0D" w:rsidRPr="0060578D"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sz w:val="14"/>
                <w:szCs w:val="14"/>
              </w:rPr>
            </w:pPr>
            <w:r w:rsidRPr="0060578D">
              <w:rPr>
                <w:sz w:val="14"/>
                <w:szCs w:val="14"/>
              </w:rPr>
              <w:t>Bundled</w:t>
            </w:r>
          </w:p>
        </w:tc>
        <w:tc>
          <w:tcPr>
            <w:tcW w:w="1048" w:type="dxa"/>
            <w:shd w:val="clear" w:color="auto" w:fill="87189D" w:themeFill="accent1"/>
          </w:tcPr>
          <w:p w14:paraId="413F5A8E" w14:textId="77777777" w:rsidR="00710A0D" w:rsidRPr="0060578D" w:rsidRDefault="00710A0D" w:rsidP="00F7602B">
            <w:pPr>
              <w:pStyle w:val="Tableheader"/>
              <w:jc w:val="center"/>
              <w:cnfStyle w:val="100000000000" w:firstRow="1" w:lastRow="0" w:firstColumn="0" w:lastColumn="0" w:oddVBand="0" w:evenVBand="0" w:oddHBand="0" w:evenHBand="0" w:firstRowFirstColumn="0" w:firstRowLastColumn="0" w:lastRowFirstColumn="0" w:lastRowLastColumn="0"/>
              <w:rPr>
                <w:sz w:val="14"/>
                <w:szCs w:val="14"/>
              </w:rPr>
            </w:pPr>
            <w:r>
              <w:rPr>
                <w:sz w:val="14"/>
                <w:szCs w:val="14"/>
              </w:rPr>
              <w:t>Partnerships Victoria (</w:t>
            </w:r>
            <w:r w:rsidRPr="0060578D">
              <w:rPr>
                <w:sz w:val="14"/>
                <w:szCs w:val="14"/>
              </w:rPr>
              <w:t>PV</w:t>
            </w:r>
            <w:r>
              <w:rPr>
                <w:sz w:val="14"/>
                <w:szCs w:val="14"/>
              </w:rPr>
              <w:t>)</w:t>
            </w:r>
          </w:p>
        </w:tc>
      </w:tr>
      <w:tr w:rsidR="00710A0D" w:rsidRPr="001B4FEA" w14:paraId="127FB568" w14:textId="77777777" w:rsidTr="0030271D">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5AF7137A" w14:textId="77777777" w:rsidR="00710A0D" w:rsidRPr="006D1290" w:rsidRDefault="00710A0D" w:rsidP="00F7602B">
            <w:pPr>
              <w:spacing w:before="60" w:after="60"/>
              <w:rPr>
                <w:b/>
                <w:bCs/>
                <w:sz w:val="15"/>
                <w:szCs w:val="15"/>
              </w:rPr>
            </w:pPr>
            <w:r w:rsidRPr="006D1290">
              <w:rPr>
                <w:b/>
                <w:bCs/>
                <w:sz w:val="15"/>
                <w:szCs w:val="15"/>
              </w:rPr>
              <w:t>Scope and outputs</w:t>
            </w:r>
          </w:p>
        </w:tc>
        <w:tc>
          <w:tcPr>
            <w:tcW w:w="851" w:type="dxa"/>
            <w:vAlign w:val="center"/>
          </w:tcPr>
          <w:p w14:paraId="53B31FF0"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1276" w:type="dxa"/>
            <w:vAlign w:val="center"/>
          </w:tcPr>
          <w:p w14:paraId="19DD1441"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805" w:type="dxa"/>
            <w:vAlign w:val="center"/>
          </w:tcPr>
          <w:p w14:paraId="515EC1D3"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854" w:type="dxa"/>
            <w:vAlign w:val="center"/>
          </w:tcPr>
          <w:p w14:paraId="3B3EAF0B"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952" w:type="dxa"/>
            <w:vAlign w:val="center"/>
          </w:tcPr>
          <w:p w14:paraId="6ECE0858"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686" w:type="dxa"/>
            <w:vAlign w:val="center"/>
          </w:tcPr>
          <w:p w14:paraId="7122FF84"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672" w:type="dxa"/>
            <w:vAlign w:val="center"/>
          </w:tcPr>
          <w:p w14:paraId="66B16C5A"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1048" w:type="dxa"/>
            <w:vAlign w:val="center"/>
          </w:tcPr>
          <w:p w14:paraId="3F96AD36"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r>
      <w:tr w:rsidR="0064604D" w:rsidRPr="001B4FEA" w14:paraId="0C6A7142" w14:textId="77777777" w:rsidTr="003027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tcPr>
          <w:p w14:paraId="485F0084" w14:textId="77777777" w:rsidR="00710A0D" w:rsidRPr="0063007F" w:rsidRDefault="00710A0D" w:rsidP="00F7602B">
            <w:pPr>
              <w:spacing w:before="60" w:after="60"/>
              <w:rPr>
                <w:sz w:val="15"/>
                <w:szCs w:val="15"/>
              </w:rPr>
            </w:pPr>
            <w:r>
              <w:rPr>
                <w:sz w:val="15"/>
                <w:szCs w:val="15"/>
              </w:rPr>
              <w:t xml:space="preserve">Design or </w:t>
            </w:r>
            <w:r w:rsidRPr="0063007F">
              <w:rPr>
                <w:sz w:val="15"/>
                <w:szCs w:val="15"/>
              </w:rPr>
              <w:t>outputs can be clearly defined</w:t>
            </w:r>
            <w:r>
              <w:rPr>
                <w:sz w:val="15"/>
                <w:szCs w:val="15"/>
              </w:rPr>
              <w:t xml:space="preserve"> before tendering</w:t>
            </w:r>
          </w:p>
        </w:tc>
        <w:tc>
          <w:tcPr>
            <w:tcW w:w="851" w:type="dxa"/>
            <w:vAlign w:val="center"/>
          </w:tcPr>
          <w:p w14:paraId="7FA3A875" w14:textId="77777777" w:rsidR="00710A0D" w:rsidRPr="000B5F5F"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007B4B"/>
                <w:sz w:val="22"/>
                <w:szCs w:val="22"/>
              </w:rPr>
            </w:pPr>
            <w:r w:rsidRPr="000B5F5F">
              <w:rPr>
                <w:rFonts w:ascii="Wingdings" w:eastAsia="Wingdings" w:hAnsi="Wingdings" w:cs="Arial"/>
                <w:b/>
                <w:bCs/>
                <w:color w:val="007B4B"/>
                <w:sz w:val="22"/>
                <w:szCs w:val="22"/>
              </w:rPr>
              <w:t>ü</w:t>
            </w:r>
          </w:p>
        </w:tc>
        <w:tc>
          <w:tcPr>
            <w:tcW w:w="1276" w:type="dxa"/>
            <w:vAlign w:val="center"/>
          </w:tcPr>
          <w:p w14:paraId="44828EE8" w14:textId="77777777" w:rsidR="00710A0D" w:rsidRPr="000B5F5F"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007B4B"/>
                <w:sz w:val="22"/>
                <w:szCs w:val="22"/>
              </w:rPr>
            </w:pPr>
            <w:r w:rsidRPr="000B5F5F">
              <w:rPr>
                <w:rFonts w:ascii="Wingdings" w:eastAsia="Wingdings" w:hAnsi="Wingdings" w:cs="Arial"/>
                <w:b/>
                <w:bCs/>
                <w:color w:val="007B4B"/>
                <w:sz w:val="22"/>
                <w:szCs w:val="22"/>
              </w:rPr>
              <w:t>ü</w:t>
            </w:r>
          </w:p>
        </w:tc>
        <w:tc>
          <w:tcPr>
            <w:tcW w:w="805" w:type="dxa"/>
            <w:vAlign w:val="center"/>
          </w:tcPr>
          <w:p w14:paraId="5FB1449A"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Arial"/>
                <w:b/>
                <w:bCs/>
                <w:color w:val="FFC000"/>
                <w:sz w:val="22"/>
                <w:szCs w:val="22"/>
              </w:rPr>
            </w:pPr>
            <w:r w:rsidRPr="001434B3">
              <w:rPr>
                <w:rFonts w:ascii="Wingdings" w:eastAsia="Wingdings" w:hAnsi="Wingdings" w:cs="Arial"/>
                <w:b/>
                <w:bCs/>
                <w:color w:val="CC4B04"/>
                <w:sz w:val="22"/>
                <w:szCs w:val="22"/>
              </w:rPr>
              <w:t>ü</w:t>
            </w:r>
          </w:p>
        </w:tc>
        <w:tc>
          <w:tcPr>
            <w:tcW w:w="854" w:type="dxa"/>
            <w:vAlign w:val="center"/>
          </w:tcPr>
          <w:p w14:paraId="2EA1BE7C" w14:textId="4756860B" w:rsidR="00710A0D" w:rsidRPr="00C55E7E" w:rsidRDefault="55E85539" w:rsidP="4A435856">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Arial"/>
                <w:b/>
                <w:color w:val="656A6F" w:themeColor="accent4" w:themeShade="80"/>
                <w:sz w:val="22"/>
                <w:szCs w:val="22"/>
              </w:rPr>
            </w:pPr>
            <w:r w:rsidRPr="00C55E7E">
              <w:rPr>
                <w:rFonts w:ascii="Wingdings" w:eastAsia="Wingdings" w:hAnsi="Wingdings" w:cs="Arial" w:hint="cs"/>
                <w:b/>
                <w:color w:val="656A6F" w:themeColor="accent4" w:themeShade="80"/>
                <w:sz w:val="22"/>
                <w:szCs w:val="22"/>
              </w:rPr>
              <w:t>ü</w:t>
            </w:r>
          </w:p>
        </w:tc>
        <w:tc>
          <w:tcPr>
            <w:tcW w:w="952" w:type="dxa"/>
            <w:vAlign w:val="center"/>
          </w:tcPr>
          <w:p w14:paraId="0E155C2A" w14:textId="0E38A9C1" w:rsidR="00710A0D" w:rsidRPr="00C55E7E" w:rsidRDefault="55E85539" w:rsidP="4A435856">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Arial"/>
                <w:b/>
                <w:color w:val="656A6F" w:themeColor="accent4" w:themeShade="80"/>
                <w:sz w:val="22"/>
                <w:szCs w:val="22"/>
              </w:rPr>
            </w:pPr>
            <w:r w:rsidRPr="00C55E7E">
              <w:rPr>
                <w:rFonts w:ascii="Wingdings" w:eastAsia="Wingdings" w:hAnsi="Wingdings" w:cs="Arial" w:hint="cs"/>
                <w:b/>
                <w:color w:val="656A6F" w:themeColor="accent4" w:themeShade="80"/>
                <w:sz w:val="22"/>
                <w:szCs w:val="22"/>
              </w:rPr>
              <w:t>ü</w:t>
            </w:r>
          </w:p>
        </w:tc>
        <w:tc>
          <w:tcPr>
            <w:tcW w:w="686" w:type="dxa"/>
            <w:vAlign w:val="center"/>
          </w:tcPr>
          <w:p w14:paraId="647D64D0" w14:textId="2756AFEE" w:rsidR="00710A0D" w:rsidRPr="00C55E7E" w:rsidRDefault="55E85539" w:rsidP="4A435856">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Arial"/>
                <w:b/>
                <w:color w:val="656A6F" w:themeColor="accent4" w:themeShade="80"/>
                <w:sz w:val="22"/>
                <w:szCs w:val="22"/>
              </w:rPr>
            </w:pPr>
            <w:r w:rsidRPr="00C55E7E">
              <w:rPr>
                <w:rFonts w:ascii="Wingdings" w:eastAsia="Wingdings" w:hAnsi="Wingdings" w:cs="Arial" w:hint="cs"/>
                <w:b/>
                <w:color w:val="656A6F" w:themeColor="accent4" w:themeShade="80"/>
                <w:sz w:val="22"/>
                <w:szCs w:val="22"/>
              </w:rPr>
              <w:t>ü</w:t>
            </w:r>
          </w:p>
        </w:tc>
        <w:tc>
          <w:tcPr>
            <w:tcW w:w="672" w:type="dxa"/>
            <w:vAlign w:val="center"/>
          </w:tcPr>
          <w:p w14:paraId="39916A30" w14:textId="77777777" w:rsidR="00710A0D" w:rsidRPr="00161990"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007B4B"/>
                <w:sz w:val="22"/>
                <w:szCs w:val="22"/>
              </w:rPr>
            </w:pPr>
            <w:r w:rsidRPr="00161990">
              <w:rPr>
                <w:rFonts w:ascii="Wingdings" w:eastAsia="Wingdings" w:hAnsi="Wingdings" w:cs="Arial"/>
                <w:b/>
                <w:bCs/>
                <w:color w:val="007B4B"/>
                <w:sz w:val="22"/>
                <w:szCs w:val="22"/>
              </w:rPr>
              <w:t>ü</w:t>
            </w:r>
          </w:p>
        </w:tc>
        <w:tc>
          <w:tcPr>
            <w:tcW w:w="1048" w:type="dxa"/>
            <w:vAlign w:val="center"/>
          </w:tcPr>
          <w:p w14:paraId="1AA37920" w14:textId="77777777" w:rsidR="00710A0D" w:rsidRPr="00161990"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007B4B"/>
                <w:sz w:val="22"/>
                <w:szCs w:val="22"/>
              </w:rPr>
            </w:pPr>
            <w:r w:rsidRPr="00161990">
              <w:rPr>
                <w:rFonts w:ascii="Wingdings" w:eastAsia="Wingdings" w:hAnsi="Wingdings" w:cs="Arial"/>
                <w:b/>
                <w:bCs/>
                <w:color w:val="007B4B"/>
                <w:sz w:val="22"/>
                <w:szCs w:val="22"/>
              </w:rPr>
              <w:t>ü</w:t>
            </w:r>
          </w:p>
        </w:tc>
      </w:tr>
      <w:tr w:rsidR="00710A0D" w:rsidRPr="001B4FEA" w14:paraId="2C33ADCB" w14:textId="77777777" w:rsidTr="0030271D">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6A87A007" w14:textId="77777777" w:rsidR="00710A0D" w:rsidRPr="0063007F" w:rsidRDefault="00710A0D" w:rsidP="00F7602B">
            <w:pPr>
              <w:spacing w:before="60" w:after="60"/>
              <w:rPr>
                <w:sz w:val="15"/>
                <w:szCs w:val="15"/>
              </w:rPr>
            </w:pPr>
            <w:r w:rsidRPr="0063007F">
              <w:rPr>
                <w:sz w:val="15"/>
                <w:szCs w:val="15"/>
              </w:rPr>
              <w:t>The scope or solution is likely to change significantly before project completion</w:t>
            </w:r>
            <w:r>
              <w:rPr>
                <w:sz w:val="15"/>
                <w:szCs w:val="15"/>
              </w:rPr>
              <w:t xml:space="preserve"> </w:t>
            </w:r>
            <w:r w:rsidRPr="006518E4">
              <w:rPr>
                <w:sz w:val="15"/>
                <w:szCs w:val="15"/>
              </w:rPr>
              <w:t xml:space="preserve">due to uncertainty in </w:t>
            </w:r>
            <w:r>
              <w:rPr>
                <w:sz w:val="15"/>
                <w:szCs w:val="15"/>
              </w:rPr>
              <w:t>the</w:t>
            </w:r>
            <w:r w:rsidRPr="006518E4">
              <w:rPr>
                <w:sz w:val="15"/>
                <w:szCs w:val="15"/>
              </w:rPr>
              <w:t xml:space="preserve"> environment</w:t>
            </w:r>
            <w:r w:rsidRPr="2E598E95">
              <w:rPr>
                <w:sz w:val="15"/>
                <w:szCs w:val="15"/>
              </w:rPr>
              <w:t xml:space="preserve"> or ongoing input and collaboration from key stakeholders</w:t>
            </w:r>
          </w:p>
        </w:tc>
        <w:tc>
          <w:tcPr>
            <w:tcW w:w="851" w:type="dxa"/>
            <w:vAlign w:val="center"/>
          </w:tcPr>
          <w:p w14:paraId="70132F71" w14:textId="77777777" w:rsidR="00710A0D" w:rsidRPr="00C07C78" w:rsidRDefault="00710A0D" w:rsidP="00F7602B">
            <w:pPr>
              <w:spacing w:before="60" w:after="60"/>
              <w:jc w:val="center"/>
              <w:cnfStyle w:val="000000000000" w:firstRow="0" w:lastRow="0" w:firstColumn="0" w:lastColumn="0" w:oddVBand="0" w:evenVBand="0" w:oddHBand="0" w:evenHBand="0"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c>
          <w:tcPr>
            <w:tcW w:w="1276" w:type="dxa"/>
            <w:vAlign w:val="center"/>
          </w:tcPr>
          <w:p w14:paraId="2B0FE868" w14:textId="77777777" w:rsidR="00710A0D" w:rsidRPr="00C07C78" w:rsidRDefault="00710A0D" w:rsidP="00F7602B">
            <w:pPr>
              <w:spacing w:before="60" w:after="60"/>
              <w:jc w:val="center"/>
              <w:cnfStyle w:val="000000000000" w:firstRow="0" w:lastRow="0" w:firstColumn="0" w:lastColumn="0" w:oddVBand="0" w:evenVBand="0" w:oddHBand="0" w:evenHBand="0"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c>
          <w:tcPr>
            <w:tcW w:w="805" w:type="dxa"/>
            <w:vAlign w:val="center"/>
          </w:tcPr>
          <w:p w14:paraId="1C53960E" w14:textId="77777777" w:rsidR="00710A0D" w:rsidRPr="00C07C78" w:rsidRDefault="00710A0D" w:rsidP="00F7602B">
            <w:pPr>
              <w:spacing w:before="60" w:after="60"/>
              <w:jc w:val="center"/>
              <w:cnfStyle w:val="000000000000" w:firstRow="0" w:lastRow="0" w:firstColumn="0" w:lastColumn="0" w:oddVBand="0" w:evenVBand="0" w:oddHBand="0" w:evenHBand="0" w:firstRowFirstColumn="0" w:firstRowLastColumn="0" w:lastRowFirstColumn="0" w:lastRowLastColumn="0"/>
              <w:rPr>
                <w:rFonts w:eastAsia="Wingdings" w:cs="Arial"/>
                <w:b/>
                <w:bCs/>
                <w:color w:val="3C9553"/>
                <w:sz w:val="22"/>
                <w:szCs w:val="22"/>
              </w:rPr>
            </w:pPr>
            <w:r w:rsidRPr="001434B3">
              <w:rPr>
                <w:rFonts w:ascii="Wingdings" w:eastAsia="Wingdings" w:hAnsi="Wingdings" w:cs="Arial"/>
                <w:b/>
                <w:bCs/>
                <w:color w:val="CC4B04"/>
                <w:sz w:val="22"/>
                <w:szCs w:val="22"/>
              </w:rPr>
              <w:t>ü</w:t>
            </w:r>
          </w:p>
        </w:tc>
        <w:tc>
          <w:tcPr>
            <w:tcW w:w="854" w:type="dxa"/>
            <w:vAlign w:val="center"/>
          </w:tcPr>
          <w:p w14:paraId="4DB05A5F" w14:textId="77777777" w:rsidR="00710A0D" w:rsidRPr="00161990" w:rsidRDefault="00710A0D" w:rsidP="00F7602B">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eastAsia="Arial" w:hAnsi="Wingdings" w:cs="Arial"/>
                <w:b/>
                <w:bCs/>
                <w:color w:val="007B4B"/>
                <w:sz w:val="22"/>
                <w:szCs w:val="22"/>
              </w:rPr>
            </w:pPr>
            <w:r w:rsidRPr="00161990">
              <w:rPr>
                <w:rFonts w:ascii="Wingdings" w:eastAsia="Wingdings" w:hAnsi="Wingdings" w:cs="Arial"/>
                <w:b/>
                <w:bCs/>
                <w:color w:val="007B4B"/>
                <w:sz w:val="22"/>
                <w:szCs w:val="22"/>
              </w:rPr>
              <w:t>ü</w:t>
            </w:r>
          </w:p>
        </w:tc>
        <w:tc>
          <w:tcPr>
            <w:tcW w:w="952" w:type="dxa"/>
            <w:vAlign w:val="center"/>
          </w:tcPr>
          <w:p w14:paraId="0187CCB3" w14:textId="77777777" w:rsidR="00710A0D" w:rsidRPr="00161990" w:rsidRDefault="00710A0D" w:rsidP="00F7602B">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eastAsia="Arial" w:hAnsi="Wingdings" w:cs="Arial"/>
                <w:b/>
                <w:bCs/>
                <w:color w:val="007B4B"/>
                <w:sz w:val="22"/>
                <w:szCs w:val="22"/>
              </w:rPr>
            </w:pPr>
            <w:r w:rsidRPr="00161990">
              <w:rPr>
                <w:rFonts w:ascii="Wingdings" w:eastAsia="Wingdings" w:hAnsi="Wingdings" w:cs="Arial"/>
                <w:b/>
                <w:bCs/>
                <w:color w:val="007B4B"/>
                <w:sz w:val="22"/>
                <w:szCs w:val="22"/>
              </w:rPr>
              <w:t>ü</w:t>
            </w:r>
          </w:p>
        </w:tc>
        <w:tc>
          <w:tcPr>
            <w:tcW w:w="686" w:type="dxa"/>
            <w:vAlign w:val="center"/>
          </w:tcPr>
          <w:p w14:paraId="51C4AEDE" w14:textId="77777777" w:rsidR="00710A0D" w:rsidRPr="00161990" w:rsidRDefault="00710A0D" w:rsidP="00F7602B">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eastAsia="Arial" w:hAnsi="Wingdings" w:cs="Arial"/>
                <w:b/>
                <w:bCs/>
                <w:color w:val="007B4B"/>
                <w:sz w:val="22"/>
                <w:szCs w:val="22"/>
              </w:rPr>
            </w:pPr>
            <w:r w:rsidRPr="00161990">
              <w:rPr>
                <w:rFonts w:ascii="Wingdings" w:eastAsia="Wingdings" w:hAnsi="Wingdings" w:cs="Arial"/>
                <w:b/>
                <w:bCs/>
                <w:color w:val="007B4B"/>
                <w:sz w:val="22"/>
                <w:szCs w:val="22"/>
              </w:rPr>
              <w:t>ü</w:t>
            </w:r>
          </w:p>
        </w:tc>
        <w:tc>
          <w:tcPr>
            <w:tcW w:w="672" w:type="dxa"/>
            <w:vAlign w:val="center"/>
          </w:tcPr>
          <w:p w14:paraId="01754B34" w14:textId="77777777" w:rsidR="00710A0D" w:rsidRPr="00C07C78" w:rsidRDefault="00710A0D" w:rsidP="00F7602B">
            <w:pPr>
              <w:spacing w:before="60" w:after="60"/>
              <w:jc w:val="center"/>
              <w:cnfStyle w:val="000000000000" w:firstRow="0" w:lastRow="0" w:firstColumn="0" w:lastColumn="0" w:oddVBand="0" w:evenVBand="0" w:oddHBand="0" w:evenHBand="0"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c>
          <w:tcPr>
            <w:tcW w:w="1048" w:type="dxa"/>
            <w:vAlign w:val="center"/>
          </w:tcPr>
          <w:p w14:paraId="0BD2AC96" w14:textId="77777777" w:rsidR="00710A0D" w:rsidRPr="00C07C78" w:rsidRDefault="00710A0D" w:rsidP="00F7602B">
            <w:pPr>
              <w:spacing w:before="60" w:after="60"/>
              <w:jc w:val="center"/>
              <w:cnfStyle w:val="000000000000" w:firstRow="0" w:lastRow="0" w:firstColumn="0" w:lastColumn="0" w:oddVBand="0" w:evenVBand="0" w:oddHBand="0" w:evenHBand="0"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r>
      <w:tr w:rsidR="0064604D" w:rsidRPr="001B4FEA" w14:paraId="65686961" w14:textId="77777777" w:rsidTr="003027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tcPr>
          <w:p w14:paraId="559F05AC" w14:textId="7E963486" w:rsidR="00710A0D" w:rsidRPr="0063007F" w:rsidRDefault="00710A0D" w:rsidP="00F7602B">
            <w:pPr>
              <w:spacing w:before="60" w:after="60"/>
              <w:rPr>
                <w:sz w:val="15"/>
                <w:szCs w:val="15"/>
              </w:rPr>
            </w:pPr>
            <w:r w:rsidRPr="701FF408">
              <w:rPr>
                <w:sz w:val="15"/>
                <w:szCs w:val="15"/>
              </w:rPr>
              <w:t>The client needs</w:t>
            </w:r>
            <w:r w:rsidR="00A35D39" w:rsidRPr="701FF408">
              <w:rPr>
                <w:sz w:val="15"/>
                <w:szCs w:val="15"/>
              </w:rPr>
              <w:t xml:space="preserve"> (</w:t>
            </w:r>
            <w:r w:rsidRPr="701FF408">
              <w:rPr>
                <w:sz w:val="15"/>
                <w:szCs w:val="15"/>
              </w:rPr>
              <w:t>and has the capability and capacity</w:t>
            </w:r>
            <w:r w:rsidR="00A35D39" w:rsidRPr="701FF408">
              <w:rPr>
                <w:sz w:val="15"/>
                <w:szCs w:val="15"/>
              </w:rPr>
              <w:t>)</w:t>
            </w:r>
            <w:r w:rsidRPr="701FF408">
              <w:rPr>
                <w:sz w:val="15"/>
                <w:szCs w:val="15"/>
              </w:rPr>
              <w:t xml:space="preserve"> to actively take part in design and/or delivery</w:t>
            </w:r>
          </w:p>
        </w:tc>
        <w:tc>
          <w:tcPr>
            <w:tcW w:w="851" w:type="dxa"/>
            <w:vAlign w:val="center"/>
          </w:tcPr>
          <w:p w14:paraId="50A96D2A"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eastAsia="Arial" w:cs="Arial"/>
                <w:b/>
                <w:bCs/>
                <w:color w:val="232B39"/>
                <w:sz w:val="22"/>
                <w:szCs w:val="22"/>
              </w:rPr>
            </w:pPr>
            <w:r w:rsidRPr="000B5F5F">
              <w:rPr>
                <w:rFonts w:ascii="Wingdings" w:eastAsia="Wingdings" w:hAnsi="Wingdings" w:cs="Arial"/>
                <w:b/>
                <w:bCs/>
                <w:color w:val="007B4B"/>
                <w:sz w:val="22"/>
                <w:szCs w:val="22"/>
              </w:rPr>
              <w:t>ü</w:t>
            </w:r>
          </w:p>
        </w:tc>
        <w:tc>
          <w:tcPr>
            <w:tcW w:w="1276" w:type="dxa"/>
            <w:vAlign w:val="center"/>
          </w:tcPr>
          <w:p w14:paraId="0ECDC5F8"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c>
          <w:tcPr>
            <w:tcW w:w="805" w:type="dxa"/>
            <w:vAlign w:val="center"/>
          </w:tcPr>
          <w:p w14:paraId="0730692E"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eastAsia="Wingdings" w:cs="Arial"/>
                <w:b/>
                <w:bCs/>
                <w:color w:val="3C9553"/>
                <w:sz w:val="22"/>
                <w:szCs w:val="22"/>
              </w:rPr>
            </w:pPr>
            <w:r w:rsidRPr="00C07C78">
              <w:rPr>
                <w:rFonts w:eastAsia="Arial" w:cs="Arial"/>
                <w:b/>
                <w:bCs/>
                <w:color w:val="232B39"/>
                <w:sz w:val="22"/>
                <w:szCs w:val="22"/>
              </w:rPr>
              <w:t>–</w:t>
            </w:r>
          </w:p>
        </w:tc>
        <w:tc>
          <w:tcPr>
            <w:tcW w:w="854" w:type="dxa"/>
            <w:vAlign w:val="center"/>
          </w:tcPr>
          <w:p w14:paraId="673FB205" w14:textId="77777777" w:rsidR="00710A0D" w:rsidRPr="00161990"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Arial"/>
                <w:b/>
                <w:bCs/>
                <w:color w:val="007B4B"/>
                <w:sz w:val="22"/>
                <w:szCs w:val="22"/>
              </w:rPr>
            </w:pPr>
            <w:r w:rsidRPr="00161990">
              <w:rPr>
                <w:rFonts w:ascii="Wingdings" w:eastAsia="Wingdings" w:hAnsi="Wingdings" w:cs="Arial"/>
                <w:b/>
                <w:bCs/>
                <w:color w:val="007B4B"/>
                <w:sz w:val="22"/>
                <w:szCs w:val="22"/>
              </w:rPr>
              <w:t>ü</w:t>
            </w:r>
          </w:p>
        </w:tc>
        <w:tc>
          <w:tcPr>
            <w:tcW w:w="952" w:type="dxa"/>
            <w:vAlign w:val="center"/>
          </w:tcPr>
          <w:p w14:paraId="119D5F62" w14:textId="598935F1" w:rsidR="00710A0D" w:rsidRPr="00161990"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Arial"/>
                <w:b/>
                <w:bCs/>
                <w:color w:val="007B4B"/>
                <w:sz w:val="22"/>
                <w:szCs w:val="22"/>
              </w:rPr>
            </w:pPr>
            <w:r w:rsidRPr="00161990">
              <w:rPr>
                <w:rFonts w:ascii="Wingdings" w:eastAsia="Wingdings" w:hAnsi="Wingdings" w:cs="Arial"/>
                <w:b/>
                <w:bCs/>
                <w:color w:val="007B4B"/>
                <w:sz w:val="22"/>
                <w:szCs w:val="22"/>
              </w:rPr>
              <w:t>ü</w:t>
            </w:r>
          </w:p>
        </w:tc>
        <w:tc>
          <w:tcPr>
            <w:tcW w:w="686" w:type="dxa"/>
            <w:vAlign w:val="center"/>
          </w:tcPr>
          <w:p w14:paraId="5D60E5DA" w14:textId="77777777" w:rsidR="00710A0D" w:rsidRPr="00161990"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Arial"/>
                <w:b/>
                <w:bCs/>
                <w:color w:val="007B4B"/>
                <w:sz w:val="22"/>
                <w:szCs w:val="22"/>
              </w:rPr>
            </w:pPr>
            <w:r w:rsidRPr="00161990">
              <w:rPr>
                <w:rFonts w:ascii="Wingdings" w:eastAsia="Wingdings" w:hAnsi="Wingdings" w:cs="Arial"/>
                <w:b/>
                <w:bCs/>
                <w:color w:val="007B4B"/>
                <w:sz w:val="22"/>
                <w:szCs w:val="22"/>
              </w:rPr>
              <w:t>ü</w:t>
            </w:r>
          </w:p>
        </w:tc>
        <w:tc>
          <w:tcPr>
            <w:tcW w:w="672" w:type="dxa"/>
            <w:vAlign w:val="center"/>
          </w:tcPr>
          <w:p w14:paraId="695EBF53"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c>
          <w:tcPr>
            <w:tcW w:w="1048" w:type="dxa"/>
            <w:vAlign w:val="center"/>
          </w:tcPr>
          <w:p w14:paraId="72DEB8E7"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r>
      <w:tr w:rsidR="00710A0D" w:rsidRPr="001B4FEA" w14:paraId="149261CC" w14:textId="77777777" w:rsidTr="0030271D">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719FAAFE" w14:textId="77777777" w:rsidR="00710A0D" w:rsidRPr="006D1290" w:rsidRDefault="00710A0D" w:rsidP="00F7602B">
            <w:pPr>
              <w:spacing w:before="60" w:after="60"/>
              <w:rPr>
                <w:b/>
                <w:bCs/>
                <w:sz w:val="15"/>
                <w:szCs w:val="15"/>
              </w:rPr>
            </w:pPr>
            <w:r w:rsidRPr="006D1290">
              <w:rPr>
                <w:b/>
                <w:bCs/>
                <w:sz w:val="15"/>
                <w:szCs w:val="15"/>
              </w:rPr>
              <w:t>Whole-of-life</w:t>
            </w:r>
            <w:r w:rsidRPr="006D1290" w:rsidDel="002B27F0">
              <w:rPr>
                <w:b/>
                <w:bCs/>
                <w:sz w:val="15"/>
                <w:szCs w:val="15"/>
              </w:rPr>
              <w:t xml:space="preserve"> </w:t>
            </w:r>
            <w:r w:rsidRPr="006D1290">
              <w:rPr>
                <w:b/>
                <w:bCs/>
                <w:sz w:val="15"/>
                <w:szCs w:val="15"/>
              </w:rPr>
              <w:t>opportunities</w:t>
            </w:r>
          </w:p>
        </w:tc>
        <w:tc>
          <w:tcPr>
            <w:tcW w:w="851" w:type="dxa"/>
            <w:vAlign w:val="center"/>
          </w:tcPr>
          <w:p w14:paraId="156FBCAD"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1276" w:type="dxa"/>
            <w:vAlign w:val="center"/>
          </w:tcPr>
          <w:p w14:paraId="7AA5E99F"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805" w:type="dxa"/>
            <w:vAlign w:val="center"/>
          </w:tcPr>
          <w:p w14:paraId="4A00827B"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854" w:type="dxa"/>
            <w:vAlign w:val="center"/>
          </w:tcPr>
          <w:p w14:paraId="109A7D22"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952" w:type="dxa"/>
            <w:vAlign w:val="center"/>
          </w:tcPr>
          <w:p w14:paraId="11BF29AB"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686" w:type="dxa"/>
            <w:vAlign w:val="center"/>
          </w:tcPr>
          <w:p w14:paraId="6DAE2DF4"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672" w:type="dxa"/>
            <w:vAlign w:val="center"/>
          </w:tcPr>
          <w:p w14:paraId="4E25E99E"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c>
          <w:tcPr>
            <w:tcW w:w="1048" w:type="dxa"/>
            <w:vAlign w:val="center"/>
          </w:tcPr>
          <w:p w14:paraId="1F803588"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b/>
                <w:sz w:val="15"/>
                <w:szCs w:val="15"/>
              </w:rPr>
            </w:pPr>
          </w:p>
        </w:tc>
      </w:tr>
      <w:tr w:rsidR="0064604D" w:rsidRPr="001B4FEA" w14:paraId="26C6921A" w14:textId="77777777" w:rsidTr="003027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tcPr>
          <w:p w14:paraId="4EBE9C36" w14:textId="77777777" w:rsidR="00710A0D" w:rsidRPr="0063007F" w:rsidRDefault="00710A0D" w:rsidP="00F7602B">
            <w:pPr>
              <w:spacing w:before="60" w:after="60"/>
              <w:rPr>
                <w:sz w:val="15"/>
                <w:szCs w:val="15"/>
              </w:rPr>
            </w:pPr>
            <w:r w:rsidRPr="00784705">
              <w:rPr>
                <w:sz w:val="15"/>
                <w:szCs w:val="15"/>
              </w:rPr>
              <w:t xml:space="preserve">There are significant maintenance, operations or service </w:t>
            </w:r>
            <w:r>
              <w:rPr>
                <w:sz w:val="15"/>
                <w:szCs w:val="15"/>
              </w:rPr>
              <w:t>activities</w:t>
            </w:r>
            <w:r w:rsidRPr="00784705">
              <w:rPr>
                <w:sz w:val="15"/>
                <w:szCs w:val="15"/>
              </w:rPr>
              <w:t xml:space="preserve"> that are suited to long-term private sector delivery</w:t>
            </w:r>
          </w:p>
        </w:tc>
        <w:tc>
          <w:tcPr>
            <w:tcW w:w="851" w:type="dxa"/>
            <w:vAlign w:val="center"/>
          </w:tcPr>
          <w:p w14:paraId="017B99F0"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c>
          <w:tcPr>
            <w:tcW w:w="1276" w:type="dxa"/>
            <w:vAlign w:val="center"/>
          </w:tcPr>
          <w:p w14:paraId="7DCD4940"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c>
          <w:tcPr>
            <w:tcW w:w="805" w:type="dxa"/>
            <w:vAlign w:val="center"/>
          </w:tcPr>
          <w:p w14:paraId="47801DE1"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c>
          <w:tcPr>
            <w:tcW w:w="854" w:type="dxa"/>
            <w:vAlign w:val="center"/>
          </w:tcPr>
          <w:p w14:paraId="190708E6"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c>
          <w:tcPr>
            <w:tcW w:w="952" w:type="dxa"/>
            <w:vAlign w:val="center"/>
          </w:tcPr>
          <w:p w14:paraId="3DED0FF5"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eastAsia="Arial" w:cs="Arial"/>
                <w:b/>
                <w:bCs/>
                <w:color w:val="232B39"/>
                <w:sz w:val="22"/>
                <w:szCs w:val="22"/>
              </w:rPr>
            </w:pPr>
            <w:r w:rsidRPr="00C07C78">
              <w:rPr>
                <w:rFonts w:eastAsia="Arial" w:cs="Arial"/>
                <w:b/>
                <w:bCs/>
                <w:color w:val="232B39"/>
                <w:sz w:val="22"/>
                <w:szCs w:val="22"/>
              </w:rPr>
              <w:t>–</w:t>
            </w:r>
          </w:p>
        </w:tc>
        <w:tc>
          <w:tcPr>
            <w:tcW w:w="686" w:type="dxa"/>
            <w:vAlign w:val="center"/>
          </w:tcPr>
          <w:p w14:paraId="4A8A10E1"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eastAsia="Arial" w:cs="Times New Roman"/>
                <w:b/>
                <w:bCs/>
                <w:color w:val="232B39"/>
                <w:sz w:val="22"/>
                <w:szCs w:val="22"/>
              </w:rPr>
            </w:pPr>
            <w:r w:rsidRPr="00C07C78">
              <w:rPr>
                <w:rFonts w:eastAsia="Arial" w:cs="Arial"/>
                <w:b/>
                <w:bCs/>
                <w:color w:val="232B39"/>
                <w:sz w:val="22"/>
                <w:szCs w:val="22"/>
              </w:rPr>
              <w:t>–</w:t>
            </w:r>
          </w:p>
        </w:tc>
        <w:tc>
          <w:tcPr>
            <w:tcW w:w="672" w:type="dxa"/>
            <w:vAlign w:val="center"/>
          </w:tcPr>
          <w:p w14:paraId="2DB670A4" w14:textId="77777777" w:rsidR="00710A0D" w:rsidRPr="00161990"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007B4B"/>
                <w:sz w:val="22"/>
                <w:szCs w:val="22"/>
              </w:rPr>
            </w:pPr>
            <w:r w:rsidRPr="00161990">
              <w:rPr>
                <w:rFonts w:ascii="Wingdings" w:eastAsia="Wingdings" w:hAnsi="Wingdings" w:cs="Arial"/>
                <w:b/>
                <w:bCs/>
                <w:color w:val="007B4B"/>
                <w:sz w:val="22"/>
                <w:szCs w:val="22"/>
              </w:rPr>
              <w:t>ü</w:t>
            </w:r>
          </w:p>
        </w:tc>
        <w:tc>
          <w:tcPr>
            <w:tcW w:w="1048" w:type="dxa"/>
            <w:vAlign w:val="center"/>
          </w:tcPr>
          <w:p w14:paraId="4B0C0271" w14:textId="77777777" w:rsidR="00710A0D" w:rsidRPr="00161990"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007B4B"/>
                <w:sz w:val="22"/>
                <w:szCs w:val="22"/>
              </w:rPr>
            </w:pPr>
            <w:r w:rsidRPr="00161990">
              <w:rPr>
                <w:rFonts w:ascii="Wingdings" w:eastAsia="Wingdings" w:hAnsi="Wingdings" w:cs="Arial"/>
                <w:b/>
                <w:bCs/>
                <w:color w:val="007B4B"/>
                <w:sz w:val="22"/>
                <w:szCs w:val="22"/>
              </w:rPr>
              <w:t>ü</w:t>
            </w:r>
          </w:p>
        </w:tc>
      </w:tr>
      <w:tr w:rsidR="0064604D" w:rsidRPr="001B4FEA" w14:paraId="7B64FA98" w14:textId="77777777" w:rsidTr="0030271D">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2ADFBC40" w14:textId="77777777" w:rsidR="00710A0D" w:rsidRPr="00FB4396" w:rsidRDefault="00710A0D" w:rsidP="00F7602B">
            <w:pPr>
              <w:spacing w:before="60" w:after="60"/>
              <w:rPr>
                <w:rFonts w:asciiTheme="majorHAnsi" w:hAnsiTheme="majorHAnsi"/>
                <w:b/>
                <w:sz w:val="15"/>
                <w:szCs w:val="15"/>
              </w:rPr>
            </w:pPr>
            <w:r w:rsidRPr="0064604D">
              <w:rPr>
                <w:b/>
                <w:bCs/>
                <w:sz w:val="15"/>
                <w:szCs w:val="15"/>
              </w:rPr>
              <w:t>Risks</w:t>
            </w:r>
          </w:p>
        </w:tc>
        <w:tc>
          <w:tcPr>
            <w:tcW w:w="851" w:type="dxa"/>
            <w:shd w:val="clear" w:color="auto" w:fill="F2F2F2" w:themeFill="background1" w:themeFillShade="F2"/>
            <w:vAlign w:val="center"/>
          </w:tcPr>
          <w:p w14:paraId="64459DB1"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b/>
                <w:sz w:val="15"/>
                <w:szCs w:val="15"/>
              </w:rPr>
            </w:pPr>
          </w:p>
        </w:tc>
        <w:tc>
          <w:tcPr>
            <w:tcW w:w="1276" w:type="dxa"/>
            <w:shd w:val="clear" w:color="auto" w:fill="F2F2F2" w:themeFill="background1" w:themeFillShade="F2"/>
            <w:vAlign w:val="center"/>
          </w:tcPr>
          <w:p w14:paraId="5DBF8337"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b/>
                <w:sz w:val="15"/>
                <w:szCs w:val="15"/>
              </w:rPr>
            </w:pPr>
          </w:p>
        </w:tc>
        <w:tc>
          <w:tcPr>
            <w:tcW w:w="805" w:type="dxa"/>
            <w:shd w:val="clear" w:color="auto" w:fill="F2F2F2" w:themeFill="background1" w:themeFillShade="F2"/>
            <w:vAlign w:val="center"/>
          </w:tcPr>
          <w:p w14:paraId="1719AEBF"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b/>
                <w:sz w:val="15"/>
                <w:szCs w:val="15"/>
              </w:rPr>
            </w:pPr>
          </w:p>
        </w:tc>
        <w:tc>
          <w:tcPr>
            <w:tcW w:w="854" w:type="dxa"/>
            <w:shd w:val="clear" w:color="auto" w:fill="F2F2F2" w:themeFill="background1" w:themeFillShade="F2"/>
            <w:vAlign w:val="center"/>
          </w:tcPr>
          <w:p w14:paraId="4F51A017"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b/>
                <w:sz w:val="15"/>
                <w:szCs w:val="15"/>
              </w:rPr>
            </w:pPr>
          </w:p>
        </w:tc>
        <w:tc>
          <w:tcPr>
            <w:tcW w:w="952" w:type="dxa"/>
            <w:shd w:val="clear" w:color="auto" w:fill="F2F2F2" w:themeFill="background1" w:themeFillShade="F2"/>
            <w:vAlign w:val="center"/>
          </w:tcPr>
          <w:p w14:paraId="09776FDF"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b/>
                <w:sz w:val="15"/>
                <w:szCs w:val="15"/>
              </w:rPr>
            </w:pPr>
          </w:p>
        </w:tc>
        <w:tc>
          <w:tcPr>
            <w:tcW w:w="686" w:type="dxa"/>
            <w:shd w:val="clear" w:color="auto" w:fill="F2F2F2" w:themeFill="background1" w:themeFillShade="F2"/>
            <w:vAlign w:val="center"/>
          </w:tcPr>
          <w:p w14:paraId="460B6580"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b/>
                <w:sz w:val="15"/>
                <w:szCs w:val="15"/>
              </w:rPr>
            </w:pPr>
          </w:p>
        </w:tc>
        <w:tc>
          <w:tcPr>
            <w:tcW w:w="672" w:type="dxa"/>
            <w:shd w:val="clear" w:color="auto" w:fill="F2F2F2" w:themeFill="background1" w:themeFillShade="F2"/>
            <w:vAlign w:val="center"/>
          </w:tcPr>
          <w:p w14:paraId="3E41AEC6"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b/>
                <w:sz w:val="15"/>
                <w:szCs w:val="15"/>
              </w:rPr>
            </w:pPr>
          </w:p>
        </w:tc>
        <w:tc>
          <w:tcPr>
            <w:tcW w:w="1048" w:type="dxa"/>
            <w:shd w:val="clear" w:color="auto" w:fill="F2F2F2" w:themeFill="background1" w:themeFillShade="F2"/>
            <w:vAlign w:val="center"/>
          </w:tcPr>
          <w:p w14:paraId="78DAC282" w14:textId="77777777" w:rsidR="00710A0D" w:rsidRPr="0030271D" w:rsidRDefault="00710A0D" w:rsidP="0030271D">
            <w:pPr>
              <w:spacing w:before="60" w:after="60"/>
              <w:cnfStyle w:val="000000000000" w:firstRow="0" w:lastRow="0" w:firstColumn="0" w:lastColumn="0" w:oddVBand="0" w:evenVBand="0" w:oddHBand="0" w:evenHBand="0" w:firstRowFirstColumn="0" w:firstRowLastColumn="0" w:lastRowFirstColumn="0" w:lastRowLastColumn="0"/>
              <w:rPr>
                <w:rFonts w:asciiTheme="majorHAnsi" w:hAnsiTheme="majorHAnsi"/>
                <w:b/>
                <w:sz w:val="15"/>
                <w:szCs w:val="15"/>
              </w:rPr>
            </w:pPr>
          </w:p>
        </w:tc>
      </w:tr>
      <w:tr w:rsidR="0064604D" w:rsidRPr="001B4FEA" w14:paraId="34FC1551" w14:textId="77777777" w:rsidTr="0030271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0" w:type="dxa"/>
          </w:tcPr>
          <w:p w14:paraId="6BEEA5B5" w14:textId="77777777" w:rsidR="00710A0D" w:rsidRPr="0063007F" w:rsidRDefault="00710A0D" w:rsidP="00F7602B">
            <w:pPr>
              <w:spacing w:before="60" w:after="60"/>
              <w:rPr>
                <w:sz w:val="15"/>
                <w:szCs w:val="15"/>
              </w:rPr>
            </w:pPr>
            <w:r w:rsidRPr="0063007F">
              <w:rPr>
                <w:sz w:val="15"/>
                <w:szCs w:val="15"/>
              </w:rPr>
              <w:t xml:space="preserve">There are </w:t>
            </w:r>
            <w:r w:rsidRPr="00784705">
              <w:rPr>
                <w:sz w:val="15"/>
                <w:szCs w:val="15"/>
              </w:rPr>
              <w:t>significant areas of</w:t>
            </w:r>
            <w:r>
              <w:rPr>
                <w:sz w:val="15"/>
                <w:szCs w:val="15"/>
              </w:rPr>
              <w:t xml:space="preserve"> </w:t>
            </w:r>
            <w:r w:rsidRPr="0063007F">
              <w:rPr>
                <w:sz w:val="15"/>
                <w:szCs w:val="15"/>
              </w:rPr>
              <w:t>undefinable or uncertain residual risks</w:t>
            </w:r>
            <w:r w:rsidRPr="00784705">
              <w:rPr>
                <w:sz w:val="15"/>
                <w:szCs w:val="15"/>
              </w:rPr>
              <w:t xml:space="preserve"> that cannot be resolved before tendering</w:t>
            </w:r>
          </w:p>
        </w:tc>
        <w:tc>
          <w:tcPr>
            <w:tcW w:w="851" w:type="dxa"/>
            <w:vAlign w:val="center"/>
          </w:tcPr>
          <w:p w14:paraId="3D5800C6" w14:textId="77777777" w:rsidR="00710A0D" w:rsidRPr="00161990"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007B4B"/>
                <w:sz w:val="22"/>
                <w:szCs w:val="22"/>
              </w:rPr>
            </w:pPr>
            <w:r w:rsidRPr="00C07C78">
              <w:rPr>
                <w:rFonts w:eastAsia="Arial" w:cs="Arial"/>
                <w:b/>
                <w:bCs/>
                <w:color w:val="232B39"/>
                <w:sz w:val="22"/>
                <w:szCs w:val="22"/>
              </w:rPr>
              <w:t>–</w:t>
            </w:r>
          </w:p>
        </w:tc>
        <w:tc>
          <w:tcPr>
            <w:tcW w:w="1276" w:type="dxa"/>
            <w:vAlign w:val="center"/>
          </w:tcPr>
          <w:p w14:paraId="742274AF" w14:textId="77777777" w:rsidR="00710A0D" w:rsidRPr="00161990"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007B4B"/>
                <w:sz w:val="22"/>
                <w:szCs w:val="22"/>
              </w:rPr>
            </w:pPr>
            <w:r w:rsidRPr="00C07C78">
              <w:rPr>
                <w:rFonts w:eastAsia="Arial" w:cs="Arial"/>
                <w:b/>
                <w:bCs/>
                <w:color w:val="232B39"/>
                <w:sz w:val="22"/>
                <w:szCs w:val="22"/>
              </w:rPr>
              <w:t>–</w:t>
            </w:r>
          </w:p>
        </w:tc>
        <w:tc>
          <w:tcPr>
            <w:tcW w:w="805" w:type="dxa"/>
            <w:vAlign w:val="center"/>
          </w:tcPr>
          <w:p w14:paraId="68E345B9" w14:textId="77777777" w:rsidR="00710A0D" w:rsidRPr="00C07C78"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Wingdings" w:hAnsi="Wingdings" w:cs="Arial"/>
                <w:b/>
                <w:bCs/>
                <w:color w:val="FFC000"/>
                <w:sz w:val="22"/>
                <w:szCs w:val="22"/>
              </w:rPr>
            </w:pPr>
            <w:r w:rsidRPr="00161990">
              <w:rPr>
                <w:rFonts w:ascii="Wingdings" w:eastAsia="Wingdings" w:hAnsi="Wingdings" w:cs="Arial"/>
                <w:b/>
                <w:bCs/>
                <w:color w:val="007B4B"/>
                <w:sz w:val="22"/>
                <w:szCs w:val="22"/>
              </w:rPr>
              <w:t>ü</w:t>
            </w:r>
          </w:p>
        </w:tc>
        <w:tc>
          <w:tcPr>
            <w:tcW w:w="854" w:type="dxa"/>
            <w:vAlign w:val="center"/>
          </w:tcPr>
          <w:p w14:paraId="71F6B6A0" w14:textId="00C3322E" w:rsidR="00710A0D" w:rsidRPr="001434B3"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CC4B04"/>
                <w:sz w:val="22"/>
                <w:szCs w:val="22"/>
              </w:rPr>
            </w:pPr>
            <w:r w:rsidRPr="00161990">
              <w:rPr>
                <w:rFonts w:ascii="Wingdings" w:eastAsia="Wingdings" w:hAnsi="Wingdings" w:cs="Arial"/>
                <w:b/>
                <w:bCs/>
                <w:color w:val="007B4B"/>
                <w:sz w:val="22"/>
                <w:szCs w:val="22"/>
              </w:rPr>
              <w:t>ü</w:t>
            </w:r>
          </w:p>
        </w:tc>
        <w:tc>
          <w:tcPr>
            <w:tcW w:w="952" w:type="dxa"/>
            <w:vAlign w:val="center"/>
          </w:tcPr>
          <w:p w14:paraId="20C911F6" w14:textId="1375D9C6" w:rsidR="00710A0D" w:rsidRPr="001434B3"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Arial"/>
                <w:b/>
                <w:bCs/>
                <w:color w:val="CC4B04"/>
                <w:sz w:val="22"/>
                <w:szCs w:val="22"/>
              </w:rPr>
            </w:pPr>
            <w:r w:rsidRPr="00161990">
              <w:rPr>
                <w:rFonts w:ascii="Wingdings" w:eastAsia="Wingdings" w:hAnsi="Wingdings" w:cs="Arial"/>
                <w:b/>
                <w:bCs/>
                <w:color w:val="007B4B"/>
                <w:sz w:val="22"/>
                <w:szCs w:val="22"/>
              </w:rPr>
              <w:t>ü</w:t>
            </w:r>
          </w:p>
        </w:tc>
        <w:tc>
          <w:tcPr>
            <w:tcW w:w="686" w:type="dxa"/>
            <w:vAlign w:val="center"/>
          </w:tcPr>
          <w:p w14:paraId="5CC2CB54" w14:textId="49D52073" w:rsidR="00710A0D" w:rsidRPr="001434B3"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CC4B04"/>
                <w:sz w:val="22"/>
                <w:szCs w:val="22"/>
              </w:rPr>
            </w:pPr>
            <w:r w:rsidRPr="00161990">
              <w:rPr>
                <w:rFonts w:ascii="Wingdings" w:eastAsia="Wingdings" w:hAnsi="Wingdings" w:cs="Arial"/>
                <w:b/>
                <w:bCs/>
                <w:color w:val="007B4B"/>
                <w:sz w:val="22"/>
                <w:szCs w:val="22"/>
              </w:rPr>
              <w:t>ü</w:t>
            </w:r>
          </w:p>
        </w:tc>
        <w:tc>
          <w:tcPr>
            <w:tcW w:w="672" w:type="dxa"/>
            <w:vAlign w:val="center"/>
          </w:tcPr>
          <w:p w14:paraId="37FF41DD" w14:textId="1DBBC310" w:rsidR="00710A0D" w:rsidRPr="00161990"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007B4B"/>
                <w:sz w:val="22"/>
                <w:szCs w:val="22"/>
              </w:rPr>
            </w:pPr>
            <w:r w:rsidRPr="00C07C78">
              <w:rPr>
                <w:rFonts w:eastAsia="Arial" w:cs="Arial"/>
                <w:b/>
                <w:bCs/>
                <w:color w:val="232B39"/>
                <w:sz w:val="22"/>
                <w:szCs w:val="22"/>
              </w:rPr>
              <w:t>–</w:t>
            </w:r>
          </w:p>
        </w:tc>
        <w:tc>
          <w:tcPr>
            <w:tcW w:w="1048" w:type="dxa"/>
            <w:vAlign w:val="center"/>
          </w:tcPr>
          <w:p w14:paraId="568E87C9" w14:textId="77777777" w:rsidR="00710A0D" w:rsidRPr="00161990" w:rsidRDefault="00710A0D"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Wingdings" w:eastAsia="Arial" w:hAnsi="Wingdings" w:cs="Times New Roman"/>
                <w:b/>
                <w:bCs/>
                <w:color w:val="007B4B"/>
                <w:sz w:val="22"/>
                <w:szCs w:val="22"/>
              </w:rPr>
            </w:pPr>
            <w:r w:rsidRPr="00C07C78">
              <w:rPr>
                <w:rFonts w:eastAsia="Arial" w:cs="Arial"/>
                <w:b/>
                <w:bCs/>
                <w:color w:val="232B39"/>
                <w:sz w:val="22"/>
                <w:szCs w:val="22"/>
              </w:rPr>
              <w:t>–</w:t>
            </w:r>
          </w:p>
        </w:tc>
      </w:tr>
      <w:tr w:rsidR="005B6299" w:rsidRPr="001B4FEA" w14:paraId="7A500043" w14:textId="77777777" w:rsidTr="0030271D">
        <w:trPr>
          <w:trHeight w:val="300"/>
        </w:trPr>
        <w:tc>
          <w:tcPr>
            <w:cnfStyle w:val="001000000000" w:firstRow="0" w:lastRow="0" w:firstColumn="1" w:lastColumn="0" w:oddVBand="0" w:evenVBand="0" w:oddHBand="0" w:evenHBand="0" w:firstRowFirstColumn="0" w:firstRowLastColumn="0" w:lastRowFirstColumn="0" w:lastRowLastColumn="0"/>
            <w:tcW w:w="2340" w:type="dxa"/>
          </w:tcPr>
          <w:p w14:paraId="45CAA276" w14:textId="77777777" w:rsidR="005B6299" w:rsidRPr="0063007F" w:rsidRDefault="005B6299" w:rsidP="005B6299">
            <w:pPr>
              <w:spacing w:before="60" w:after="60"/>
              <w:rPr>
                <w:sz w:val="15"/>
                <w:szCs w:val="15"/>
              </w:rPr>
            </w:pPr>
            <w:r>
              <w:rPr>
                <w:sz w:val="15"/>
                <w:szCs w:val="15"/>
              </w:rPr>
              <w:t>R</w:t>
            </w:r>
            <w:r w:rsidRPr="0089501B">
              <w:rPr>
                <w:sz w:val="15"/>
                <w:szCs w:val="15"/>
              </w:rPr>
              <w:t>isk</w:t>
            </w:r>
            <w:r>
              <w:rPr>
                <w:sz w:val="15"/>
                <w:szCs w:val="15"/>
              </w:rPr>
              <w:t>s</w:t>
            </w:r>
            <w:r w:rsidRPr="0089501B">
              <w:rPr>
                <w:sz w:val="15"/>
                <w:szCs w:val="15"/>
              </w:rPr>
              <w:t xml:space="preserve"> </w:t>
            </w:r>
            <w:r>
              <w:rPr>
                <w:sz w:val="15"/>
                <w:szCs w:val="15"/>
              </w:rPr>
              <w:t>can be effectively priced before tendering and are able to be allocated to the contractor</w:t>
            </w:r>
            <w:r w:rsidRPr="0089501B" w:rsidDel="00784705">
              <w:rPr>
                <w:sz w:val="15"/>
                <w:szCs w:val="15"/>
              </w:rPr>
              <w:t xml:space="preserve"> </w:t>
            </w:r>
            <w:r>
              <w:rPr>
                <w:sz w:val="15"/>
                <w:szCs w:val="15"/>
              </w:rPr>
              <w:t>as the party best able to manage those risks</w:t>
            </w:r>
          </w:p>
        </w:tc>
        <w:tc>
          <w:tcPr>
            <w:tcW w:w="851" w:type="dxa"/>
            <w:vAlign w:val="center"/>
          </w:tcPr>
          <w:p w14:paraId="09C76123" w14:textId="77777777" w:rsidR="005B6299" w:rsidRPr="00C07C78" w:rsidRDefault="005B6299" w:rsidP="005B6299">
            <w:pPr>
              <w:spacing w:before="60" w:after="60"/>
              <w:jc w:val="center"/>
              <w:cnfStyle w:val="000000000000" w:firstRow="0" w:lastRow="0" w:firstColumn="0" w:lastColumn="0" w:oddVBand="0" w:evenVBand="0" w:oddHBand="0" w:evenHBand="0" w:firstRowFirstColumn="0" w:firstRowLastColumn="0" w:lastRowFirstColumn="0" w:lastRowLastColumn="0"/>
              <w:rPr>
                <w:rFonts w:eastAsia="Wingdings" w:cs="Arial"/>
                <w:b/>
                <w:bCs/>
                <w:color w:val="FFC000"/>
                <w:sz w:val="22"/>
                <w:szCs w:val="22"/>
              </w:rPr>
            </w:pPr>
            <w:r w:rsidRPr="00161990">
              <w:rPr>
                <w:rFonts w:ascii="Wingdings" w:eastAsia="Wingdings" w:hAnsi="Wingdings" w:cs="Arial"/>
                <w:b/>
                <w:bCs/>
                <w:color w:val="007B4B"/>
                <w:sz w:val="22"/>
                <w:szCs w:val="22"/>
              </w:rPr>
              <w:t>ü</w:t>
            </w:r>
          </w:p>
        </w:tc>
        <w:tc>
          <w:tcPr>
            <w:tcW w:w="1276" w:type="dxa"/>
            <w:vAlign w:val="center"/>
          </w:tcPr>
          <w:p w14:paraId="40E62E24" w14:textId="77777777" w:rsidR="005B6299" w:rsidRPr="00C07C78" w:rsidRDefault="005B6299" w:rsidP="005B6299">
            <w:pPr>
              <w:spacing w:before="60" w:after="60"/>
              <w:jc w:val="center"/>
              <w:cnfStyle w:val="000000000000" w:firstRow="0" w:lastRow="0" w:firstColumn="0" w:lastColumn="0" w:oddVBand="0" w:evenVBand="0" w:oddHBand="0" w:evenHBand="0" w:firstRowFirstColumn="0" w:firstRowLastColumn="0" w:lastRowFirstColumn="0" w:lastRowLastColumn="0"/>
              <w:rPr>
                <w:rFonts w:eastAsia="Wingdings" w:cs="Arial"/>
                <w:b/>
                <w:bCs/>
                <w:color w:val="FFC000"/>
                <w:sz w:val="22"/>
                <w:szCs w:val="22"/>
              </w:rPr>
            </w:pPr>
            <w:r w:rsidRPr="00161990">
              <w:rPr>
                <w:rFonts w:ascii="Wingdings" w:eastAsia="Wingdings" w:hAnsi="Wingdings" w:cs="Arial"/>
                <w:b/>
                <w:bCs/>
                <w:color w:val="007B4B"/>
                <w:sz w:val="22"/>
                <w:szCs w:val="22"/>
              </w:rPr>
              <w:t>ü</w:t>
            </w:r>
            <w:r w:rsidRPr="00161990" w:rsidDel="00784705">
              <w:rPr>
                <w:rFonts w:ascii="Wingdings" w:eastAsia="Wingdings" w:hAnsi="Wingdings" w:cs="Arial"/>
                <w:b/>
                <w:bCs/>
                <w:color w:val="007B4B"/>
                <w:sz w:val="22"/>
                <w:szCs w:val="22"/>
              </w:rPr>
              <w:t xml:space="preserve"> </w:t>
            </w:r>
          </w:p>
        </w:tc>
        <w:tc>
          <w:tcPr>
            <w:tcW w:w="805" w:type="dxa"/>
            <w:vAlign w:val="center"/>
          </w:tcPr>
          <w:p w14:paraId="5984FE48" w14:textId="77777777" w:rsidR="005B6299" w:rsidRPr="00C07C78" w:rsidRDefault="005B6299" w:rsidP="005B6299">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Arial"/>
                <w:b/>
                <w:bCs/>
                <w:color w:val="00B050"/>
                <w:sz w:val="22"/>
                <w:szCs w:val="22"/>
              </w:rPr>
            </w:pPr>
            <w:r w:rsidRPr="00161990">
              <w:rPr>
                <w:rFonts w:ascii="Wingdings" w:eastAsia="Wingdings" w:hAnsi="Wingdings" w:cs="Arial"/>
                <w:b/>
                <w:bCs/>
                <w:color w:val="007B4B"/>
                <w:sz w:val="22"/>
                <w:szCs w:val="22"/>
              </w:rPr>
              <w:t>ü</w:t>
            </w:r>
          </w:p>
        </w:tc>
        <w:tc>
          <w:tcPr>
            <w:tcW w:w="854" w:type="dxa"/>
            <w:vAlign w:val="center"/>
          </w:tcPr>
          <w:p w14:paraId="5E1BFCE0" w14:textId="346F95F4" w:rsidR="005B6299" w:rsidRPr="00C55E7E" w:rsidRDefault="3CEFD70E" w:rsidP="4A435856">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Arial"/>
                <w:b/>
                <w:color w:val="656A6F" w:themeColor="accent4" w:themeShade="80"/>
                <w:sz w:val="22"/>
                <w:szCs w:val="22"/>
              </w:rPr>
            </w:pPr>
            <w:r w:rsidRPr="00C55E7E">
              <w:rPr>
                <w:rFonts w:ascii="Wingdings" w:eastAsia="Wingdings" w:hAnsi="Wingdings" w:cs="Arial" w:hint="cs"/>
                <w:b/>
                <w:color w:val="656A6F" w:themeColor="accent4" w:themeShade="80"/>
                <w:sz w:val="22"/>
                <w:szCs w:val="22"/>
              </w:rPr>
              <w:t>ü</w:t>
            </w:r>
          </w:p>
        </w:tc>
        <w:tc>
          <w:tcPr>
            <w:tcW w:w="952" w:type="dxa"/>
            <w:vAlign w:val="center"/>
          </w:tcPr>
          <w:p w14:paraId="72C10CB7" w14:textId="6EF93F50" w:rsidR="005B6299" w:rsidRPr="00C55E7E" w:rsidRDefault="3CEFD70E" w:rsidP="4A435856">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Arial"/>
                <w:b/>
                <w:color w:val="656A6F" w:themeColor="accent4" w:themeShade="80"/>
                <w:sz w:val="22"/>
                <w:szCs w:val="22"/>
              </w:rPr>
            </w:pPr>
            <w:r w:rsidRPr="00C55E7E">
              <w:rPr>
                <w:rFonts w:ascii="Wingdings" w:eastAsia="Wingdings" w:hAnsi="Wingdings" w:cs="Arial" w:hint="cs"/>
                <w:b/>
                <w:color w:val="656A6F" w:themeColor="accent4" w:themeShade="80"/>
                <w:sz w:val="22"/>
                <w:szCs w:val="22"/>
              </w:rPr>
              <w:t>ü</w:t>
            </w:r>
          </w:p>
        </w:tc>
        <w:tc>
          <w:tcPr>
            <w:tcW w:w="686" w:type="dxa"/>
            <w:vAlign w:val="center"/>
          </w:tcPr>
          <w:p w14:paraId="7311C588" w14:textId="0AD24388" w:rsidR="005B6299" w:rsidRPr="00C55E7E" w:rsidRDefault="3CEFD70E" w:rsidP="4A435856">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Arial"/>
                <w:b/>
                <w:color w:val="656A6F" w:themeColor="accent4" w:themeShade="80"/>
                <w:sz w:val="22"/>
                <w:szCs w:val="22"/>
              </w:rPr>
            </w:pPr>
            <w:r w:rsidRPr="00C55E7E">
              <w:rPr>
                <w:rFonts w:ascii="Wingdings" w:eastAsia="Wingdings" w:hAnsi="Wingdings" w:cs="Arial" w:hint="cs"/>
                <w:b/>
                <w:color w:val="656A6F" w:themeColor="accent4" w:themeShade="80"/>
                <w:sz w:val="22"/>
                <w:szCs w:val="22"/>
              </w:rPr>
              <w:t>ü</w:t>
            </w:r>
            <w:r w:rsidRPr="00C55E7E">
              <w:rPr>
                <w:rFonts w:ascii="Wingdings" w:eastAsia="Wingdings" w:hAnsi="Wingdings" w:cs="Arial"/>
                <w:b/>
                <w:color w:val="656A6F" w:themeColor="accent4" w:themeShade="80"/>
                <w:sz w:val="22"/>
                <w:szCs w:val="22"/>
              </w:rPr>
              <w:t xml:space="preserve"> </w:t>
            </w:r>
          </w:p>
        </w:tc>
        <w:tc>
          <w:tcPr>
            <w:tcW w:w="672" w:type="dxa"/>
            <w:vAlign w:val="center"/>
          </w:tcPr>
          <w:p w14:paraId="0BD3F8C2" w14:textId="77777777" w:rsidR="005B6299" w:rsidRPr="00C07C78" w:rsidRDefault="005B6299" w:rsidP="005B6299">
            <w:pPr>
              <w:spacing w:before="60" w:after="60"/>
              <w:jc w:val="center"/>
              <w:cnfStyle w:val="000000000000" w:firstRow="0" w:lastRow="0" w:firstColumn="0" w:lastColumn="0" w:oddVBand="0" w:evenVBand="0" w:oddHBand="0" w:evenHBand="0" w:firstRowFirstColumn="0" w:firstRowLastColumn="0" w:lastRowFirstColumn="0" w:lastRowLastColumn="0"/>
              <w:rPr>
                <w:rFonts w:ascii="Wingdings" w:eastAsia="Wingdings" w:hAnsi="Wingdings" w:cs="Arial"/>
                <w:b/>
                <w:bCs/>
                <w:color w:val="F6BE00"/>
                <w:sz w:val="22"/>
                <w:szCs w:val="22"/>
              </w:rPr>
            </w:pPr>
            <w:r w:rsidRPr="00161990" w:rsidDel="00061BED">
              <w:rPr>
                <w:rFonts w:ascii="Wingdings" w:eastAsia="Wingdings" w:hAnsi="Wingdings" w:cs="Arial"/>
                <w:b/>
                <w:color w:val="007B4B"/>
                <w:sz w:val="22"/>
                <w:szCs w:val="22"/>
              </w:rPr>
              <w:t>ü</w:t>
            </w:r>
          </w:p>
        </w:tc>
        <w:tc>
          <w:tcPr>
            <w:tcW w:w="1048" w:type="dxa"/>
            <w:vAlign w:val="center"/>
          </w:tcPr>
          <w:p w14:paraId="5DFAD1D0" w14:textId="77777777" w:rsidR="005B6299" w:rsidRPr="00C07C78" w:rsidRDefault="005B6299" w:rsidP="005B6299">
            <w:pPr>
              <w:spacing w:before="60" w:after="60"/>
              <w:jc w:val="center"/>
              <w:cnfStyle w:val="000000000000" w:firstRow="0" w:lastRow="0" w:firstColumn="0" w:lastColumn="0" w:oddVBand="0" w:evenVBand="0" w:oddHBand="0" w:evenHBand="0" w:firstRowFirstColumn="0" w:firstRowLastColumn="0" w:lastRowFirstColumn="0" w:lastRowLastColumn="0"/>
              <w:rPr>
                <w:rFonts w:eastAsia="Arial" w:cs="Arial"/>
                <w:b/>
                <w:bCs/>
                <w:color w:val="FFC000"/>
                <w:sz w:val="22"/>
                <w:szCs w:val="22"/>
              </w:rPr>
            </w:pPr>
            <w:r w:rsidRPr="00161990">
              <w:rPr>
                <w:rFonts w:ascii="Wingdings" w:eastAsia="Wingdings" w:hAnsi="Wingdings" w:cs="Arial"/>
                <w:b/>
                <w:bCs/>
                <w:color w:val="007B4B"/>
                <w:sz w:val="22"/>
                <w:szCs w:val="22"/>
              </w:rPr>
              <w:t>ü</w:t>
            </w:r>
          </w:p>
        </w:tc>
      </w:tr>
      <w:tr w:rsidR="005B6299" w:rsidRPr="000B566F" w14:paraId="0702B319" w14:textId="77777777" w:rsidTr="0030271D">
        <w:trPr>
          <w:cnfStyle w:val="000000010000" w:firstRow="0" w:lastRow="0" w:firstColumn="0" w:lastColumn="0" w:oddVBand="0" w:evenVBand="0" w:oddHBand="0" w:evenHBand="1"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2339" w:type="dxa"/>
            <w:shd w:val="clear" w:color="auto" w:fill="auto"/>
          </w:tcPr>
          <w:p w14:paraId="4EB6D7FD" w14:textId="77777777" w:rsidR="005B6299" w:rsidRDefault="378BABFF" w:rsidP="00F7602B">
            <w:pPr>
              <w:spacing w:before="60" w:after="60"/>
              <w:jc w:val="center"/>
              <w:rPr>
                <w:rFonts w:ascii="Arial" w:eastAsia="Arial" w:hAnsi="Arial" w:cs="Arial"/>
                <w:color w:val="232B39"/>
                <w:sz w:val="24"/>
                <w:szCs w:val="24"/>
              </w:rPr>
            </w:pPr>
            <w:r w:rsidRPr="76AB2BEA">
              <w:rPr>
                <w:rFonts w:ascii="Wingdings" w:eastAsia="Wingdings" w:hAnsi="Wingdings" w:cs="Arial"/>
                <w:color w:val="007B4B"/>
                <w:sz w:val="28"/>
                <w:szCs w:val="28"/>
              </w:rPr>
              <w:t>ü</w:t>
            </w:r>
            <w:r w:rsidRPr="76AB2BEA">
              <w:rPr>
                <w:rFonts w:asciiTheme="majorHAnsi" w:eastAsia="Arial" w:hAnsiTheme="majorHAnsi" w:cs="Arial"/>
                <w:color w:val="007B4B"/>
                <w:sz w:val="16"/>
                <w:szCs w:val="16"/>
              </w:rPr>
              <w:t xml:space="preserve">Good fit with this </w:t>
            </w:r>
            <w:r w:rsidR="005B6299">
              <w:br/>
            </w:r>
            <w:r w:rsidRPr="76AB2BEA">
              <w:rPr>
                <w:rFonts w:asciiTheme="majorHAnsi" w:eastAsia="Arial" w:hAnsiTheme="majorHAnsi" w:cs="Arial"/>
                <w:color w:val="007B4B"/>
                <w:sz w:val="16"/>
                <w:szCs w:val="16"/>
              </w:rPr>
              <w:t>procurement model</w:t>
            </w:r>
          </w:p>
        </w:tc>
        <w:tc>
          <w:tcPr>
            <w:tcW w:w="2123" w:type="dxa"/>
            <w:gridSpan w:val="2"/>
            <w:shd w:val="clear" w:color="auto" w:fill="auto"/>
          </w:tcPr>
          <w:p w14:paraId="6A26F32A" w14:textId="2DD4B901" w:rsidR="005B6299" w:rsidRDefault="005B6299"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Arial" w:hAnsi="Arial" w:cs="Arial"/>
                <w:color w:val="232B39"/>
                <w:sz w:val="24"/>
                <w:szCs w:val="32"/>
              </w:rPr>
            </w:pPr>
            <w:r w:rsidRPr="001434B3">
              <w:rPr>
                <w:rFonts w:ascii="Wingdings" w:eastAsia="Wingdings" w:hAnsi="Wingdings" w:cs="Arial"/>
                <w:b/>
                <w:color w:val="CC4B04"/>
                <w:sz w:val="28"/>
                <w:szCs w:val="36"/>
              </w:rPr>
              <w:t>ü</w:t>
            </w:r>
            <w:r w:rsidRPr="001434B3">
              <w:rPr>
                <w:rFonts w:asciiTheme="majorHAnsi" w:eastAsia="Arial" w:hAnsiTheme="majorHAnsi" w:cs="Arial"/>
                <w:color w:val="CC4B04"/>
                <w:sz w:val="16"/>
              </w:rPr>
              <w:t>Possible fit with this procurement model</w:t>
            </w:r>
          </w:p>
        </w:tc>
        <w:tc>
          <w:tcPr>
            <w:tcW w:w="2611" w:type="dxa"/>
            <w:gridSpan w:val="3"/>
            <w:shd w:val="clear" w:color="auto" w:fill="auto"/>
          </w:tcPr>
          <w:p w14:paraId="734B7097" w14:textId="24107EF0" w:rsidR="005B6299" w:rsidRPr="001434B3" w:rsidRDefault="61C553CD" w:rsidP="701FF408">
            <w:pPr>
              <w:spacing w:before="60" w:after="60"/>
              <w:jc w:val="center"/>
              <w:cnfStyle w:val="000000010000" w:firstRow="0" w:lastRow="0" w:firstColumn="0" w:lastColumn="0" w:oddVBand="0" w:evenVBand="0" w:oddHBand="0" w:evenHBand="1" w:firstRowFirstColumn="0" w:firstRowLastColumn="0" w:lastRowFirstColumn="0" w:lastRowLastColumn="0"/>
              <w:rPr>
                <w:rStyle w:val="FootnoteReference"/>
                <w:rFonts w:asciiTheme="majorHAnsi" w:eastAsia="Arial" w:hAnsiTheme="majorHAnsi" w:cs="Arial"/>
                <w:sz w:val="16"/>
                <w:szCs w:val="16"/>
              </w:rPr>
            </w:pPr>
            <w:r w:rsidRPr="00C55E7E">
              <w:rPr>
                <w:rFonts w:ascii="Wingdings" w:eastAsia="Wingdings" w:hAnsi="Wingdings" w:cs="Arial" w:hint="cs"/>
                <w:b/>
                <w:color w:val="656A6F" w:themeColor="accent4" w:themeShade="80"/>
                <w:sz w:val="22"/>
                <w:szCs w:val="22"/>
              </w:rPr>
              <w:t>ü</w:t>
            </w:r>
            <w:r w:rsidR="005B6299" w:rsidRPr="4A435856">
              <w:rPr>
                <w:rFonts w:ascii="Wingdings" w:eastAsia="Wingdings" w:hAnsi="Wingdings" w:cs="Arial"/>
                <w:b/>
                <w:bCs/>
                <w:color w:val="BE5DC3" w:themeColor="accent3" w:themeTint="99"/>
                <w:sz w:val="28"/>
                <w:szCs w:val="28"/>
              </w:rPr>
              <w:t xml:space="preserve"> </w:t>
            </w:r>
            <w:r w:rsidR="005B6299" w:rsidRPr="701FF408">
              <w:rPr>
                <w:rFonts w:asciiTheme="majorHAnsi" w:eastAsia="Arial" w:hAnsiTheme="majorHAnsi" w:cs="Arial"/>
                <w:sz w:val="16"/>
                <w:szCs w:val="16"/>
              </w:rPr>
              <w:t>Conditional fit with this procurement model</w:t>
            </w:r>
          </w:p>
        </w:tc>
        <w:tc>
          <w:tcPr>
            <w:tcW w:w="2406" w:type="dxa"/>
            <w:gridSpan w:val="3"/>
          </w:tcPr>
          <w:p w14:paraId="302B44FF" w14:textId="77777777" w:rsidR="005B6299" w:rsidRDefault="378BABFF" w:rsidP="00F7602B">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Arial" w:hAnsi="Arial" w:cs="Arial"/>
                <w:color w:val="232B39"/>
                <w:sz w:val="24"/>
                <w:szCs w:val="24"/>
              </w:rPr>
            </w:pPr>
            <w:r w:rsidRPr="76AB2BEA">
              <w:rPr>
                <w:rFonts w:ascii="Arial" w:eastAsia="Arial" w:hAnsi="Arial" w:cs="Arial"/>
                <w:b/>
                <w:bCs/>
              </w:rPr>
              <w:t>–</w:t>
            </w:r>
            <w:r w:rsidRPr="76AB2BEA">
              <w:rPr>
                <w:rFonts w:ascii="Arial" w:eastAsia="Arial" w:hAnsi="Arial" w:cs="Arial"/>
                <w:b/>
                <w:bCs/>
                <w:sz w:val="16"/>
                <w:szCs w:val="16"/>
              </w:rPr>
              <w:t xml:space="preserve"> </w:t>
            </w:r>
            <w:r w:rsidRPr="76AB2BEA">
              <w:rPr>
                <w:rFonts w:asciiTheme="majorHAnsi" w:eastAsia="Arial" w:hAnsiTheme="majorHAnsi" w:cs="Arial"/>
                <w:sz w:val="16"/>
                <w:szCs w:val="16"/>
              </w:rPr>
              <w:t xml:space="preserve">Blank – not applicable </w:t>
            </w:r>
            <w:r w:rsidR="005B6299">
              <w:br/>
            </w:r>
            <w:r w:rsidRPr="76AB2BEA">
              <w:rPr>
                <w:rFonts w:asciiTheme="majorHAnsi" w:eastAsia="Arial" w:hAnsiTheme="majorHAnsi" w:cs="Arial"/>
                <w:sz w:val="16"/>
                <w:szCs w:val="16"/>
              </w:rPr>
              <w:t>for this model</w:t>
            </w:r>
          </w:p>
        </w:tc>
      </w:tr>
    </w:tbl>
    <w:p w14:paraId="0D9D6C00" w14:textId="77777777" w:rsidR="00710A0D" w:rsidRPr="000B566F" w:rsidRDefault="00710A0D" w:rsidP="001D2615">
      <w:pPr>
        <w:pStyle w:val="Heading2numbered"/>
      </w:pPr>
      <w:bookmarkStart w:id="283" w:name="_Toc161321760"/>
      <w:r w:rsidRPr="580BCC84">
        <w:t>Step 4: Analyse shortlist and justify procurement model selection</w:t>
      </w:r>
      <w:bookmarkEnd w:id="283"/>
    </w:p>
    <w:p w14:paraId="6B44EC07" w14:textId="50033DD1" w:rsidR="00710A0D" w:rsidRPr="00E3206F" w:rsidRDefault="001A15BC" w:rsidP="00834461">
      <w:pPr>
        <w:pStyle w:val="NormalIndent"/>
        <w:rPr>
          <w:color w:val="232B39"/>
        </w:rPr>
      </w:pPr>
      <w:r>
        <w:t xml:space="preserve">The </w:t>
      </w:r>
      <w:r w:rsidR="00627A53">
        <w:t xml:space="preserve">completion of </w:t>
      </w:r>
      <w:r w:rsidR="00710A0D" w:rsidRPr="580BCC84">
        <w:t xml:space="preserve">Step 4 should </w:t>
      </w:r>
      <w:r w:rsidR="001C15FA">
        <w:t>result in</w:t>
      </w:r>
      <w:r w:rsidR="001C15FA" w:rsidRPr="580BCC84">
        <w:t xml:space="preserve"> </w:t>
      </w:r>
      <w:r w:rsidR="00710A0D" w:rsidRPr="580BCC84">
        <w:t xml:space="preserve">a transparent account of the reasoning applied to select the preferred procurement model(s) from the options shortlisted in Step 3. </w:t>
      </w:r>
      <w:r w:rsidR="00710A0D">
        <w:t>T</w:t>
      </w:r>
      <w:r w:rsidR="00710A0D" w:rsidRPr="580BCC84">
        <w:t xml:space="preserve">he </w:t>
      </w:r>
      <w:r w:rsidR="00710A0D">
        <w:t>POA method is the recommended approach. This method</w:t>
      </w:r>
      <w:r w:rsidR="00710A0D" w:rsidRPr="580BCC84">
        <w:t xml:space="preserve"> involves establishing selection criteria and weightings to </w:t>
      </w:r>
      <w:r w:rsidR="00045748">
        <w:t>assess</w:t>
      </w:r>
      <w:r w:rsidR="00045748" w:rsidRPr="580BCC84">
        <w:t xml:space="preserve"> </w:t>
      </w:r>
      <w:r w:rsidR="00710A0D" w:rsidRPr="580BCC84">
        <w:t xml:space="preserve">the suitability of shortlisted models for the project. A guide to </w:t>
      </w:r>
      <w:r w:rsidR="00710A0D">
        <w:t xml:space="preserve">how this method can be used in practice, including how the criteria and weightings are established, </w:t>
      </w:r>
      <w:r w:rsidR="00710A0D" w:rsidRPr="580BCC84">
        <w:t>is</w:t>
      </w:r>
      <w:r w:rsidR="00710A0D" w:rsidRPr="580BCC84" w:rsidDel="007139E0">
        <w:t xml:space="preserve"> </w:t>
      </w:r>
      <w:r w:rsidR="00710A0D">
        <w:t>provided</w:t>
      </w:r>
      <w:r w:rsidR="00710A0D" w:rsidRPr="580BCC84">
        <w:t xml:space="preserve"> in th</w:t>
      </w:r>
      <w:r w:rsidR="004618F4">
        <w:t>is</w:t>
      </w:r>
      <w:r w:rsidR="00710A0D" w:rsidRPr="580BCC84">
        <w:t xml:space="preserve"> section.</w:t>
      </w:r>
    </w:p>
    <w:p w14:paraId="4E1FB2F1" w14:textId="77777777" w:rsidR="00B172BB" w:rsidRDefault="00B172BB" w:rsidP="002770AB">
      <w:pPr>
        <w:pStyle w:val="Quote"/>
        <w:rPr>
          <w:color w:val="232B39"/>
          <w:highlight w:val="yellow"/>
        </w:rPr>
      </w:pPr>
      <w:r w:rsidRPr="000B566F">
        <w:rPr>
          <w:b/>
          <w:bCs/>
        </w:rPr>
        <w:t>Decision point:</w:t>
      </w:r>
      <w:r w:rsidRPr="000B566F">
        <w:t xml:space="preserve"> What procurement model best suits the project and is therefore recommended as the preferred procurement methodology?</w:t>
      </w:r>
    </w:p>
    <w:p w14:paraId="31209EB2" w14:textId="77777777" w:rsidR="00B172BB" w:rsidRPr="00E3206F" w:rsidRDefault="00B172BB" w:rsidP="00834461">
      <w:pPr>
        <w:pStyle w:val="NormalIndent"/>
      </w:pPr>
      <w:r w:rsidRPr="00E3206F">
        <w:t>Successful application of POA is dependent on</w:t>
      </w:r>
      <w:r>
        <w:t>:</w:t>
      </w:r>
    </w:p>
    <w:p w14:paraId="4B74CFA8" w14:textId="26EB2421" w:rsidR="00B172BB" w:rsidRPr="00183725" w:rsidRDefault="285B83F7" w:rsidP="001D2615">
      <w:pPr>
        <w:pStyle w:val="Bulletindent"/>
      </w:pPr>
      <w:r w:rsidRPr="5500A5F5">
        <w:t xml:space="preserve">objective and rigorous analysis of the </w:t>
      </w:r>
      <w:r w:rsidR="00814417">
        <w:t>project characteristics</w:t>
      </w:r>
      <w:r w:rsidRPr="5500A5F5">
        <w:t xml:space="preserve">, risks, market dynamics, delivery environment and other success factors and sound project </w:t>
      </w:r>
      <w:r>
        <w:t xml:space="preserve">structuring, bundling and packaging determinations as outlined in </w:t>
      </w:r>
      <w:r w:rsidR="00CD1F63">
        <w:fldChar w:fldCharType="begin"/>
      </w:r>
      <w:r w:rsidR="00CD1F63">
        <w:instrText xml:space="preserve"> REF Step1 \h </w:instrText>
      </w:r>
      <w:r w:rsidR="00CD1F63">
        <w:fldChar w:fldCharType="separate"/>
      </w:r>
      <w:r w:rsidR="008A4B3E" w:rsidRPr="00524BFB">
        <w:t>Step 1</w:t>
      </w:r>
      <w:r w:rsidR="00CD1F63">
        <w:fldChar w:fldCharType="end"/>
      </w:r>
      <w:r>
        <w:t xml:space="preserve"> and </w:t>
      </w:r>
      <w:r w:rsidR="00CD1F63">
        <w:fldChar w:fldCharType="begin"/>
      </w:r>
      <w:r w:rsidR="00CD1F63">
        <w:instrText xml:space="preserve"> REF Step2 \h </w:instrText>
      </w:r>
      <w:r w:rsidR="00CD1F63">
        <w:fldChar w:fldCharType="separate"/>
      </w:r>
      <w:r w:rsidR="008A4B3E" w:rsidRPr="00524BFB">
        <w:t>Step 2</w:t>
      </w:r>
      <w:r w:rsidR="00CD1F63">
        <w:fldChar w:fldCharType="end"/>
      </w:r>
    </w:p>
    <w:p w14:paraId="5B4F3453" w14:textId="1C018035" w:rsidR="00710A0D" w:rsidRDefault="00710A0D" w:rsidP="001D2615">
      <w:pPr>
        <w:pStyle w:val="Bulletindent"/>
      </w:pPr>
      <w:r w:rsidRPr="00183725">
        <w:t xml:space="preserve">knowledge of the characteristics, benefits and trade-offs </w:t>
      </w:r>
      <w:r>
        <w:t>that come with</w:t>
      </w:r>
      <w:r w:rsidRPr="00183725">
        <w:t xml:space="preserve"> different procurement models</w:t>
      </w:r>
      <w:r>
        <w:t>, including agency capacity</w:t>
      </w:r>
      <w:r w:rsidRPr="00183725">
        <w:t xml:space="preserve"> (refer </w:t>
      </w:r>
      <w:r w:rsidRPr="00643890">
        <w:t xml:space="preserve">to </w:t>
      </w:r>
      <w:r w:rsidR="00F3305C">
        <w:t>Chapter</w:t>
      </w:r>
      <w:r w:rsidRPr="00643890">
        <w:t xml:space="preserve"> </w:t>
      </w:r>
      <w:r w:rsidR="00643890" w:rsidRPr="00643890">
        <w:fldChar w:fldCharType="begin" w:fldLock="1"/>
      </w:r>
      <w:r w:rsidR="00643890" w:rsidRPr="00643890">
        <w:instrText xml:space="preserve"> REF _Ref144375619 \r \h </w:instrText>
      </w:r>
      <w:r w:rsidR="00643890">
        <w:instrText xml:space="preserve"> \* MERGEFORMAT </w:instrText>
      </w:r>
      <w:r w:rsidR="00643890" w:rsidRPr="00643890">
        <w:fldChar w:fldCharType="separate"/>
      </w:r>
      <w:r w:rsidR="003D4A19">
        <w:t>4</w:t>
      </w:r>
      <w:r w:rsidR="00643890" w:rsidRPr="00643890">
        <w:fldChar w:fldCharType="end"/>
      </w:r>
      <w:r w:rsidRPr="00643890">
        <w:t>)</w:t>
      </w:r>
      <w:r w:rsidR="00A35D39">
        <w:t>.</w:t>
      </w:r>
    </w:p>
    <w:p w14:paraId="08973B42" w14:textId="0512D8E5" w:rsidR="00710A0D" w:rsidRPr="00E326D0" w:rsidRDefault="00710A0D" w:rsidP="00C20782">
      <w:pPr>
        <w:pStyle w:val="HighlightBoxHeading"/>
      </w:pPr>
      <w:r w:rsidRPr="00E326D0">
        <w:t xml:space="preserve">The detailed procurement analysis process must identify how </w:t>
      </w:r>
      <w:r w:rsidR="005F47B2">
        <w:t>well</w:t>
      </w:r>
      <w:r w:rsidR="005F47B2" w:rsidRPr="00E326D0">
        <w:t xml:space="preserve"> </w:t>
      </w:r>
      <w:r w:rsidRPr="00E326D0">
        <w:t>each shortlisted procurement model can optimise quality and cost outcomes</w:t>
      </w:r>
    </w:p>
    <w:p w14:paraId="2CC9040E" w14:textId="77777777" w:rsidR="00710A0D" w:rsidRPr="002770AB" w:rsidRDefault="00710A0D" w:rsidP="00710A0D">
      <w:pPr>
        <w:pStyle w:val="HighlightBoxText"/>
      </w:pPr>
      <w:r>
        <w:t>This will be evident in how the model:</w:t>
      </w:r>
    </w:p>
    <w:p w14:paraId="36AD65F4" w14:textId="77777777" w:rsidR="00710A0D" w:rsidRPr="00183725" w:rsidRDefault="00710A0D" w:rsidP="001D2615">
      <w:pPr>
        <w:pStyle w:val="HighlightBoxBullet"/>
      </w:pPr>
      <w:r>
        <w:t>f</w:t>
      </w:r>
      <w:r w:rsidRPr="00183725">
        <w:t>acilitates achievement or enhancement of the project outcomes, ensuring quality and cost outcomes are optimised</w:t>
      </w:r>
    </w:p>
    <w:p w14:paraId="352D0574" w14:textId="77777777" w:rsidR="00710A0D" w:rsidRPr="00183725" w:rsidRDefault="00710A0D" w:rsidP="001D2615">
      <w:pPr>
        <w:pStyle w:val="HighlightBoxBullet"/>
        <w:ind w:left="1076" w:hanging="284"/>
      </w:pPr>
      <w:r>
        <w:t>b</w:t>
      </w:r>
      <w:r w:rsidRPr="00183725">
        <w:t>est suits the characteristics of the project, considering factors like complexity, scope and stakeholders</w:t>
      </w:r>
    </w:p>
    <w:p w14:paraId="1B36F561" w14:textId="795F7FB1" w:rsidR="00710A0D" w:rsidRDefault="00710A0D" w:rsidP="001D2615">
      <w:pPr>
        <w:pStyle w:val="HighlightBoxBullet"/>
        <w:ind w:left="1076" w:hanging="284"/>
      </w:pPr>
      <w:r>
        <w:t>d</w:t>
      </w:r>
      <w:r w:rsidRPr="00183725">
        <w:t>elivers the intended benefits while presenting value</w:t>
      </w:r>
      <w:r>
        <w:t>-for-money</w:t>
      </w:r>
      <w:r w:rsidR="00D20415">
        <w:t>,</w:t>
      </w:r>
      <w:r w:rsidR="00A35D39">
        <w:t xml:space="preserve"> and </w:t>
      </w:r>
      <w:r w:rsidRPr="00183725">
        <w:t xml:space="preserve">balancing </w:t>
      </w:r>
      <w:r w:rsidR="00A35D39">
        <w:t xml:space="preserve">this </w:t>
      </w:r>
      <w:r w:rsidRPr="00183725">
        <w:t>cost efficiency with quality to deliver optimal outcomes</w:t>
      </w:r>
      <w:r>
        <w:t>.</w:t>
      </w:r>
    </w:p>
    <w:p w14:paraId="26705398" w14:textId="32B24E6B" w:rsidR="00710A0D" w:rsidRPr="00E326D0" w:rsidRDefault="00710A0D" w:rsidP="00A35D39">
      <w:pPr>
        <w:pStyle w:val="HighlightBoxHeading"/>
      </w:pPr>
      <w:r w:rsidRPr="00E326D0">
        <w:t>The detailed procurement analysis process must identify how successfully each shortlisted procurement model can effectively manage risk and uncertainty</w:t>
      </w:r>
    </w:p>
    <w:p w14:paraId="3E43C164" w14:textId="77777777" w:rsidR="00710A0D" w:rsidRPr="001E060A" w:rsidRDefault="00710A0D" w:rsidP="00710A0D">
      <w:pPr>
        <w:pStyle w:val="HighlightBoxText"/>
      </w:pPr>
      <w:r>
        <w:t>This will be evident in how the model:</w:t>
      </w:r>
    </w:p>
    <w:p w14:paraId="485EE4A2" w14:textId="77777777" w:rsidR="00710A0D" w:rsidRPr="002770AB" w:rsidRDefault="00710A0D" w:rsidP="001D2615">
      <w:pPr>
        <w:pStyle w:val="HighlightBoxBullet"/>
      </w:pPr>
      <w:r>
        <w:t>s</w:t>
      </w:r>
      <w:r w:rsidRPr="002770AB">
        <w:t>trategically treats risks in line with the risk treatment strategy, project objectives and organisational goals</w:t>
      </w:r>
    </w:p>
    <w:p w14:paraId="7B75E361" w14:textId="77777777" w:rsidR="00710A0D" w:rsidRPr="002770AB" w:rsidRDefault="00710A0D" w:rsidP="001D2615">
      <w:pPr>
        <w:pStyle w:val="HighlightBoxBullet"/>
        <w:ind w:left="1076" w:hanging="284"/>
      </w:pPr>
      <w:r>
        <w:t>a</w:t>
      </w:r>
      <w:r w:rsidRPr="002770AB">
        <w:t>llocates risks to the party best equipped to manage them, maximising the ability to mitigate and control potential issues</w:t>
      </w:r>
    </w:p>
    <w:p w14:paraId="74A0F9D8" w14:textId="77777777" w:rsidR="00710A0D" w:rsidRPr="002770AB" w:rsidRDefault="00710A0D" w:rsidP="001D2615">
      <w:pPr>
        <w:pStyle w:val="HighlightBoxBullet"/>
        <w:ind w:left="1076" w:hanging="284"/>
      </w:pPr>
      <w:r>
        <w:t>a</w:t>
      </w:r>
      <w:r w:rsidRPr="002770AB">
        <w:t>ligns key project risks with suitable procurement models to optimise risk management opportunities, leveraging their inherent characteristics</w:t>
      </w:r>
    </w:p>
    <w:p w14:paraId="5E9DCC2D" w14:textId="77777777" w:rsidR="00710A0D" w:rsidRDefault="00710A0D" w:rsidP="001D2615">
      <w:pPr>
        <w:pStyle w:val="HighlightBoxBullet"/>
        <w:ind w:left="1076" w:hanging="284"/>
      </w:pPr>
      <w:r>
        <w:t>a</w:t>
      </w:r>
      <w:r w:rsidRPr="002770AB">
        <w:t>chieves the risk management objectives for both the organisation and the project, ensuring that risks are adequately identified, assessed, monitored and controlled</w:t>
      </w:r>
      <w:r>
        <w:t>.</w:t>
      </w:r>
    </w:p>
    <w:p w14:paraId="66AECC29" w14:textId="54EFC92F" w:rsidR="00710A0D" w:rsidRPr="004F3D2C" w:rsidRDefault="00710A0D" w:rsidP="001D2615">
      <w:pPr>
        <w:pStyle w:val="Heading3numbered"/>
      </w:pPr>
      <w:bookmarkStart w:id="284" w:name="_Hlk138975771"/>
      <w:r w:rsidRPr="004F3D2C">
        <w:t>Establish</w:t>
      </w:r>
      <w:r w:rsidR="00A35D39">
        <w:t xml:space="preserve"> </w:t>
      </w:r>
      <w:r w:rsidRPr="004F3D2C">
        <w:t>the procurement model se</w:t>
      </w:r>
      <w:r>
        <w:t>le</w:t>
      </w:r>
      <w:r w:rsidRPr="004F3D2C">
        <w:t>ction criteria and weightings</w:t>
      </w:r>
    </w:p>
    <w:bookmarkEnd w:id="284"/>
    <w:p w14:paraId="5ADB3DB9" w14:textId="17545A1B" w:rsidR="00710A0D" w:rsidRPr="00524BFB" w:rsidRDefault="00710A0D" w:rsidP="00834461">
      <w:pPr>
        <w:pStyle w:val="NormalIndent"/>
        <w:rPr>
          <w:rFonts w:ascii="VIC" w:hAnsi="VIC"/>
          <w:sz w:val="22"/>
          <w:szCs w:val="22"/>
        </w:rPr>
      </w:pPr>
      <w:r w:rsidRPr="00524BFB">
        <w:t>The project team should work with key stakeholders to set selection criteria that align with the project</w:t>
      </w:r>
      <w:r w:rsidR="00344D3F">
        <w:t>’</w:t>
      </w:r>
      <w:r w:rsidRPr="00524BFB">
        <w:t>s pr</w:t>
      </w:r>
      <w:r w:rsidRPr="00AE5A63">
        <w:t xml:space="preserve">iority outcomes and procurement objectives </w:t>
      </w:r>
      <w:r w:rsidR="00F20624">
        <w:t>determined</w:t>
      </w:r>
      <w:r w:rsidRPr="00AE5A63">
        <w:t xml:space="preserve"> in </w:t>
      </w:r>
      <w:r w:rsidR="00CD1F63">
        <w:fldChar w:fldCharType="begin"/>
      </w:r>
      <w:r w:rsidR="00CD1F63">
        <w:instrText xml:space="preserve"> REF Step1 \h </w:instrText>
      </w:r>
      <w:r w:rsidR="00CD1F63">
        <w:fldChar w:fldCharType="separate"/>
      </w:r>
      <w:r w:rsidR="008A4B3E" w:rsidRPr="00524BFB">
        <w:t>Step 1</w:t>
      </w:r>
      <w:r w:rsidR="00CD1F63">
        <w:fldChar w:fldCharType="end"/>
      </w:r>
      <w:r w:rsidR="00CD1F63">
        <w:t xml:space="preserve"> and </w:t>
      </w:r>
      <w:r w:rsidR="00CD1F63">
        <w:fldChar w:fldCharType="begin"/>
      </w:r>
      <w:r w:rsidR="00CD1F63">
        <w:instrText xml:space="preserve"> REF Step2 \h </w:instrText>
      </w:r>
      <w:r w:rsidR="00CD1F63">
        <w:fldChar w:fldCharType="separate"/>
      </w:r>
      <w:r w:rsidR="008A4B3E" w:rsidRPr="00524BFB">
        <w:t>Step 2</w:t>
      </w:r>
      <w:r w:rsidR="00CD1F63">
        <w:fldChar w:fldCharType="end"/>
      </w:r>
      <w:r w:rsidRPr="00AE5A63">
        <w:t xml:space="preserve">. A percentage weighting should be assigned to </w:t>
      </w:r>
      <w:r>
        <w:t>each</w:t>
      </w:r>
      <w:r w:rsidRPr="00AE5A63">
        <w:t xml:space="preserve"> criterion based on </w:t>
      </w:r>
      <w:r w:rsidR="00A35D39">
        <w:t xml:space="preserve">its </w:t>
      </w:r>
      <w:r w:rsidRPr="00AE5A63">
        <w:t xml:space="preserve">relative importance to achieving the objectives. Justification for the selected criteria and weighting should be documented. </w:t>
      </w:r>
      <w:r>
        <w:t>If</w:t>
      </w:r>
      <w:r w:rsidRPr="00AE5A63">
        <w:t xml:space="preserve"> </w:t>
      </w:r>
      <w:r w:rsidR="00470F52">
        <w:t xml:space="preserve">the project team is considering </w:t>
      </w:r>
      <w:r w:rsidRPr="00AE5A63">
        <w:t xml:space="preserve">procurement model selection criteria </w:t>
      </w:r>
      <w:r>
        <w:t xml:space="preserve">that vary from those listed in </w:t>
      </w:r>
      <w:r w:rsidR="005E6915">
        <w:fldChar w:fldCharType="begin" w:fldLock="1"/>
      </w:r>
      <w:r w:rsidR="005E6915">
        <w:instrText xml:space="preserve"> REF _Ref144238114 \h </w:instrText>
      </w:r>
      <w:r w:rsidR="005E6915">
        <w:fldChar w:fldCharType="separate"/>
      </w:r>
      <w:r w:rsidR="003D4A19">
        <w:t xml:space="preserve">Table </w:t>
      </w:r>
      <w:r w:rsidR="003D4A19">
        <w:rPr>
          <w:noProof/>
        </w:rPr>
        <w:t>9</w:t>
      </w:r>
      <w:r w:rsidR="005E6915">
        <w:fldChar w:fldCharType="end"/>
      </w:r>
      <w:r w:rsidRPr="00AE5A63">
        <w:t xml:space="preserve">, </w:t>
      </w:r>
      <w:r w:rsidR="008727C7">
        <w:t xml:space="preserve">they should consult with </w:t>
      </w:r>
      <w:r w:rsidRPr="00AE5A63">
        <w:t>DTF early in the development process.</w:t>
      </w:r>
    </w:p>
    <w:p w14:paraId="27DBD393" w14:textId="0AB37E1A" w:rsidR="00710A0D" w:rsidRDefault="00A35D39" w:rsidP="00834461">
      <w:pPr>
        <w:pStyle w:val="NormalIndent"/>
        <w:rPr>
          <w:rFonts w:eastAsia="MS Mincho" w:cs="Times New Roman"/>
        </w:rPr>
      </w:pPr>
      <w:r>
        <w:t>Table 9</w:t>
      </w:r>
      <w:r w:rsidR="00710A0D" w:rsidRPr="00AE5A63">
        <w:t xml:space="preserve"> describes </w:t>
      </w:r>
      <w:r w:rsidR="00710A0D">
        <w:t xml:space="preserve">standard </w:t>
      </w:r>
      <w:r w:rsidR="00710A0D" w:rsidRPr="00AE5A63">
        <w:t xml:space="preserve">procurement model selection criteria derived from the </w:t>
      </w:r>
      <w:r w:rsidR="00710A0D">
        <w:t xml:space="preserve">common </w:t>
      </w:r>
      <w:r w:rsidR="00710A0D" w:rsidRPr="00AE5A63">
        <w:t xml:space="preserve">procurement objectives outlined in </w:t>
      </w:r>
      <w:r w:rsidR="00CD1F63">
        <w:fldChar w:fldCharType="begin"/>
      </w:r>
      <w:r w:rsidR="00CD1F63">
        <w:instrText xml:space="preserve"> REF Step1 \h </w:instrText>
      </w:r>
      <w:r w:rsidR="00CD1F63">
        <w:fldChar w:fldCharType="separate"/>
      </w:r>
      <w:r w:rsidR="008A4B3E" w:rsidRPr="00524BFB">
        <w:t>Step 1</w:t>
      </w:r>
      <w:r w:rsidR="00CD1F63">
        <w:fldChar w:fldCharType="end"/>
      </w:r>
      <w:r w:rsidR="00CD1F63">
        <w:t xml:space="preserve"> </w:t>
      </w:r>
      <w:r w:rsidR="00710A0D" w:rsidRPr="00AE5A63">
        <w:t>. There is no minimum or maximum number of criteria to consider in detail</w:t>
      </w:r>
      <w:r w:rsidR="008727C7">
        <w:t>.</w:t>
      </w:r>
      <w:r w:rsidR="00710A0D" w:rsidRPr="00AE5A63">
        <w:t xml:space="preserve"> </w:t>
      </w:r>
      <w:r w:rsidR="008727C7">
        <w:t>H</w:t>
      </w:r>
      <w:r w:rsidR="008727C7" w:rsidRPr="00AE5A63">
        <w:t>owever</w:t>
      </w:r>
      <w:r w:rsidR="00710A0D">
        <w:t>,</w:t>
      </w:r>
      <w:r w:rsidR="00710A0D" w:rsidRPr="00AE5A63">
        <w:t xml:space="preserve"> a selection of five or six should provide coverage of the key outcomes relevant to the project. Ultimately, the selection of the most suitable contractual model depends on a comprehensive assessment of project objectives, complexities, risks, </w:t>
      </w:r>
      <w:r w:rsidR="00BF4D31">
        <w:t>the</w:t>
      </w:r>
      <w:r w:rsidR="00BF4D31" w:rsidRPr="00AE5A63">
        <w:t xml:space="preserve"> </w:t>
      </w:r>
      <w:r w:rsidR="00710A0D" w:rsidRPr="00AE5A63">
        <w:t>delivery and operating environment, financing needs and the involvement</w:t>
      </w:r>
      <w:r w:rsidR="00710A0D" w:rsidRPr="2E598E95">
        <w:rPr>
          <w:rFonts w:eastAsia="MS Mincho" w:cs="Times New Roman"/>
        </w:rPr>
        <w:t xml:space="preserve"> of relevant stakeholders.</w:t>
      </w:r>
    </w:p>
    <w:p w14:paraId="044692EF" w14:textId="3BE3DEC8" w:rsidR="005E6915" w:rsidRDefault="005E6915" w:rsidP="00171CF8">
      <w:pPr>
        <w:pStyle w:val="Captionindent"/>
      </w:pPr>
      <w:bookmarkStart w:id="285" w:name="_Ref144238114"/>
      <w:bookmarkStart w:id="286" w:name="_Toc145621357"/>
      <w:bookmarkStart w:id="287" w:name="_Toc146097251"/>
      <w:r>
        <w:t xml:space="preserve">Table </w:t>
      </w:r>
      <w:r>
        <w:fldChar w:fldCharType="begin"/>
      </w:r>
      <w:r>
        <w:instrText>SEQ Table \* ARABIC</w:instrText>
      </w:r>
      <w:r>
        <w:fldChar w:fldCharType="separate"/>
      </w:r>
      <w:r w:rsidR="008A4B3E">
        <w:rPr>
          <w:noProof/>
        </w:rPr>
        <w:t>9</w:t>
      </w:r>
      <w:r>
        <w:fldChar w:fldCharType="end"/>
      </w:r>
      <w:bookmarkEnd w:id="285"/>
      <w:r w:rsidR="00C72879">
        <w:t xml:space="preserve"> –</w:t>
      </w:r>
      <w:r w:rsidRPr="006848EA">
        <w:t xml:space="preserve"> Standard procurement </w:t>
      </w:r>
      <w:r w:rsidR="002063A1">
        <w:t>model</w:t>
      </w:r>
      <w:r w:rsidR="002063A1" w:rsidRPr="006848EA">
        <w:t xml:space="preserve"> </w:t>
      </w:r>
      <w:r w:rsidRPr="006848EA">
        <w:t>selection criteria (SC)</w:t>
      </w:r>
      <w:bookmarkEnd w:id="286"/>
      <w:bookmarkEnd w:id="287"/>
    </w:p>
    <w:tbl>
      <w:tblPr>
        <w:tblStyle w:val="DTFtexttableindent"/>
        <w:tblW w:w="8298" w:type="dxa"/>
        <w:tblLook w:val="04A0" w:firstRow="1" w:lastRow="0" w:firstColumn="1" w:lastColumn="0" w:noHBand="0" w:noVBand="1"/>
      </w:tblPr>
      <w:tblGrid>
        <w:gridCol w:w="2898"/>
        <w:gridCol w:w="5400"/>
      </w:tblGrid>
      <w:tr w:rsidR="00710A0D" w:rsidRPr="00AE5A63" w14:paraId="61DFA780" w14:textId="77777777" w:rsidTr="00C147E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298" w:type="dxa"/>
            <w:gridSpan w:val="2"/>
          </w:tcPr>
          <w:p w14:paraId="2681EFF7" w14:textId="77777777" w:rsidR="00710A0D" w:rsidRPr="00AE5A63" w:rsidRDefault="00710A0D" w:rsidP="00F7602B">
            <w:pPr>
              <w:pStyle w:val="Tableheader"/>
            </w:pPr>
            <w:r w:rsidRPr="00AE5A63">
              <w:t>Optimise quality and cost outcomes</w:t>
            </w:r>
          </w:p>
        </w:tc>
      </w:tr>
      <w:tr w:rsidR="00710A0D" w:rsidRPr="004D1D2E" w14:paraId="4B77ECBC" w14:textId="77777777" w:rsidTr="00C147EA">
        <w:trPr>
          <w:trHeight w:val="173"/>
        </w:trPr>
        <w:tc>
          <w:tcPr>
            <w:cnfStyle w:val="001000000000" w:firstRow="0" w:lastRow="0" w:firstColumn="1" w:lastColumn="0" w:oddVBand="0" w:evenVBand="0" w:oddHBand="0" w:evenHBand="0" w:firstRowFirstColumn="0" w:firstRowLastColumn="0" w:lastRowFirstColumn="0" w:lastRowLastColumn="0"/>
            <w:tcW w:w="8298" w:type="dxa"/>
            <w:gridSpan w:val="2"/>
          </w:tcPr>
          <w:p w14:paraId="5C29D25C" w14:textId="77777777" w:rsidR="00710A0D" w:rsidRPr="004D1D2E" w:rsidRDefault="00710A0D" w:rsidP="00F7602B">
            <w:pPr>
              <w:rPr>
                <w:rFonts w:asciiTheme="majorHAnsi" w:hAnsiTheme="majorHAnsi"/>
              </w:rPr>
            </w:pPr>
            <w:r w:rsidRPr="004D1D2E">
              <w:rPr>
                <w:rFonts w:asciiTheme="majorHAnsi" w:hAnsiTheme="majorHAnsi"/>
              </w:rPr>
              <w:t>SC1. Whole</w:t>
            </w:r>
            <w:r>
              <w:rPr>
                <w:rFonts w:asciiTheme="majorHAnsi" w:hAnsiTheme="majorHAnsi"/>
              </w:rPr>
              <w:t>-</w:t>
            </w:r>
            <w:r w:rsidRPr="004D1D2E">
              <w:rPr>
                <w:rFonts w:asciiTheme="majorHAnsi" w:hAnsiTheme="majorHAnsi"/>
              </w:rPr>
              <w:t>of</w:t>
            </w:r>
            <w:r>
              <w:rPr>
                <w:rFonts w:asciiTheme="majorHAnsi" w:hAnsiTheme="majorHAnsi"/>
              </w:rPr>
              <w:t>-</w:t>
            </w:r>
            <w:r w:rsidRPr="004D1D2E">
              <w:rPr>
                <w:rFonts w:asciiTheme="majorHAnsi" w:hAnsiTheme="majorHAnsi"/>
              </w:rPr>
              <w:t xml:space="preserve">life cost </w:t>
            </w:r>
            <w:r>
              <w:rPr>
                <w:rFonts w:asciiTheme="majorHAnsi" w:hAnsiTheme="majorHAnsi"/>
              </w:rPr>
              <w:t xml:space="preserve">effectiveness </w:t>
            </w:r>
            <w:r w:rsidRPr="004D1D2E">
              <w:rPr>
                <w:rFonts w:asciiTheme="majorHAnsi" w:hAnsiTheme="majorHAnsi"/>
              </w:rPr>
              <w:t>and accountability</w:t>
            </w:r>
          </w:p>
        </w:tc>
      </w:tr>
      <w:tr w:rsidR="00710A0D" w:rsidRPr="00AE5A63" w14:paraId="1960DB8F" w14:textId="77777777" w:rsidTr="00C147EA">
        <w:trPr>
          <w:cnfStyle w:val="000000010000" w:firstRow="0" w:lastRow="0" w:firstColumn="0" w:lastColumn="0" w:oddVBand="0" w:evenVBand="0" w:oddHBand="0" w:evenHBand="1"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2898" w:type="dxa"/>
          </w:tcPr>
          <w:p w14:paraId="52C1D5EB" w14:textId="77777777" w:rsidR="00710A0D" w:rsidRPr="00AE5A63" w:rsidRDefault="00710A0D" w:rsidP="00F7602B">
            <w:r w:rsidRPr="00AE5A63">
              <w:t>How important is it that there is a strong incentive to minimise whole</w:t>
            </w:r>
            <w:r>
              <w:t>-</w:t>
            </w:r>
            <w:r w:rsidRPr="00AE5A63">
              <w:t>of</w:t>
            </w:r>
            <w:r>
              <w:t>-</w:t>
            </w:r>
            <w:r w:rsidRPr="00AE5A63">
              <w:t xml:space="preserve">life cost outcomes and is there a single point </w:t>
            </w:r>
            <w:r>
              <w:t>of</w:t>
            </w:r>
            <w:r w:rsidRPr="00AE5A63">
              <w:t xml:space="preserve"> accountability to achieve this? </w:t>
            </w:r>
          </w:p>
        </w:tc>
        <w:tc>
          <w:tcPr>
            <w:tcW w:w="5400" w:type="dxa"/>
          </w:tcPr>
          <w:p w14:paraId="7138683E" w14:textId="77777777" w:rsidR="00710A0D" w:rsidRDefault="00710A0D" w:rsidP="00F7602B">
            <w:pPr>
              <w:cnfStyle w:val="000000010000" w:firstRow="0" w:lastRow="0" w:firstColumn="0" w:lastColumn="0" w:oddVBand="0" w:evenVBand="0" w:oddHBand="0" w:evenHBand="1" w:firstRowFirstColumn="0" w:firstRowLastColumn="0" w:lastRowFirstColumn="0" w:lastRowLastColumn="0"/>
            </w:pPr>
            <w:r w:rsidRPr="00AE5A63">
              <w:t xml:space="preserve">Considering whole-of-life cost </w:t>
            </w:r>
            <w:r>
              <w:t xml:space="preserve">effectiveness </w:t>
            </w:r>
            <w:r w:rsidRPr="00AE5A63">
              <w:t>and accountability is important in procurement models that include an operations and maintenance component.</w:t>
            </w:r>
          </w:p>
          <w:p w14:paraId="1C04047E" w14:textId="64EF5F34" w:rsidR="00710A0D" w:rsidRDefault="00710A0D" w:rsidP="00F7602B">
            <w:pPr>
              <w:cnfStyle w:val="000000010000" w:firstRow="0" w:lastRow="0" w:firstColumn="0" w:lastColumn="0" w:oddVBand="0" w:evenVBand="0" w:oddHBand="0" w:evenHBand="1" w:firstRowFirstColumn="0" w:firstRowLastColumn="0" w:lastRowFirstColumn="0" w:lastRowLastColumn="0"/>
            </w:pPr>
            <w:r w:rsidRPr="00AE5A63">
              <w:t>This should consider the project</w:t>
            </w:r>
            <w:r w:rsidR="00344D3F">
              <w:t>’</w:t>
            </w:r>
            <w:r w:rsidRPr="00AE5A63">
              <w:t>s size, complexity, risk profile, level of service specification, its delivery and operating environment</w:t>
            </w:r>
            <w:r>
              <w:t xml:space="preserve">, </w:t>
            </w:r>
            <w:r w:rsidRPr="00AE5A63">
              <w:t>market structure and depth.</w:t>
            </w:r>
          </w:p>
          <w:p w14:paraId="612D13E3" w14:textId="7BABBC09" w:rsidR="00710A0D" w:rsidRPr="00AE5A63" w:rsidRDefault="00710A0D" w:rsidP="00F91F8C">
            <w:pPr>
              <w:pStyle w:val="NoteNormal"/>
              <w:cnfStyle w:val="000000010000" w:firstRow="0" w:lastRow="0" w:firstColumn="0" w:lastColumn="0" w:oddVBand="0" w:evenVBand="0" w:oddHBand="0" w:evenHBand="1" w:firstRowFirstColumn="0" w:firstRowLastColumn="0" w:lastRowFirstColumn="0" w:lastRowLastColumn="0"/>
            </w:pPr>
            <w:r w:rsidRPr="00AE5A63">
              <w:t xml:space="preserve">* </w:t>
            </w:r>
            <w:r w:rsidRPr="00A6449E">
              <w:rPr>
                <w:b/>
                <w:bCs/>
              </w:rPr>
              <w:t>NOTE</w:t>
            </w:r>
            <w:r w:rsidRPr="00AE5A63">
              <w:t xml:space="preserve">: </w:t>
            </w:r>
            <w:r w:rsidR="00590664">
              <w:t>A</w:t>
            </w:r>
            <w:r>
              <w:t xml:space="preserve">ll project development should consider </w:t>
            </w:r>
            <w:r w:rsidRPr="00AE5A63">
              <w:t xml:space="preserve">whole-of-life cost </w:t>
            </w:r>
            <w:r>
              <w:t>effectiveness</w:t>
            </w:r>
            <w:r w:rsidR="00590664">
              <w:t>.</w:t>
            </w:r>
            <w:r>
              <w:t xml:space="preserve"> </w:t>
            </w:r>
            <w:r w:rsidR="00590664">
              <w:t>T</w:t>
            </w:r>
            <w:r w:rsidR="00590664" w:rsidRPr="00AE5A63">
              <w:t xml:space="preserve">his </w:t>
            </w:r>
            <w:r w:rsidRPr="00AE5A63">
              <w:t>criterion</w:t>
            </w:r>
            <w:r>
              <w:t xml:space="preserve"> is relevant where it has been determined that bundling (construction with </w:t>
            </w:r>
            <w:r w:rsidRPr="00EF0204">
              <w:t>maintenance</w:t>
            </w:r>
            <w:r w:rsidRPr="00524BFB">
              <w:t xml:space="preserve">, operations </w:t>
            </w:r>
            <w:r>
              <w:t xml:space="preserve">or </w:t>
            </w:r>
            <w:r w:rsidRPr="00524BFB">
              <w:t>facilities</w:t>
            </w:r>
            <w:r>
              <w:t xml:space="preserve"> </w:t>
            </w:r>
            <w:r w:rsidRPr="00524BFB">
              <w:t>management</w:t>
            </w:r>
            <w:r>
              <w:t>)</w:t>
            </w:r>
            <w:r w:rsidRPr="00524BFB">
              <w:t xml:space="preserve"> </w:t>
            </w:r>
            <w:r>
              <w:t>may be beneficial to project outcomes</w:t>
            </w:r>
            <w:r w:rsidRPr="00AE5A63">
              <w:t>.</w:t>
            </w:r>
          </w:p>
        </w:tc>
      </w:tr>
      <w:tr w:rsidR="00710A0D" w:rsidRPr="004D1D2E" w14:paraId="5F5CE6A4" w14:textId="77777777" w:rsidTr="00C147EA">
        <w:tc>
          <w:tcPr>
            <w:cnfStyle w:val="001000000000" w:firstRow="0" w:lastRow="0" w:firstColumn="1" w:lastColumn="0" w:oddVBand="0" w:evenVBand="0" w:oddHBand="0" w:evenHBand="0" w:firstRowFirstColumn="0" w:firstRowLastColumn="0" w:lastRowFirstColumn="0" w:lastRowLastColumn="0"/>
            <w:tcW w:w="8298" w:type="dxa"/>
            <w:gridSpan w:val="2"/>
          </w:tcPr>
          <w:p w14:paraId="33D3CC99" w14:textId="77777777" w:rsidR="00710A0D" w:rsidRPr="004D1D2E" w:rsidRDefault="00710A0D" w:rsidP="00F7602B">
            <w:pPr>
              <w:keepNext/>
              <w:rPr>
                <w:rFonts w:asciiTheme="majorHAnsi" w:hAnsiTheme="majorHAnsi"/>
              </w:rPr>
            </w:pPr>
            <w:r w:rsidRPr="004D1D2E">
              <w:rPr>
                <w:rFonts w:asciiTheme="majorHAnsi" w:hAnsiTheme="majorHAnsi"/>
              </w:rPr>
              <w:t>SC2. Contractor innovation</w:t>
            </w:r>
          </w:p>
        </w:tc>
      </w:tr>
      <w:tr w:rsidR="00710A0D" w:rsidRPr="00AE5A63" w14:paraId="05F30CF8" w14:textId="77777777" w:rsidTr="00C147EA">
        <w:trPr>
          <w:cnfStyle w:val="000000010000" w:firstRow="0" w:lastRow="0" w:firstColumn="0" w:lastColumn="0" w:oddVBand="0" w:evenVBand="0" w:oddHBand="0" w:evenHBand="1" w:firstRowFirstColumn="0" w:firstRowLastColumn="0" w:lastRowFirstColumn="0" w:lastRowLastColumn="0"/>
          <w:trHeight w:val="1786"/>
        </w:trPr>
        <w:tc>
          <w:tcPr>
            <w:cnfStyle w:val="001000000000" w:firstRow="0" w:lastRow="0" w:firstColumn="1" w:lastColumn="0" w:oddVBand="0" w:evenVBand="0" w:oddHBand="0" w:evenHBand="0" w:firstRowFirstColumn="0" w:firstRowLastColumn="0" w:lastRowFirstColumn="0" w:lastRowLastColumn="0"/>
            <w:tcW w:w="2898" w:type="dxa"/>
          </w:tcPr>
          <w:p w14:paraId="0A091259" w14:textId="77777777" w:rsidR="00710A0D" w:rsidRPr="00AE5A63" w:rsidRDefault="00710A0D" w:rsidP="00F7602B">
            <w:pPr>
              <w:rPr>
                <w:rFonts w:ascii="Arial" w:hAnsi="Arial"/>
                <w:iCs/>
              </w:rPr>
            </w:pPr>
            <w:r w:rsidRPr="00AE5A63">
              <w:t xml:space="preserve">How important is it that </w:t>
            </w:r>
            <w:r>
              <w:t>the</w:t>
            </w:r>
            <w:r w:rsidRPr="00AE5A63">
              <w:t xml:space="preserve"> contractor is incentivised to deliver new approaches in design and construction to support improved outcomes?</w:t>
            </w:r>
          </w:p>
        </w:tc>
        <w:tc>
          <w:tcPr>
            <w:tcW w:w="5400" w:type="dxa"/>
          </w:tcPr>
          <w:p w14:paraId="1911A1F9" w14:textId="2583B60D" w:rsidR="00710A0D" w:rsidRPr="00AE5A63" w:rsidRDefault="00710A0D" w:rsidP="00F7602B">
            <w:pPr>
              <w:cnfStyle w:val="000000010000" w:firstRow="0" w:lastRow="0" w:firstColumn="0" w:lastColumn="0" w:oddVBand="0" w:evenVBand="0" w:oddHBand="0" w:evenHBand="1" w:firstRowFirstColumn="0" w:firstRowLastColumn="0" w:lastRowFirstColumn="0" w:lastRowLastColumn="0"/>
            </w:pPr>
            <w:r w:rsidRPr="00AE5A63">
              <w:t xml:space="preserve">This may include </w:t>
            </w:r>
            <w:r w:rsidR="00A35D39">
              <w:t xml:space="preserve">new solutions to address </w:t>
            </w:r>
            <w:r w:rsidRPr="00AE5A63">
              <w:t>constructability, value engineering, improved functionality of the asset to end users/direct operators, and/or designing for maintenance, replacement and refurbishment</w:t>
            </w:r>
            <w:r w:rsidR="00A35D39">
              <w:t>. O</w:t>
            </w:r>
            <w:r w:rsidRPr="00AE5A63">
              <w:t xml:space="preserve">ften </w:t>
            </w:r>
            <w:r w:rsidR="00A35D39">
              <w:t xml:space="preserve">these solutions will </w:t>
            </w:r>
            <w:r w:rsidRPr="00AE5A63">
              <w:t>requir</w:t>
            </w:r>
            <w:r w:rsidR="00A35D39">
              <w:t>e</w:t>
            </w:r>
            <w:r w:rsidRPr="00AE5A63">
              <w:t xml:space="preserve"> a single point </w:t>
            </w:r>
            <w:r w:rsidR="00A35D39">
              <w:t xml:space="preserve">to assume </w:t>
            </w:r>
            <w:r w:rsidRPr="00AE5A63">
              <w:t>responsibility for design and construction (and operations and maintenance where relevant) to encourage innovation.</w:t>
            </w:r>
          </w:p>
          <w:p w14:paraId="547F856D" w14:textId="77777777" w:rsidR="00710A0D" w:rsidRPr="00AE5A63" w:rsidRDefault="00710A0D" w:rsidP="00F7602B">
            <w:pPr>
              <w:cnfStyle w:val="000000010000" w:firstRow="0" w:lastRow="0" w:firstColumn="0" w:lastColumn="0" w:oddVBand="0" w:evenVBand="0" w:oddHBand="0" w:evenHBand="1" w:firstRowFirstColumn="0" w:firstRowLastColumn="0" w:lastRowFirstColumn="0" w:lastRowLastColumn="0"/>
            </w:pPr>
            <w:r w:rsidRPr="00AE5A63">
              <w:t>This should consider the willingness of the market to accept design risk and the relationship between the design, construction, operations and maintenance phases of the project to deliver improved outcomes.</w:t>
            </w:r>
          </w:p>
          <w:p w14:paraId="3B2E9ABD" w14:textId="291A938B" w:rsidR="00710A0D" w:rsidRPr="00AE5A63" w:rsidRDefault="00710A0D" w:rsidP="00F7602B">
            <w:pPr>
              <w:pStyle w:val="NoteNormal"/>
              <w:cnfStyle w:val="000000010000" w:firstRow="0" w:lastRow="0" w:firstColumn="0" w:lastColumn="0" w:oddVBand="0" w:evenVBand="0" w:oddHBand="0" w:evenHBand="1" w:firstRowFirstColumn="0" w:firstRowLastColumn="0" w:lastRowFirstColumn="0" w:lastRowLastColumn="0"/>
              <w:rPr>
                <w:rFonts w:ascii="Arial" w:hAnsi="Arial"/>
              </w:rPr>
            </w:pPr>
            <w:r w:rsidRPr="00AE5A63">
              <w:t xml:space="preserve">* </w:t>
            </w:r>
            <w:r w:rsidRPr="00A6449E">
              <w:rPr>
                <w:b/>
                <w:bCs/>
              </w:rPr>
              <w:t>NOTE</w:t>
            </w:r>
            <w:r w:rsidRPr="00AE5A63">
              <w:t xml:space="preserve">: </w:t>
            </w:r>
            <w:r>
              <w:t>Client</w:t>
            </w:r>
            <w:r w:rsidRPr="00AE5A63">
              <w:t xml:space="preserve"> input into project design and development </w:t>
            </w:r>
            <w:r>
              <w:t>and collaboration with the contractor</w:t>
            </w:r>
            <w:r w:rsidRPr="00AE5A63">
              <w:t xml:space="preserve"> </w:t>
            </w:r>
            <w:r>
              <w:t>should be considered in</w:t>
            </w:r>
            <w:r w:rsidRPr="00AE5A63">
              <w:t xml:space="preserve"> SC3 if client control over design</w:t>
            </w:r>
            <w:r>
              <w:t xml:space="preserve"> is required</w:t>
            </w:r>
            <w:r w:rsidR="00A35D39">
              <w:t>. Consider</w:t>
            </w:r>
            <w:r>
              <w:t xml:space="preserve"> SC9 if collaboration with the contractor is necessary to resolve unavoidable uncertainty in the project scope or </w:t>
            </w:r>
            <w:r w:rsidRPr="00AE5A63">
              <w:t>design</w:t>
            </w:r>
            <w:r>
              <w:t xml:space="preserve"> </w:t>
            </w:r>
            <w:r w:rsidRPr="00AE5A63">
              <w:t>stage supply chain integration is necessary to resolve complex technical issues.</w:t>
            </w:r>
          </w:p>
        </w:tc>
      </w:tr>
      <w:tr w:rsidR="004D7BDC" w:rsidRPr="00AE5A63" w:rsidDel="006E681E" w14:paraId="1F183A70" w14:textId="77777777" w:rsidTr="004D7BDC">
        <w:tc>
          <w:tcPr>
            <w:cnfStyle w:val="001000000000" w:firstRow="0" w:lastRow="0" w:firstColumn="1" w:lastColumn="0" w:oddVBand="0" w:evenVBand="0" w:oddHBand="0" w:evenHBand="0" w:firstRowFirstColumn="0" w:firstRowLastColumn="0" w:lastRowFirstColumn="0" w:lastRowLastColumn="0"/>
            <w:tcW w:w="2898" w:type="dxa"/>
          </w:tcPr>
          <w:p w14:paraId="03C84864" w14:textId="7F42113A" w:rsidR="004D7BDC" w:rsidRPr="00AE5A63" w:rsidDel="002875AE" w:rsidRDefault="004D7BDC" w:rsidP="00F7602B">
            <w:r w:rsidRPr="004D1D2E" w:rsidDel="002875AE">
              <w:rPr>
                <w:rFonts w:asciiTheme="majorHAnsi" w:hAnsiTheme="majorHAnsi"/>
              </w:rPr>
              <w:t>SC</w:t>
            </w:r>
            <w:r w:rsidRPr="004D1D2E">
              <w:rPr>
                <w:rFonts w:asciiTheme="majorHAnsi" w:hAnsiTheme="majorHAnsi"/>
              </w:rPr>
              <w:t>3</w:t>
            </w:r>
            <w:r w:rsidRPr="004D1D2E" w:rsidDel="002875AE">
              <w:rPr>
                <w:rFonts w:asciiTheme="majorHAnsi" w:hAnsiTheme="majorHAnsi"/>
              </w:rPr>
              <w:t>. Client control</w:t>
            </w:r>
          </w:p>
        </w:tc>
        <w:tc>
          <w:tcPr>
            <w:tcW w:w="5400" w:type="dxa"/>
            <w:shd w:val="clear" w:color="auto" w:fill="F2F2F2" w:themeFill="background1" w:themeFillShade="F2"/>
          </w:tcPr>
          <w:p w14:paraId="358DE1B2" w14:textId="77777777" w:rsidR="004D7BDC" w:rsidRDefault="004D7BDC" w:rsidP="00F7602B">
            <w:pPr>
              <w:cnfStyle w:val="000000000000" w:firstRow="0" w:lastRow="0" w:firstColumn="0" w:lastColumn="0" w:oddVBand="0" w:evenVBand="0" w:oddHBand="0" w:evenHBand="0" w:firstRowFirstColumn="0" w:firstRowLastColumn="0" w:lastRowFirstColumn="0" w:lastRowLastColumn="0"/>
            </w:pPr>
          </w:p>
        </w:tc>
      </w:tr>
      <w:tr w:rsidR="00710A0D" w:rsidRPr="00AE5A63" w:rsidDel="006E681E" w14:paraId="078FBE62" w14:textId="77777777" w:rsidTr="00C147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14:paraId="037F84A8" w14:textId="22F63CBB" w:rsidR="00710A0D" w:rsidRPr="00AE5A63" w:rsidDel="006E681E" w:rsidRDefault="00710A0D" w:rsidP="00F7602B">
            <w:pPr>
              <w:rPr>
                <w:rFonts w:ascii="Arial" w:hAnsi="Arial"/>
              </w:rPr>
            </w:pPr>
            <w:r w:rsidRPr="00AE5A63" w:rsidDel="002875AE">
              <w:t xml:space="preserve">How important is it that the </w:t>
            </w:r>
            <w:r w:rsidRPr="00AE5A63">
              <w:t xml:space="preserve">client control </w:t>
            </w:r>
            <w:r w:rsidRPr="00AE5A63" w:rsidDel="002875AE">
              <w:t>the</w:t>
            </w:r>
            <w:r w:rsidRPr="00AE5A63" w:rsidDel="00535B7B">
              <w:t xml:space="preserve"> </w:t>
            </w:r>
            <w:r w:rsidRPr="00AE5A63" w:rsidDel="002875AE">
              <w:t xml:space="preserve">design brief and </w:t>
            </w:r>
            <w:r w:rsidR="00E401A8">
              <w:t>what</w:t>
            </w:r>
            <w:r w:rsidRPr="00AE5A63" w:rsidDel="002875AE">
              <w:t xml:space="preserve"> level of control </w:t>
            </w:r>
            <w:r w:rsidR="00E401A8">
              <w:t xml:space="preserve">is </w:t>
            </w:r>
            <w:r w:rsidRPr="00AE5A63" w:rsidDel="002875AE">
              <w:t>needed to ensure compliance</w:t>
            </w:r>
            <w:r>
              <w:t xml:space="preserve"> or address stakeholder requirements?</w:t>
            </w:r>
          </w:p>
        </w:tc>
        <w:tc>
          <w:tcPr>
            <w:tcW w:w="5400" w:type="dxa"/>
          </w:tcPr>
          <w:p w14:paraId="4E10D901" w14:textId="5D0F175A" w:rsidR="00710A0D" w:rsidRPr="00AE5A63" w:rsidDel="002875AE" w:rsidRDefault="00710A0D" w:rsidP="00F7602B">
            <w:pPr>
              <w:cnfStyle w:val="000000010000" w:firstRow="0" w:lastRow="0" w:firstColumn="0" w:lastColumn="0" w:oddVBand="0" w:evenVBand="0" w:oddHBand="0" w:evenHBand="1" w:firstRowFirstColumn="0" w:firstRowLastColumn="0" w:lastRowFirstColumn="0" w:lastRowLastColumn="0"/>
            </w:pPr>
            <w:r>
              <w:t>Clients may require greater control over the project</w:t>
            </w:r>
            <w:r w:rsidR="00344D3F">
              <w:t>’</w:t>
            </w:r>
            <w:r>
              <w:t>s design, including through collaboration with the contractor, to ensure compliance.</w:t>
            </w:r>
          </w:p>
          <w:p w14:paraId="7761C923" w14:textId="77777777" w:rsidR="00710A0D" w:rsidRPr="00AE5A63" w:rsidDel="002875AE" w:rsidRDefault="00710A0D" w:rsidP="00F7602B">
            <w:pPr>
              <w:cnfStyle w:val="000000010000" w:firstRow="0" w:lastRow="0" w:firstColumn="0" w:lastColumn="0" w:oddVBand="0" w:evenVBand="0" w:oddHBand="0" w:evenHBand="1" w:firstRowFirstColumn="0" w:firstRowLastColumn="0" w:lastRowFirstColumn="0" w:lastRowLastColumn="0"/>
            </w:pPr>
            <w:r w:rsidRPr="00AE5A63" w:rsidDel="002875AE">
              <w:t xml:space="preserve">This criterion assesses the need </w:t>
            </w:r>
            <w:r w:rsidRPr="00AE5A63">
              <w:t xml:space="preserve">and level of </w:t>
            </w:r>
            <w:r w:rsidRPr="00AE5A63" w:rsidDel="002875AE">
              <w:t xml:space="preserve">control </w:t>
            </w:r>
            <w:r>
              <w:t>required. This may be driven by</w:t>
            </w:r>
            <w:r w:rsidRPr="00AE5A63" w:rsidDel="002875AE">
              <w:t xml:space="preserve"> specific stakeholder requirements such as third-party approvals</w:t>
            </w:r>
            <w:r w:rsidRPr="00AE5A63">
              <w:t xml:space="preserve"> </w:t>
            </w:r>
            <w:r w:rsidRPr="00AE5A63" w:rsidDel="002875AE">
              <w:t xml:space="preserve">and/or the level of specialisation </w:t>
            </w:r>
            <w:r w:rsidRPr="00AE5A63">
              <w:t>or uniqueness</w:t>
            </w:r>
            <w:r w:rsidRPr="00AE5A63" w:rsidDel="002875AE">
              <w:t xml:space="preserve">. It </w:t>
            </w:r>
            <w:r>
              <w:t>should</w:t>
            </w:r>
            <w:r w:rsidRPr="00AE5A63" w:rsidDel="002875AE">
              <w:t xml:space="preserve"> also consider the clients ability to retain design risk and its ability to clearly define its requirements to the market.</w:t>
            </w:r>
          </w:p>
          <w:p w14:paraId="7D6E3261" w14:textId="2997A6CD" w:rsidR="00710A0D" w:rsidRPr="00AE5A63" w:rsidDel="006E681E" w:rsidRDefault="00710A0D" w:rsidP="00F7602B">
            <w:pPr>
              <w:pStyle w:val="NoteNormal"/>
              <w:cnfStyle w:val="000000010000" w:firstRow="0" w:lastRow="0" w:firstColumn="0" w:lastColumn="0" w:oddVBand="0" w:evenVBand="0" w:oddHBand="0" w:evenHBand="1" w:firstRowFirstColumn="0" w:firstRowLastColumn="0" w:lastRowFirstColumn="0" w:lastRowLastColumn="0"/>
              <w:rPr>
                <w:rFonts w:ascii="Arial" w:hAnsi="Arial"/>
              </w:rPr>
            </w:pPr>
            <w:r w:rsidRPr="00215340" w:rsidDel="002875AE">
              <w:rPr>
                <w:b/>
              </w:rPr>
              <w:t>NOTE:</w:t>
            </w:r>
            <w:r w:rsidRPr="00AE5A63" w:rsidDel="002875AE">
              <w:t xml:space="preserve"> </w:t>
            </w:r>
            <w:r>
              <w:t>A</w:t>
            </w:r>
            <w:r w:rsidRPr="00AE5A63" w:rsidDel="002875AE">
              <w:t xml:space="preserve">djusting design or project requirements during a procurement process is not recommended as this </w:t>
            </w:r>
            <w:r>
              <w:t>typically</w:t>
            </w:r>
            <w:r w:rsidRPr="00AE5A63" w:rsidDel="002875AE">
              <w:t xml:space="preserve"> results in higher project costs and should be limited to situations where it is unavoidable.</w:t>
            </w:r>
          </w:p>
        </w:tc>
      </w:tr>
      <w:tr w:rsidR="00710A0D" w:rsidRPr="004D1D2E" w14:paraId="421B2C4D" w14:textId="77777777" w:rsidTr="004D7BDC">
        <w:trPr>
          <w:trHeight w:val="270"/>
        </w:trPr>
        <w:tc>
          <w:tcPr>
            <w:cnfStyle w:val="001000000000" w:firstRow="0" w:lastRow="0" w:firstColumn="1" w:lastColumn="0" w:oddVBand="0" w:evenVBand="0" w:oddHBand="0" w:evenHBand="0" w:firstRowFirstColumn="0" w:firstRowLastColumn="0" w:lastRowFirstColumn="0" w:lastRowLastColumn="0"/>
            <w:tcW w:w="2898" w:type="dxa"/>
          </w:tcPr>
          <w:p w14:paraId="308774EB" w14:textId="77777777" w:rsidR="00710A0D" w:rsidRPr="004D1D2E" w:rsidRDefault="00710A0D" w:rsidP="00F7602B">
            <w:pPr>
              <w:keepNext/>
              <w:rPr>
                <w:rFonts w:asciiTheme="majorHAnsi" w:hAnsiTheme="majorHAnsi"/>
              </w:rPr>
            </w:pPr>
            <w:r w:rsidRPr="004D1D2E">
              <w:rPr>
                <w:rFonts w:asciiTheme="majorHAnsi" w:hAnsiTheme="majorHAnsi"/>
              </w:rPr>
              <w:t>SC4. Delivery speed</w:t>
            </w:r>
          </w:p>
        </w:tc>
        <w:tc>
          <w:tcPr>
            <w:tcW w:w="5400" w:type="dxa"/>
            <w:shd w:val="clear" w:color="auto" w:fill="F2F2F2" w:themeFill="background1" w:themeFillShade="F2"/>
          </w:tcPr>
          <w:p w14:paraId="579D2181" w14:textId="77777777" w:rsidR="00710A0D" w:rsidRPr="004D1D2E" w:rsidRDefault="00710A0D" w:rsidP="00F7602B">
            <w:pPr>
              <w:cnfStyle w:val="000000000000" w:firstRow="0" w:lastRow="0" w:firstColumn="0" w:lastColumn="0" w:oddVBand="0" w:evenVBand="0" w:oddHBand="0" w:evenHBand="0" w:firstRowFirstColumn="0" w:firstRowLastColumn="0" w:lastRowFirstColumn="0" w:lastRowLastColumn="0"/>
              <w:rPr>
                <w:rFonts w:asciiTheme="majorHAnsi" w:hAnsiTheme="majorHAnsi"/>
                <w:sz w:val="19"/>
                <w:szCs w:val="19"/>
              </w:rPr>
            </w:pPr>
          </w:p>
        </w:tc>
      </w:tr>
      <w:tr w:rsidR="00710A0D" w:rsidRPr="00AE5A63" w14:paraId="6C9F239A" w14:textId="77777777" w:rsidTr="00C147EA">
        <w:trPr>
          <w:cnfStyle w:val="000000010000" w:firstRow="0" w:lastRow="0" w:firstColumn="0" w:lastColumn="0" w:oddVBand="0" w:evenVBand="0" w:oddHBand="0" w:evenHBand="1" w:firstRowFirstColumn="0" w:firstRowLastColumn="0" w:lastRowFirstColumn="0" w:lastRowLastColumn="0"/>
          <w:trHeight w:val="1349"/>
        </w:trPr>
        <w:tc>
          <w:tcPr>
            <w:cnfStyle w:val="001000000000" w:firstRow="0" w:lastRow="0" w:firstColumn="1" w:lastColumn="0" w:oddVBand="0" w:evenVBand="0" w:oddHBand="0" w:evenHBand="0" w:firstRowFirstColumn="0" w:firstRowLastColumn="0" w:lastRowFirstColumn="0" w:lastRowLastColumn="0"/>
            <w:tcW w:w="2898" w:type="dxa"/>
          </w:tcPr>
          <w:p w14:paraId="277F6908" w14:textId="77777777" w:rsidR="00710A0D" w:rsidRPr="00AE5A63" w:rsidRDefault="00710A0D" w:rsidP="00F7602B">
            <w:pPr>
              <w:rPr>
                <w:rFonts w:ascii="Arial" w:hAnsi="Arial"/>
                <w:iCs/>
              </w:rPr>
            </w:pPr>
            <w:r w:rsidRPr="00AE5A63">
              <w:t>How important is the speed of project delivery to project success?</w:t>
            </w:r>
          </w:p>
        </w:tc>
        <w:tc>
          <w:tcPr>
            <w:tcW w:w="5400" w:type="dxa"/>
          </w:tcPr>
          <w:p w14:paraId="5DED1053" w14:textId="77777777" w:rsidR="00710A0D" w:rsidRPr="00AE5A63" w:rsidRDefault="00710A0D" w:rsidP="00F7602B">
            <w:pPr>
              <w:cnfStyle w:val="000000010000" w:firstRow="0" w:lastRow="0" w:firstColumn="0" w:lastColumn="0" w:oddVBand="0" w:evenVBand="0" w:oddHBand="0" w:evenHBand="1" w:firstRowFirstColumn="0" w:firstRowLastColumn="0" w:lastRowFirstColumn="0" w:lastRowLastColumn="0"/>
            </w:pPr>
            <w:r w:rsidRPr="00AE5A63">
              <w:t>This criterion assesses the degree of urgency to complete the works</w:t>
            </w:r>
            <w:r>
              <w:t xml:space="preserve"> and the effect this has on </w:t>
            </w:r>
            <w:r w:rsidRPr="00AE5A63">
              <w:t>commenc</w:t>
            </w:r>
            <w:r>
              <w:t>ing</w:t>
            </w:r>
            <w:r w:rsidRPr="00AE5A63">
              <w:t xml:space="preserve"> procurement and construction.</w:t>
            </w:r>
          </w:p>
          <w:p w14:paraId="6A9837BC" w14:textId="5FB42EB5" w:rsidR="00710A0D" w:rsidRPr="00101401" w:rsidRDefault="00710A0D" w:rsidP="00F7602B">
            <w:pPr>
              <w:cnfStyle w:val="000000010000" w:firstRow="0" w:lastRow="0" w:firstColumn="0" w:lastColumn="0" w:oddVBand="0" w:evenVBand="0" w:oddHBand="0" w:evenHBand="1" w:firstRowFirstColumn="0" w:firstRowLastColumn="0" w:lastRowFirstColumn="0" w:lastRowLastColumn="0"/>
            </w:pPr>
            <w:r w:rsidRPr="00AE5A63">
              <w:t>This criterion should only be included if there is a non-negotiable operational commencement date or event (</w:t>
            </w:r>
            <w:r w:rsidR="00A35D39">
              <w:t xml:space="preserve">such as </w:t>
            </w:r>
            <w:r w:rsidRPr="00AE5A63">
              <w:t>school building works required by the start of the school year) or if there is a significant and quantifiable benefit to earlier completion.</w:t>
            </w:r>
          </w:p>
        </w:tc>
      </w:tr>
    </w:tbl>
    <w:p w14:paraId="3025B1E6" w14:textId="77777777" w:rsidR="00710A0D" w:rsidRDefault="00710A0D" w:rsidP="00710A0D"/>
    <w:tbl>
      <w:tblPr>
        <w:tblStyle w:val="DTFtexttableindent"/>
        <w:tblW w:w="8298" w:type="dxa"/>
        <w:tblLook w:val="04A0" w:firstRow="1" w:lastRow="0" w:firstColumn="1" w:lastColumn="0" w:noHBand="0" w:noVBand="1"/>
      </w:tblPr>
      <w:tblGrid>
        <w:gridCol w:w="2808"/>
        <w:gridCol w:w="5490"/>
      </w:tblGrid>
      <w:tr w:rsidR="00710A0D" w14:paraId="2F2A764D" w14:textId="77777777" w:rsidTr="00171CF8">
        <w:trPr>
          <w:cnfStyle w:val="100000000000" w:firstRow="1" w:lastRow="0" w:firstColumn="0" w:lastColumn="0" w:oddVBand="0" w:evenVBand="0" w:oddHBand="0" w:evenHBand="0" w:firstRowFirstColumn="0" w:firstRowLastColumn="0" w:lastRowFirstColumn="0" w:lastRowLastColumn="0"/>
          <w:trHeight w:val="428"/>
          <w:tblHeader/>
        </w:trPr>
        <w:tc>
          <w:tcPr>
            <w:cnfStyle w:val="001000000100" w:firstRow="0" w:lastRow="0" w:firstColumn="1" w:lastColumn="0" w:oddVBand="0" w:evenVBand="0" w:oddHBand="0" w:evenHBand="0" w:firstRowFirstColumn="1" w:firstRowLastColumn="0" w:lastRowFirstColumn="0" w:lastRowLastColumn="0"/>
            <w:tcW w:w="8298" w:type="dxa"/>
            <w:gridSpan w:val="2"/>
          </w:tcPr>
          <w:p w14:paraId="31268E36" w14:textId="77777777" w:rsidR="00710A0D" w:rsidRPr="002B5034" w:rsidRDefault="00710A0D" w:rsidP="00F7602B">
            <w:pPr>
              <w:pStyle w:val="Tableheader"/>
              <w:rPr>
                <w:rFonts w:ascii="Arial" w:hAnsi="Arial"/>
              </w:rPr>
            </w:pPr>
            <w:r w:rsidRPr="00524BFB">
              <w:t>Effectively manage risk and uncertainty</w:t>
            </w:r>
          </w:p>
        </w:tc>
      </w:tr>
      <w:tr w:rsidR="004D7BDC" w:rsidRPr="00BB4B2E" w14:paraId="70E274AE" w14:textId="77777777" w:rsidTr="004D7BDC">
        <w:tc>
          <w:tcPr>
            <w:cnfStyle w:val="001000000000" w:firstRow="0" w:lastRow="0" w:firstColumn="1" w:lastColumn="0" w:oddVBand="0" w:evenVBand="0" w:oddHBand="0" w:evenHBand="0" w:firstRowFirstColumn="0" w:firstRowLastColumn="0" w:lastRowFirstColumn="0" w:lastRowLastColumn="0"/>
            <w:tcW w:w="2808" w:type="dxa"/>
          </w:tcPr>
          <w:p w14:paraId="74045648" w14:textId="0387B2C4" w:rsidR="004D7BDC" w:rsidRPr="00524BFB" w:rsidRDefault="004D7BDC" w:rsidP="00F7602B">
            <w:r w:rsidRPr="000C48EC">
              <w:rPr>
                <w:rFonts w:asciiTheme="majorHAnsi" w:hAnsiTheme="majorHAnsi"/>
              </w:rPr>
              <w:t>SC5. Risk allocation</w:t>
            </w:r>
          </w:p>
        </w:tc>
        <w:tc>
          <w:tcPr>
            <w:tcW w:w="5490" w:type="dxa"/>
            <w:shd w:val="clear" w:color="auto" w:fill="F2F2F2" w:themeFill="background1" w:themeFillShade="F2"/>
          </w:tcPr>
          <w:p w14:paraId="656F10C0" w14:textId="77777777" w:rsidR="004D7BDC" w:rsidRPr="00524BFB" w:rsidRDefault="004D7BDC" w:rsidP="00F7602B">
            <w:pPr>
              <w:cnfStyle w:val="000000000000" w:firstRow="0" w:lastRow="0" w:firstColumn="0" w:lastColumn="0" w:oddVBand="0" w:evenVBand="0" w:oddHBand="0" w:evenHBand="0" w:firstRowFirstColumn="0" w:firstRowLastColumn="0" w:lastRowFirstColumn="0" w:lastRowLastColumn="0"/>
            </w:pPr>
          </w:p>
        </w:tc>
      </w:tr>
      <w:tr w:rsidR="00710A0D" w:rsidRPr="00BB4B2E" w14:paraId="4588D957" w14:textId="77777777" w:rsidTr="0017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A008A74" w14:textId="3DFC5BE5" w:rsidR="00710A0D" w:rsidRDefault="00710A0D" w:rsidP="00F7602B">
            <w:pPr>
              <w:rPr>
                <w:rFonts w:ascii="Arial" w:hAnsi="Arial"/>
                <w:iCs/>
                <w:sz w:val="24"/>
                <w:szCs w:val="24"/>
              </w:rPr>
            </w:pPr>
            <w:r w:rsidRPr="00524BFB">
              <w:t>How important is it that the client transfers or retains specific risks across the project</w:t>
            </w:r>
            <w:r w:rsidR="00344D3F">
              <w:t>’</w:t>
            </w:r>
            <w:r w:rsidRPr="00524BFB">
              <w:t>s lifecycle?</w:t>
            </w:r>
          </w:p>
        </w:tc>
        <w:tc>
          <w:tcPr>
            <w:tcW w:w="5490" w:type="dxa"/>
          </w:tcPr>
          <w:p w14:paraId="71CC50CA" w14:textId="58DCCDFC" w:rsidR="00710A0D" w:rsidRPr="00524BFB" w:rsidRDefault="00710A0D" w:rsidP="00F7602B">
            <w:pPr>
              <w:cnfStyle w:val="000000010000" w:firstRow="0" w:lastRow="0" w:firstColumn="0" w:lastColumn="0" w:oddVBand="0" w:evenVBand="0" w:oddHBand="0" w:evenHBand="1" w:firstRowFirstColumn="0" w:firstRowLastColumn="0" w:lastRowFirstColumn="0" w:lastRowLastColumn="0"/>
            </w:pPr>
            <w:r w:rsidRPr="00524BFB">
              <w:t>This criterion refers to the client</w:t>
            </w:r>
            <w:r w:rsidR="00344D3F">
              <w:t>’</w:t>
            </w:r>
            <w:r w:rsidRPr="00524BFB">
              <w:t>s preferences for risk allocation, including whether to allocate risks to the party best able to manage them or if there are alternative risk preferences.</w:t>
            </w:r>
          </w:p>
          <w:p w14:paraId="46444E9E" w14:textId="21584059" w:rsidR="00710A0D" w:rsidRPr="00524BFB" w:rsidRDefault="00710A0D" w:rsidP="00F7602B">
            <w:pPr>
              <w:cnfStyle w:val="000000010000" w:firstRow="0" w:lastRow="0" w:firstColumn="0" w:lastColumn="0" w:oddVBand="0" w:evenVBand="0" w:oddHBand="0" w:evenHBand="1" w:firstRowFirstColumn="0" w:firstRowLastColumn="0" w:lastRowFirstColumn="0" w:lastRowLastColumn="0"/>
            </w:pPr>
            <w:r w:rsidRPr="00524BFB">
              <w:t>This should consider whether risks have been adequately defined and are well</w:t>
            </w:r>
            <w:r>
              <w:t xml:space="preserve"> </w:t>
            </w:r>
            <w:r w:rsidRPr="00524BFB">
              <w:t>understood</w:t>
            </w:r>
            <w:r>
              <w:t>. It should consider</w:t>
            </w:r>
            <w:r w:rsidRPr="00524BFB">
              <w:t xml:space="preserve"> the project</w:t>
            </w:r>
            <w:r w:rsidR="00344D3F">
              <w:t>’</w:t>
            </w:r>
            <w:r w:rsidRPr="00524BFB">
              <w:t>s risk profile across design, construction, operations and maintenance</w:t>
            </w:r>
            <w:r w:rsidR="00A35D39">
              <w:t xml:space="preserve"> (</w:t>
            </w:r>
            <w:r w:rsidRPr="00524BFB">
              <w:t>including any risks that would exceed client tolerance levels if retained</w:t>
            </w:r>
            <w:r w:rsidR="00A35D39">
              <w:t xml:space="preserve">) </w:t>
            </w:r>
            <w:r w:rsidRPr="00524BFB">
              <w:t>and the client</w:t>
            </w:r>
            <w:r w:rsidR="00344D3F">
              <w:t>’</w:t>
            </w:r>
            <w:r w:rsidRPr="00524BFB">
              <w:t>s ability to retain, share and manage risks. This should take account of the proposed building and packaging strategies (</w:t>
            </w:r>
            <w:r w:rsidR="00A35D39">
              <w:t>such as</w:t>
            </w:r>
            <w:r w:rsidRPr="00524BFB">
              <w:t xml:space="preserve"> early works) as risk treatment strategies.</w:t>
            </w:r>
          </w:p>
        </w:tc>
      </w:tr>
      <w:tr w:rsidR="00710A0D" w:rsidRPr="00582819" w14:paraId="54D5C874" w14:textId="77777777" w:rsidTr="00171CF8">
        <w:tc>
          <w:tcPr>
            <w:cnfStyle w:val="001000000000" w:firstRow="0" w:lastRow="0" w:firstColumn="1" w:lastColumn="0" w:oddVBand="0" w:evenVBand="0" w:oddHBand="0" w:evenHBand="0" w:firstRowFirstColumn="0" w:firstRowLastColumn="0" w:lastRowFirstColumn="0" w:lastRowLastColumn="0"/>
            <w:tcW w:w="8298" w:type="dxa"/>
            <w:gridSpan w:val="2"/>
          </w:tcPr>
          <w:p w14:paraId="2E06C58F" w14:textId="77777777" w:rsidR="00710A0D" w:rsidRPr="00171CF8" w:rsidRDefault="00710A0D" w:rsidP="00F7602B">
            <w:pPr>
              <w:rPr>
                <w:rFonts w:asciiTheme="majorHAnsi" w:hAnsiTheme="majorHAnsi"/>
                <w:b/>
              </w:rPr>
            </w:pPr>
            <w:r w:rsidRPr="00171CF8">
              <w:rPr>
                <w:rFonts w:asciiTheme="majorHAnsi" w:hAnsiTheme="majorHAnsi"/>
              </w:rPr>
              <w:t>SC6. Market appetite and competition</w:t>
            </w:r>
          </w:p>
        </w:tc>
      </w:tr>
      <w:tr w:rsidR="00710A0D" w:rsidRPr="00FF3884" w14:paraId="366C2B2C" w14:textId="77777777" w:rsidTr="0017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877EB40" w14:textId="77777777" w:rsidR="00710A0D" w:rsidRPr="00697DED" w:rsidRDefault="00710A0D" w:rsidP="00F7602B">
            <w:pPr>
              <w:rPr>
                <w:rFonts w:ascii="Arial" w:hAnsi="Arial"/>
                <w:iCs/>
                <w:sz w:val="24"/>
                <w:szCs w:val="24"/>
              </w:rPr>
            </w:pPr>
            <w:r w:rsidRPr="00524BFB">
              <w:t>Will the procurement model and risk allocation attract sufficient market interest</w:t>
            </w:r>
            <w:r>
              <w:t xml:space="preserve">, </w:t>
            </w:r>
            <w:r w:rsidRPr="00524BFB">
              <w:t>competition</w:t>
            </w:r>
            <w:r>
              <w:t xml:space="preserve"> and optimise market capability and capacity</w:t>
            </w:r>
            <w:r w:rsidRPr="00524BFB">
              <w:t>?</w:t>
            </w:r>
          </w:p>
        </w:tc>
        <w:tc>
          <w:tcPr>
            <w:tcW w:w="5490" w:type="dxa"/>
          </w:tcPr>
          <w:p w14:paraId="1B88B950" w14:textId="687E24FA" w:rsidR="00710A0D" w:rsidRPr="00524BFB" w:rsidRDefault="00710A0D" w:rsidP="00F7602B">
            <w:pPr>
              <w:cnfStyle w:val="000000010000" w:firstRow="0" w:lastRow="0" w:firstColumn="0" w:lastColumn="0" w:oddVBand="0" w:evenVBand="0" w:oddHBand="0" w:evenHBand="1" w:firstRowFirstColumn="0" w:firstRowLastColumn="0" w:lastRowFirstColumn="0" w:lastRowLastColumn="0"/>
            </w:pPr>
            <w:r w:rsidRPr="00524BFB">
              <w:t>This criterion refers to the market</w:t>
            </w:r>
            <w:r w:rsidR="00344D3F">
              <w:t>’</w:t>
            </w:r>
            <w:r w:rsidRPr="00524BFB">
              <w:t>s preferences for risk allocation and the suitability of the model to attract sufficient market participation and competition to promote competitive pricing.</w:t>
            </w:r>
          </w:p>
          <w:p w14:paraId="6739FB57" w14:textId="11AF9016" w:rsidR="00710A0D" w:rsidRPr="00546F1D" w:rsidRDefault="00710A0D" w:rsidP="00F7602B">
            <w:pPr>
              <w:cnfStyle w:val="000000010000" w:firstRow="0" w:lastRow="0" w:firstColumn="0" w:lastColumn="0" w:oddVBand="0" w:evenVBand="0" w:oddHBand="0" w:evenHBand="1" w:firstRowFirstColumn="0" w:firstRowLastColumn="0" w:lastRowFirstColumn="0" w:lastRowLastColumn="0"/>
            </w:pPr>
            <w:r w:rsidRPr="00524BFB">
              <w:t xml:space="preserve">This should consider current market and supply chain dynamics, </w:t>
            </w:r>
            <w:r>
              <w:t xml:space="preserve">the </w:t>
            </w:r>
            <w:r w:rsidRPr="00524BFB">
              <w:t>project</w:t>
            </w:r>
            <w:r w:rsidR="00344D3F">
              <w:t>’</w:t>
            </w:r>
            <w:r w:rsidRPr="00524BFB">
              <w:t>s risk profile and allocation and the capacity of the contractor market and supply chain to deliver the project under the various models. It should also consider any project risks that may exceed the market</w:t>
            </w:r>
            <w:r w:rsidR="00344D3F">
              <w:t>’</w:t>
            </w:r>
            <w:r w:rsidRPr="00524BFB">
              <w:t>s tolerance level</w:t>
            </w:r>
            <w:r w:rsidRPr="00524BFB" w:rsidDel="006F353E">
              <w:t xml:space="preserve"> </w:t>
            </w:r>
            <w:r w:rsidRPr="00524BFB">
              <w:t>or would result in unacceptable tender price premiums if allocated.</w:t>
            </w:r>
          </w:p>
        </w:tc>
      </w:tr>
      <w:tr w:rsidR="004D7BDC" w:rsidRPr="00E65379" w14:paraId="7DF5A5A2" w14:textId="77777777" w:rsidTr="004D7BDC">
        <w:tc>
          <w:tcPr>
            <w:cnfStyle w:val="001000000000" w:firstRow="0" w:lastRow="0" w:firstColumn="1" w:lastColumn="0" w:oddVBand="0" w:evenVBand="0" w:oddHBand="0" w:evenHBand="0" w:firstRowFirstColumn="0" w:firstRowLastColumn="0" w:lastRowFirstColumn="0" w:lastRowLastColumn="0"/>
            <w:tcW w:w="2808" w:type="dxa"/>
          </w:tcPr>
          <w:p w14:paraId="281AD96D" w14:textId="65F6108C" w:rsidR="004D7BDC" w:rsidRPr="00524BFB" w:rsidRDefault="004D7BDC" w:rsidP="00F7602B">
            <w:r w:rsidRPr="000C48EC">
              <w:rPr>
                <w:rFonts w:asciiTheme="majorHAnsi" w:hAnsiTheme="majorHAnsi"/>
              </w:rPr>
              <w:t>SC7. Price certainty</w:t>
            </w:r>
          </w:p>
        </w:tc>
        <w:tc>
          <w:tcPr>
            <w:tcW w:w="5490" w:type="dxa"/>
            <w:shd w:val="clear" w:color="auto" w:fill="F2F2F2" w:themeFill="background1" w:themeFillShade="F2"/>
          </w:tcPr>
          <w:p w14:paraId="2913F6F4" w14:textId="77777777" w:rsidR="004D7BDC" w:rsidRPr="00524BFB" w:rsidRDefault="004D7BDC" w:rsidP="00F7602B">
            <w:pPr>
              <w:spacing w:afterLines="40" w:after="96"/>
              <w:cnfStyle w:val="000000000000" w:firstRow="0" w:lastRow="0" w:firstColumn="0" w:lastColumn="0" w:oddVBand="0" w:evenVBand="0" w:oddHBand="0" w:evenHBand="0" w:firstRowFirstColumn="0" w:firstRowLastColumn="0" w:lastRowFirstColumn="0" w:lastRowLastColumn="0"/>
            </w:pPr>
          </w:p>
        </w:tc>
      </w:tr>
      <w:tr w:rsidR="00710A0D" w:rsidRPr="00E65379" w14:paraId="71A0EEF3" w14:textId="77777777" w:rsidTr="0017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21080AD1" w14:textId="77777777" w:rsidR="00710A0D" w:rsidRDefault="00710A0D" w:rsidP="00F7602B">
            <w:pPr>
              <w:rPr>
                <w:rFonts w:ascii="Arial" w:hAnsi="Arial"/>
                <w:color w:val="FFFFFF" w:themeColor="background1"/>
                <w:sz w:val="28"/>
                <w:szCs w:val="28"/>
              </w:rPr>
            </w:pPr>
            <w:r w:rsidRPr="00524BFB">
              <w:t>How important is it that the client can confidently predict its financial contribution to the project at contract award?</w:t>
            </w:r>
          </w:p>
        </w:tc>
        <w:tc>
          <w:tcPr>
            <w:tcW w:w="5490" w:type="dxa"/>
          </w:tcPr>
          <w:p w14:paraId="4C93BB7B" w14:textId="1FB00148" w:rsidR="00710A0D" w:rsidRPr="00524BFB" w:rsidRDefault="00710A0D" w:rsidP="00F7602B">
            <w:pPr>
              <w:spacing w:afterLines="40" w:after="96"/>
              <w:cnfStyle w:val="000000010000" w:firstRow="0" w:lastRow="0" w:firstColumn="0" w:lastColumn="0" w:oddVBand="0" w:evenVBand="0" w:oddHBand="0" w:evenHBand="1" w:firstRowFirstColumn="0" w:firstRowLastColumn="0" w:lastRowFirstColumn="0" w:lastRowLastColumn="0"/>
            </w:pPr>
            <w:r w:rsidRPr="00524BFB">
              <w:t>This criterion refers to the importance of having an assurance or guarantee of a fixed or predictable price at the point of contracting.</w:t>
            </w:r>
          </w:p>
          <w:p w14:paraId="5A8C496E" w14:textId="40A9E7ED" w:rsidR="00710A0D" w:rsidRDefault="00710A0D" w:rsidP="00F7602B">
            <w:pPr>
              <w:cnfStyle w:val="000000010000" w:firstRow="0" w:lastRow="0" w:firstColumn="0" w:lastColumn="0" w:oddVBand="0" w:evenVBand="0" w:oddHBand="0" w:evenHBand="1" w:firstRowFirstColumn="0" w:firstRowLastColumn="0" w:lastRowFirstColumn="0" w:lastRowLastColumn="0"/>
            </w:pPr>
            <w:r w:rsidRPr="00524BFB">
              <w:t>Price certainty can reduce the risk of cost overruns or budget variations and help improve project management and stakeholder confidence by having a strong incentive for the contractor to deliver within the agreed budget. This assessment should consider the project</w:t>
            </w:r>
            <w:r w:rsidR="00344D3F">
              <w:t>’</w:t>
            </w:r>
            <w:r w:rsidRPr="00524BFB">
              <w:t>s scope, complexity, design maturity, risk profile and allocation, market conditions and the risk of costly variations if project requirements changed.</w:t>
            </w:r>
          </w:p>
          <w:p w14:paraId="52E9E271" w14:textId="226354C3" w:rsidR="00710A0D" w:rsidRPr="00546F1D" w:rsidRDefault="00710A0D" w:rsidP="00F7602B">
            <w:pPr>
              <w:cnfStyle w:val="000000010000" w:firstRow="0" w:lastRow="0" w:firstColumn="0" w:lastColumn="0" w:oddVBand="0" w:evenVBand="0" w:oddHBand="0" w:evenHBand="1" w:firstRowFirstColumn="0" w:firstRowLastColumn="0" w:lastRowFirstColumn="0" w:lastRowLastColumn="0"/>
            </w:pPr>
            <w:r>
              <w:t xml:space="preserve">To increase the likelihood of achieving price certainty, sufficient </w:t>
            </w:r>
            <w:r w:rsidR="00C56F3D">
              <w:t>PDDD</w:t>
            </w:r>
            <w:r>
              <w:t xml:space="preserve"> needs to have occurred as well as a robust evaluation process that filters for underbidding. </w:t>
            </w:r>
          </w:p>
        </w:tc>
      </w:tr>
      <w:tr w:rsidR="00710A0D" w:rsidRPr="000C48EC" w14:paraId="04811A93" w14:textId="77777777" w:rsidTr="004D7BDC">
        <w:tc>
          <w:tcPr>
            <w:cnfStyle w:val="001000000000" w:firstRow="0" w:lastRow="0" w:firstColumn="1" w:lastColumn="0" w:oddVBand="0" w:evenVBand="0" w:oddHBand="0" w:evenHBand="0" w:firstRowFirstColumn="0" w:firstRowLastColumn="0" w:lastRowFirstColumn="0" w:lastRowLastColumn="0"/>
            <w:tcW w:w="2808" w:type="dxa"/>
          </w:tcPr>
          <w:p w14:paraId="45FBE1AE" w14:textId="77777777" w:rsidR="00710A0D" w:rsidRPr="000C48EC" w:rsidRDefault="00710A0D" w:rsidP="00F7602B">
            <w:pPr>
              <w:keepNext/>
              <w:rPr>
                <w:rFonts w:asciiTheme="majorHAnsi" w:hAnsiTheme="majorHAnsi"/>
              </w:rPr>
            </w:pPr>
            <w:r w:rsidRPr="000C48EC">
              <w:rPr>
                <w:rFonts w:asciiTheme="majorHAnsi" w:hAnsiTheme="majorHAnsi"/>
              </w:rPr>
              <w:t>SC8. Time certainty</w:t>
            </w:r>
          </w:p>
        </w:tc>
        <w:tc>
          <w:tcPr>
            <w:tcW w:w="5490" w:type="dxa"/>
            <w:shd w:val="clear" w:color="auto" w:fill="F2F2F2" w:themeFill="background1" w:themeFillShade="F2"/>
          </w:tcPr>
          <w:p w14:paraId="6B0D9E5C" w14:textId="77777777" w:rsidR="00710A0D" w:rsidRPr="000C48EC" w:rsidRDefault="00710A0D" w:rsidP="00F7602B">
            <w:pPr>
              <w:cnfStyle w:val="000000000000" w:firstRow="0" w:lastRow="0" w:firstColumn="0" w:lastColumn="0" w:oddVBand="0" w:evenVBand="0" w:oddHBand="0" w:evenHBand="0" w:firstRowFirstColumn="0" w:firstRowLastColumn="0" w:lastRowFirstColumn="0" w:lastRowLastColumn="0"/>
            </w:pPr>
          </w:p>
        </w:tc>
      </w:tr>
      <w:tr w:rsidR="00710A0D" w14:paraId="4C01CA0A" w14:textId="77777777" w:rsidTr="0017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7E52349" w14:textId="77777777" w:rsidR="00710A0D" w:rsidRPr="00761785" w:rsidRDefault="00710A0D" w:rsidP="00F7602B">
            <w:pPr>
              <w:rPr>
                <w:rFonts w:ascii="Arial" w:hAnsi="Arial"/>
                <w:iCs/>
              </w:rPr>
            </w:pPr>
            <w:r w:rsidRPr="00524BFB">
              <w:t xml:space="preserve">How important is </w:t>
            </w:r>
            <w:r>
              <w:t xml:space="preserve">it </w:t>
            </w:r>
            <w:r w:rsidRPr="00524BFB">
              <w:t>that the client can confidently predict that the project will be completed by the agreed target date?</w:t>
            </w:r>
          </w:p>
        </w:tc>
        <w:tc>
          <w:tcPr>
            <w:tcW w:w="5490" w:type="dxa"/>
          </w:tcPr>
          <w:p w14:paraId="5C8795F6" w14:textId="77777777" w:rsidR="00710A0D" w:rsidRPr="00524BFB" w:rsidRDefault="00710A0D" w:rsidP="00F7602B">
            <w:pPr>
              <w:cnfStyle w:val="000000010000" w:firstRow="0" w:lastRow="0" w:firstColumn="0" w:lastColumn="0" w:oddVBand="0" w:evenVBand="0" w:oddHBand="0" w:evenHBand="1" w:firstRowFirstColumn="0" w:firstRowLastColumn="0" w:lastRowFirstColumn="0" w:lastRowLastColumn="0"/>
            </w:pPr>
            <w:r w:rsidRPr="00524BFB">
              <w:t>This criterion refers to the importance of having an assurance or guarantee of a fixed or predictable timeline at the point of contracting.</w:t>
            </w:r>
          </w:p>
          <w:p w14:paraId="5890F487" w14:textId="77777777" w:rsidR="00710A0D" w:rsidRPr="00546F1D" w:rsidRDefault="00710A0D" w:rsidP="00F7602B">
            <w:pPr>
              <w:cnfStyle w:val="000000010000" w:firstRow="0" w:lastRow="0" w:firstColumn="0" w:lastColumn="0" w:oddVBand="0" w:evenVBand="0" w:oddHBand="0" w:evenHBand="1" w:firstRowFirstColumn="0" w:firstRowLastColumn="0" w:lastRowFirstColumn="0" w:lastRowLastColumn="0"/>
            </w:pPr>
            <w:r w:rsidRPr="00524BFB">
              <w:t>Time certainty aims to provide clarity and minimise uncertainties associated with the project schedule by having a strong incentive for the contactor to deliver within the agreed timeline. This assessment should consider the drivers of target dates and the consequences for not achieving them.</w:t>
            </w:r>
          </w:p>
        </w:tc>
      </w:tr>
      <w:tr w:rsidR="004D7BDC" w:rsidRPr="009966A3" w14:paraId="27868DC6" w14:textId="77777777" w:rsidTr="004D7BDC">
        <w:tc>
          <w:tcPr>
            <w:cnfStyle w:val="001000000000" w:firstRow="0" w:lastRow="0" w:firstColumn="1" w:lastColumn="0" w:oddVBand="0" w:evenVBand="0" w:oddHBand="0" w:evenHBand="0" w:firstRowFirstColumn="0" w:firstRowLastColumn="0" w:lastRowFirstColumn="0" w:lastRowLastColumn="0"/>
            <w:tcW w:w="2808" w:type="dxa"/>
          </w:tcPr>
          <w:p w14:paraId="581A6A9E" w14:textId="31694846" w:rsidR="004D7BDC" w:rsidRPr="00524BFB" w:rsidRDefault="004D7BDC" w:rsidP="00F7602B">
            <w:r w:rsidRPr="000C48EC">
              <w:rPr>
                <w:rFonts w:asciiTheme="majorHAnsi" w:hAnsiTheme="majorHAnsi"/>
              </w:rPr>
              <w:t>SC9. Scope certainty</w:t>
            </w:r>
          </w:p>
        </w:tc>
        <w:tc>
          <w:tcPr>
            <w:tcW w:w="5490" w:type="dxa"/>
            <w:shd w:val="clear" w:color="auto" w:fill="F2F2F2" w:themeFill="background1" w:themeFillShade="F2"/>
          </w:tcPr>
          <w:p w14:paraId="087910CF" w14:textId="77777777" w:rsidR="004D7BDC" w:rsidRPr="00524BFB" w:rsidRDefault="004D7BDC" w:rsidP="00F7602B">
            <w:pPr>
              <w:cnfStyle w:val="000000000000" w:firstRow="0" w:lastRow="0" w:firstColumn="0" w:lastColumn="0" w:oddVBand="0" w:evenVBand="0" w:oddHBand="0" w:evenHBand="0" w:firstRowFirstColumn="0" w:firstRowLastColumn="0" w:lastRowFirstColumn="0" w:lastRowLastColumn="0"/>
            </w:pPr>
          </w:p>
        </w:tc>
      </w:tr>
      <w:tr w:rsidR="00710A0D" w:rsidRPr="009966A3" w14:paraId="43C83A18" w14:textId="77777777" w:rsidTr="00171C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830269A" w14:textId="77777777" w:rsidR="00710A0D" w:rsidRPr="00FF3884" w:rsidRDefault="00710A0D" w:rsidP="00F7602B">
            <w:pPr>
              <w:rPr>
                <w:rFonts w:ascii="Arial" w:hAnsi="Arial"/>
              </w:rPr>
            </w:pPr>
            <w:r w:rsidRPr="00524BFB">
              <w:t>How important is that the scope is defined before tendering and to what extent is the scope undefinable before going to market?</w:t>
            </w:r>
          </w:p>
        </w:tc>
        <w:tc>
          <w:tcPr>
            <w:tcW w:w="5490" w:type="dxa"/>
          </w:tcPr>
          <w:p w14:paraId="0A459473" w14:textId="77777777" w:rsidR="00710A0D" w:rsidRPr="00524BFB" w:rsidRDefault="00710A0D" w:rsidP="00F7602B">
            <w:pPr>
              <w:cnfStyle w:val="000000010000" w:firstRow="0" w:lastRow="0" w:firstColumn="0" w:lastColumn="0" w:oddVBand="0" w:evenVBand="0" w:oddHBand="0" w:evenHBand="1" w:firstRowFirstColumn="0" w:firstRowLastColumn="0" w:lastRowFirstColumn="0" w:lastRowLastColumn="0"/>
            </w:pPr>
            <w:r w:rsidRPr="00524BFB">
              <w:t>This criterion refers to the level of uncertainty in the project scope that cannot be adequately defined before going to the market. A high level of scope uncertainty can increase project risks, potentially leading to costly variations and time overruns, if not effectively managed through the procurement method.</w:t>
            </w:r>
          </w:p>
          <w:p w14:paraId="2A5CC397" w14:textId="18ADDC81" w:rsidR="00710A0D" w:rsidRPr="00546F1D" w:rsidRDefault="00A35D39" w:rsidP="00F7602B">
            <w:pPr>
              <w:cnfStyle w:val="000000010000" w:firstRow="0" w:lastRow="0" w:firstColumn="0" w:lastColumn="0" w:oddVBand="0" w:evenVBand="0" w:oddHBand="0" w:evenHBand="1" w:firstRowFirstColumn="0" w:firstRowLastColumn="0" w:lastRowFirstColumn="0" w:lastRowLastColumn="0"/>
            </w:pPr>
            <w:r>
              <w:t>This assessment</w:t>
            </w:r>
            <w:r w:rsidR="00710A0D" w:rsidRPr="00524BFB">
              <w:t xml:space="preserve"> should consider the </w:t>
            </w:r>
            <w:r w:rsidR="00814417">
              <w:t>project characteristics</w:t>
            </w:r>
            <w:r w:rsidR="00710A0D" w:rsidRPr="00524BFB">
              <w:t xml:space="preserve"> </w:t>
            </w:r>
            <w:r>
              <w:t xml:space="preserve">in the light of possibly </w:t>
            </w:r>
            <w:r w:rsidR="00710A0D" w:rsidRPr="00524BFB">
              <w:t>requiring design</w:t>
            </w:r>
            <w:r w:rsidR="00710A0D">
              <w:t xml:space="preserve"> </w:t>
            </w:r>
            <w:r w:rsidR="00710A0D" w:rsidRPr="00524BFB">
              <w:t>stage integration with the supply chain to resolve complex technical issues</w:t>
            </w:r>
            <w:r w:rsidR="00710A0D">
              <w:t xml:space="preserve"> or encourage innovation</w:t>
            </w:r>
            <w:r w:rsidR="00710A0D" w:rsidRPr="00524BFB">
              <w:t>. It also considers the project</w:t>
            </w:r>
            <w:r w:rsidR="00344D3F">
              <w:t>’</w:t>
            </w:r>
            <w:r w:rsidR="00710A0D" w:rsidRPr="00524BFB">
              <w:t>s delivery and operating environment, stakeholder requirements, the level and nature of project risks and the ability to mitigate risks before tendering</w:t>
            </w:r>
            <w:r>
              <w:t>. It assesses</w:t>
            </w:r>
            <w:r w:rsidR="00710A0D" w:rsidRPr="00524BFB" w:rsidDel="00A35D39">
              <w:t xml:space="preserve"> </w:t>
            </w:r>
            <w:r w:rsidR="00710A0D" w:rsidRPr="00524BFB">
              <w:t>the client</w:t>
            </w:r>
            <w:r w:rsidR="00344D3F">
              <w:t>’</w:t>
            </w:r>
            <w:r w:rsidR="00710A0D" w:rsidRPr="00524BFB">
              <w:t>s ability to define its requirements and progress design maturity before tendering. This is distinct from underdeveloped business cases or a desire to truncate pre-tender timelines.</w:t>
            </w:r>
          </w:p>
        </w:tc>
      </w:tr>
      <w:tr w:rsidR="004D7BDC" w:rsidRPr="00210A52" w14:paraId="7A1960B8" w14:textId="77777777" w:rsidTr="004D7BDC">
        <w:tc>
          <w:tcPr>
            <w:cnfStyle w:val="001000000000" w:firstRow="0" w:lastRow="0" w:firstColumn="1" w:lastColumn="0" w:oddVBand="0" w:evenVBand="0" w:oddHBand="0" w:evenHBand="0" w:firstRowFirstColumn="0" w:firstRowLastColumn="0" w:lastRowFirstColumn="0" w:lastRowLastColumn="0"/>
            <w:tcW w:w="2808" w:type="dxa"/>
          </w:tcPr>
          <w:p w14:paraId="0F7A098E" w14:textId="6B9C34B7" w:rsidR="004D7BDC" w:rsidRPr="00524BFB" w:rsidRDefault="004D7BDC" w:rsidP="00F7602B">
            <w:r w:rsidRPr="000C48EC">
              <w:rPr>
                <w:rFonts w:asciiTheme="majorHAnsi" w:hAnsiTheme="majorHAnsi"/>
              </w:rPr>
              <w:t>SC10. Flexibility to change</w:t>
            </w:r>
          </w:p>
        </w:tc>
        <w:tc>
          <w:tcPr>
            <w:tcW w:w="5490" w:type="dxa"/>
            <w:shd w:val="clear" w:color="auto" w:fill="F2F2F2" w:themeFill="background1" w:themeFillShade="F2"/>
          </w:tcPr>
          <w:p w14:paraId="57CD4D3F" w14:textId="77777777" w:rsidR="004D7BDC" w:rsidRPr="00524BFB" w:rsidRDefault="004D7BDC" w:rsidP="00F7602B">
            <w:pPr>
              <w:cnfStyle w:val="000000000000" w:firstRow="0" w:lastRow="0" w:firstColumn="0" w:lastColumn="0" w:oddVBand="0" w:evenVBand="0" w:oddHBand="0" w:evenHBand="0" w:firstRowFirstColumn="0" w:firstRowLastColumn="0" w:lastRowFirstColumn="0" w:lastRowLastColumn="0"/>
            </w:pPr>
          </w:p>
        </w:tc>
      </w:tr>
      <w:tr w:rsidR="00710A0D" w:rsidRPr="00210A52" w14:paraId="468CB6F8" w14:textId="77777777" w:rsidTr="00171CF8">
        <w:trPr>
          <w:cnfStyle w:val="000000010000" w:firstRow="0" w:lastRow="0" w:firstColumn="0" w:lastColumn="0" w:oddVBand="0" w:evenVBand="0" w:oddHBand="0" w:evenHBand="1" w:firstRowFirstColumn="0" w:firstRowLastColumn="0" w:lastRowFirstColumn="0" w:lastRowLastColumn="0"/>
          <w:trHeight w:val="2197"/>
        </w:trPr>
        <w:tc>
          <w:tcPr>
            <w:cnfStyle w:val="001000000000" w:firstRow="0" w:lastRow="0" w:firstColumn="1" w:lastColumn="0" w:oddVBand="0" w:evenVBand="0" w:oddHBand="0" w:evenHBand="0" w:firstRowFirstColumn="0" w:firstRowLastColumn="0" w:lastRowFirstColumn="0" w:lastRowLastColumn="0"/>
            <w:tcW w:w="2808" w:type="dxa"/>
          </w:tcPr>
          <w:p w14:paraId="47B9345B" w14:textId="77777777" w:rsidR="00710A0D" w:rsidRPr="00FF3884" w:rsidRDefault="00710A0D" w:rsidP="00F7602B">
            <w:pPr>
              <w:rPr>
                <w:rFonts w:ascii="Arial" w:hAnsi="Arial"/>
              </w:rPr>
            </w:pPr>
            <w:r w:rsidRPr="00524BFB">
              <w:t>How important is it that the client can effectively change or control the management of the procurement method to respond to uncertainty?</w:t>
            </w:r>
          </w:p>
        </w:tc>
        <w:tc>
          <w:tcPr>
            <w:tcW w:w="5490" w:type="dxa"/>
          </w:tcPr>
          <w:p w14:paraId="271A5D87" w14:textId="77777777" w:rsidR="00710A0D" w:rsidRPr="00524BFB" w:rsidRDefault="00710A0D" w:rsidP="00F7602B">
            <w:pPr>
              <w:cnfStyle w:val="000000010000" w:firstRow="0" w:lastRow="0" w:firstColumn="0" w:lastColumn="0" w:oddVBand="0" w:evenVBand="0" w:oddHBand="0" w:evenHBand="1" w:firstRowFirstColumn="0" w:firstRowLastColumn="0" w:lastRowFirstColumn="0" w:lastRowLastColumn="0"/>
            </w:pPr>
            <w:r w:rsidRPr="00524BFB">
              <w:t>This criterion refers to the need for flexibility in delivery and operations to change or manage the procurement method to respond to uncertainties and unavoidable changes in the project requirements.</w:t>
            </w:r>
          </w:p>
          <w:p w14:paraId="3982CF0C" w14:textId="111470E6" w:rsidR="00710A0D" w:rsidRPr="00524BFB" w:rsidRDefault="00710A0D" w:rsidP="00F7602B">
            <w:pPr>
              <w:cnfStyle w:val="000000010000" w:firstRow="0" w:lastRow="0" w:firstColumn="0" w:lastColumn="0" w:oddVBand="0" w:evenVBand="0" w:oddHBand="0" w:evenHBand="1" w:firstRowFirstColumn="0" w:firstRowLastColumn="0" w:lastRowFirstColumn="0" w:lastRowLastColumn="0"/>
            </w:pPr>
            <w:r w:rsidRPr="00524BFB">
              <w:t>This should consider the stability of the delivery and operating environment, including risks that the project requirements may change during delivery or operations due to technological changes or other uncontrollable/unknown factors or opportunities. This may also include taking account of any specialised elements that require stakeholder approval, which cannot be resolved or mitigated early</w:t>
            </w:r>
            <w:r>
              <w:t xml:space="preserve"> or the need for the collaborative management of complex interfaces</w:t>
            </w:r>
            <w:r w:rsidRPr="00524BFB">
              <w:t>. It should also consider the client</w:t>
            </w:r>
            <w:r w:rsidR="00344D3F">
              <w:t>’</w:t>
            </w:r>
            <w:r w:rsidRPr="00524BFB">
              <w:t>s ability manage change and control, which requires more sophisticated client capability and resourcing to implement.</w:t>
            </w:r>
          </w:p>
          <w:p w14:paraId="6A4DD261" w14:textId="77777777" w:rsidR="00710A0D" w:rsidRPr="00210A52" w:rsidRDefault="00710A0D" w:rsidP="00E401A8">
            <w:pPr>
              <w:pStyle w:val="NoteNormal"/>
              <w:cnfStyle w:val="000000010000" w:firstRow="0" w:lastRow="0" w:firstColumn="0" w:lastColumn="0" w:oddVBand="0" w:evenVBand="0" w:oddHBand="0" w:evenHBand="1" w:firstRowFirstColumn="0" w:firstRowLastColumn="0" w:lastRowFirstColumn="0" w:lastRowLastColumn="0"/>
              <w:rPr>
                <w:rFonts w:ascii="Arial" w:hAnsi="Arial" w:cs="Times New Roman"/>
              </w:rPr>
            </w:pPr>
            <w:r w:rsidRPr="00F97689">
              <w:rPr>
                <w:b/>
              </w:rPr>
              <w:t xml:space="preserve">* </w:t>
            </w:r>
            <w:r w:rsidRPr="008B0BF5">
              <w:rPr>
                <w:b/>
                <w:bCs/>
              </w:rPr>
              <w:t>NOTE</w:t>
            </w:r>
            <w:r w:rsidRPr="00524BFB">
              <w:rPr>
                <w:b/>
              </w:rPr>
              <w:t>:</w:t>
            </w:r>
            <w:r w:rsidRPr="00524BFB">
              <w:t xml:space="preserve"> adjusting design or project requirements during a delivery or operation is not recommended as this </w:t>
            </w:r>
            <w:r>
              <w:t>typically</w:t>
            </w:r>
            <w:r w:rsidRPr="00524BFB">
              <w:t xml:space="preserve"> results in higher project costs and should be limited to situations where it is unavoidable.</w:t>
            </w:r>
          </w:p>
        </w:tc>
      </w:tr>
    </w:tbl>
    <w:p w14:paraId="1F5418DE" w14:textId="77777777" w:rsidR="00710A0D" w:rsidRPr="004F3D2C" w:rsidRDefault="00710A0D" w:rsidP="001D2615">
      <w:pPr>
        <w:pStyle w:val="Heading3numbered"/>
      </w:pPr>
      <w:r w:rsidRPr="004F3D2C">
        <w:t>Evaluating procurement models</w:t>
      </w:r>
    </w:p>
    <w:p w14:paraId="784ACF24" w14:textId="21D5F398" w:rsidR="00710A0D" w:rsidRPr="000B566F" w:rsidDel="002E1C2B" w:rsidRDefault="00710A0D" w:rsidP="00834461">
      <w:pPr>
        <w:pStyle w:val="NormalIndent"/>
      </w:pPr>
      <w:r w:rsidRPr="009E0582">
        <w:t xml:space="preserve">Evaluation of the shortlisted delivery model against the selection criteria is best undertaken </w:t>
      </w:r>
      <w:r w:rsidR="00FE7EDC">
        <w:t xml:space="preserve">by the project team </w:t>
      </w:r>
      <w:r w:rsidR="00FE7EDC" w:rsidRPr="00524BFB">
        <w:t>with relevant subject matter experts</w:t>
      </w:r>
      <w:r w:rsidR="00FE7EDC">
        <w:t xml:space="preserve"> </w:t>
      </w:r>
      <w:r w:rsidR="00FE7EDC" w:rsidRPr="00524BFB">
        <w:t>in a workshop setting</w:t>
      </w:r>
      <w:r w:rsidRPr="009E0582">
        <w:t xml:space="preserve">. </w:t>
      </w:r>
      <w:r>
        <w:t>T</w:t>
      </w:r>
      <w:r w:rsidRPr="009E0582">
        <w:t>o gain a variety of independent views</w:t>
      </w:r>
      <w:r w:rsidR="00FE7EDC">
        <w:t>,</w:t>
      </w:r>
      <w:r w:rsidRPr="009E0582">
        <w:t xml:space="preserve"> individuals </w:t>
      </w:r>
      <w:r w:rsidR="00FE7EDC">
        <w:t>should</w:t>
      </w:r>
      <w:r w:rsidR="00FE7EDC" w:rsidRPr="009E0582">
        <w:t xml:space="preserve"> </w:t>
      </w:r>
      <w:r w:rsidRPr="009E0582">
        <w:t>score first</w:t>
      </w:r>
      <w:r w:rsidR="00FE7EDC">
        <w:t>,</w:t>
      </w:r>
      <w:r w:rsidRPr="009E0582">
        <w:t xml:space="preserve"> </w:t>
      </w:r>
      <w:r w:rsidR="00FE7EDC">
        <w:t xml:space="preserve">followed by </w:t>
      </w:r>
      <w:r w:rsidRPr="009E0582">
        <w:t xml:space="preserve">group discussion to </w:t>
      </w:r>
      <w:r w:rsidRPr="00EF0204">
        <w:t>agree</w:t>
      </w:r>
      <w:r w:rsidRPr="009E0582">
        <w:t xml:space="preserve"> and document reasoning for consensus scores</w:t>
      </w:r>
      <w:r w:rsidR="00144A57">
        <w:t>, including</w:t>
      </w:r>
      <w:r w:rsidRPr="009E0582">
        <w:t xml:space="preserve"> how the features of the shortlisted procurement models match the </w:t>
      </w:r>
      <w:r w:rsidR="005321B7">
        <w:t xml:space="preserve">project </w:t>
      </w:r>
      <w:r w:rsidRPr="009E0582">
        <w:t>characteristics for each criterion.</w:t>
      </w:r>
    </w:p>
    <w:p w14:paraId="68F997C1" w14:textId="27EED1F5" w:rsidR="00710A0D" w:rsidRPr="000B566F" w:rsidRDefault="00710A0D" w:rsidP="00834461">
      <w:pPr>
        <w:pStyle w:val="NormalIndent"/>
      </w:pPr>
      <w:r w:rsidRPr="000B566F">
        <w:t xml:space="preserve">Each procurement model should be scored </w:t>
      </w:r>
      <w:r>
        <w:t>on</w:t>
      </w:r>
      <w:r w:rsidRPr="000B566F">
        <w:t xml:space="preserve"> </w:t>
      </w:r>
      <w:r w:rsidR="005321B7">
        <w:t xml:space="preserve">its </w:t>
      </w:r>
      <w:r w:rsidRPr="000B566F">
        <w:t xml:space="preserve">ability to </w:t>
      </w:r>
      <w:r>
        <w:t>fulfil</w:t>
      </w:r>
      <w:r w:rsidRPr="000B566F">
        <w:t xml:space="preserve"> the </w:t>
      </w:r>
      <w:r>
        <w:t xml:space="preserve">selection </w:t>
      </w:r>
      <w:r w:rsidRPr="000B566F">
        <w:t xml:space="preserve">criteria. </w:t>
      </w:r>
      <w:r>
        <w:t>Regardless of the mode of assessment</w:t>
      </w:r>
      <w:r w:rsidRPr="000B566F">
        <w:t xml:space="preserve">, it is important to document the reasoning behind key decisions and </w:t>
      </w:r>
      <w:r w:rsidRPr="00EF0204">
        <w:t>considerations</w:t>
      </w:r>
      <w:r w:rsidRPr="000B566F">
        <w:t>, including scoring and criteria discussions, identified risks and issues, potential trade-offs and the logic behind the selection of the preferred model.</w:t>
      </w:r>
    </w:p>
    <w:p w14:paraId="7C35ED25" w14:textId="77777777" w:rsidR="00B172BB" w:rsidRDefault="00B172BB" w:rsidP="001D2615">
      <w:pPr>
        <w:pStyle w:val="Heading3numbered"/>
      </w:pPr>
      <w:r>
        <w:t>Considering risk in procurement analysis and model selection</w:t>
      </w:r>
    </w:p>
    <w:p w14:paraId="3BD7ACA9" w14:textId="232CB5B1" w:rsidR="00710A0D" w:rsidRPr="00EF0204" w:rsidRDefault="003E6BF0" w:rsidP="00834461">
      <w:pPr>
        <w:pStyle w:val="NormalIndent"/>
      </w:pPr>
      <w:r>
        <w:t>A</w:t>
      </w:r>
      <w:r w:rsidRPr="00D248DE">
        <w:t>n important part of procurement strategy development and procurement model sele</w:t>
      </w:r>
      <w:r w:rsidRPr="00EF0204">
        <w:t>ction</w:t>
      </w:r>
      <w:r>
        <w:t xml:space="preserve"> is considering</w:t>
      </w:r>
      <w:r w:rsidRPr="00D248DE">
        <w:t xml:space="preserve"> </w:t>
      </w:r>
      <w:r>
        <w:t>h</w:t>
      </w:r>
      <w:r w:rsidRPr="00D248DE">
        <w:t xml:space="preserve">ow </w:t>
      </w:r>
      <w:r w:rsidR="00710A0D" w:rsidRPr="00D248DE">
        <w:t>procurement models impact on other project delivery strategies, create opportunities to manage risk or exacerbate risk</w:t>
      </w:r>
      <w:r w:rsidR="00710A0D" w:rsidRPr="00EF0204">
        <w:t>.</w:t>
      </w:r>
    </w:p>
    <w:p w14:paraId="5C07B1ED" w14:textId="23903EF0" w:rsidR="00B172BB" w:rsidRPr="00EF0204" w:rsidRDefault="00B172BB" w:rsidP="00834461">
      <w:pPr>
        <w:pStyle w:val="NormalIndent"/>
      </w:pPr>
      <w:r w:rsidRPr="00EF0204">
        <w:t>Matching the procurement model and project characteristics to ensure an equitable distribution of risk is crucial for the efficient and timely delivery of projects. Allocating risk to contractors can drive efficiency and innovation, but it must be done carefully to avoid increased bid premiums, disputes</w:t>
      </w:r>
      <w:r w:rsidR="00710A0D" w:rsidRPr="00EF0204">
        <w:t xml:space="preserve"> and </w:t>
      </w:r>
      <w:r w:rsidR="00446C4A">
        <w:t xml:space="preserve">a </w:t>
      </w:r>
      <w:r w:rsidR="00446C4A" w:rsidRPr="00EF0204">
        <w:t>reduc</w:t>
      </w:r>
      <w:r w:rsidR="00446C4A">
        <w:t>tion in</w:t>
      </w:r>
      <w:r w:rsidR="00446C4A" w:rsidRPr="00EF0204">
        <w:t xml:space="preserve"> </w:t>
      </w:r>
      <w:r w:rsidR="00710A0D" w:rsidRPr="00EF0204">
        <w:t xml:space="preserve">quality. </w:t>
      </w:r>
      <w:r w:rsidRPr="00EF0204">
        <w:t>A key principle is to allocate risk to the party that can best manage it</w:t>
      </w:r>
      <w:r w:rsidR="00881565">
        <w:t>. However,</w:t>
      </w:r>
      <w:r w:rsidRPr="00EF0204">
        <w:t xml:space="preserve"> this</w:t>
      </w:r>
      <w:r w:rsidR="00856ACE">
        <w:t xml:space="preserve"> approach</w:t>
      </w:r>
      <w:r w:rsidRPr="00EF0204">
        <w:t xml:space="preserve"> must </w:t>
      </w:r>
      <w:r w:rsidR="00856ACE" w:rsidRPr="00EF0204">
        <w:t>consider</w:t>
      </w:r>
      <w:r w:rsidRPr="00EF0204">
        <w:t xml:space="preserve"> each part</w:t>
      </w:r>
      <w:r w:rsidR="00881565">
        <w:t>y’s</w:t>
      </w:r>
      <w:r w:rsidRPr="00EF0204">
        <w:t xml:space="preserve"> ability to control, foresee and bear the risk</w:t>
      </w:r>
      <w:r w:rsidR="00856ACE">
        <w:t>,</w:t>
      </w:r>
      <w:r w:rsidRPr="00EF0204">
        <w:t xml:space="preserve"> based on an understanding of the project and the market</w:t>
      </w:r>
      <w:r w:rsidR="00344D3F">
        <w:t>’</w:t>
      </w:r>
      <w:r w:rsidRPr="00EF0204">
        <w:t>s insights.</w:t>
      </w:r>
    </w:p>
    <w:p w14:paraId="2E41A578" w14:textId="77777777" w:rsidR="00B172BB" w:rsidRPr="00FB5D83" w:rsidRDefault="00B172BB" w:rsidP="00834461">
      <w:pPr>
        <w:pStyle w:val="NormalIndent"/>
      </w:pPr>
      <w:r w:rsidRPr="00EF0204">
        <w:t>When selecting a procurement</w:t>
      </w:r>
      <w:r w:rsidRPr="00FB5D83">
        <w:t xml:space="preserve"> model, consider the following:</w:t>
      </w:r>
    </w:p>
    <w:p w14:paraId="2775B44D" w14:textId="6FCB3382" w:rsidR="00B172BB" w:rsidRPr="00183725" w:rsidRDefault="285B83F7" w:rsidP="001D2615">
      <w:pPr>
        <w:pStyle w:val="Bulletindent"/>
      </w:pPr>
      <w:r>
        <w:t xml:space="preserve">Choose the model that optimises the procurement objectives, not the one that </w:t>
      </w:r>
      <w:r w:rsidR="00B665E4">
        <w:t xml:space="preserve">simply </w:t>
      </w:r>
      <w:r>
        <w:t>minimises risk to the client, noting residual risks must be managed.</w:t>
      </w:r>
    </w:p>
    <w:p w14:paraId="6992C14A" w14:textId="77777777" w:rsidR="00B172BB" w:rsidRPr="00183725" w:rsidRDefault="285B83F7" w:rsidP="001D2615">
      <w:pPr>
        <w:pStyle w:val="Bulletindent"/>
      </w:pPr>
      <w:r>
        <w:t>Consider the risk treatment, ownership</w:t>
      </w:r>
      <w:r w:rsidR="00710A0D">
        <w:t xml:space="preserve"> and allocation under each model.</w:t>
      </w:r>
      <w:r>
        <w:t xml:space="preserve"> Evaluate whether the private sector can reasonably take responsibility for specific risks. Risk allocation varies under different procurement models but also depends on the contract details.</w:t>
      </w:r>
    </w:p>
    <w:p w14:paraId="3E0E337C" w14:textId="4AA5AC1F" w:rsidR="00B172BB" w:rsidRPr="00183725" w:rsidRDefault="285B83F7" w:rsidP="001D2615">
      <w:pPr>
        <w:pStyle w:val="Bulletindent"/>
      </w:pPr>
      <w:r>
        <w:t xml:space="preserve">Stress-test the procurement model by assessing its sensitivity to the consequences of identified risks materialising. This may identify if an alternative model would result in more effective risk management. </w:t>
      </w:r>
      <w:r w:rsidR="00710A0D">
        <w:t xml:space="preserve">For example, an enhanced design and construct </w:t>
      </w:r>
      <w:r w:rsidR="00D56CD6">
        <w:t xml:space="preserve">(D&amp;C) </w:t>
      </w:r>
      <w:r w:rsidR="00710A0D">
        <w:t>approach</w:t>
      </w:r>
      <w:r>
        <w:t xml:space="preserve"> </w:t>
      </w:r>
      <w:r w:rsidR="00182576">
        <w:t>(</w:t>
      </w:r>
      <w:r w:rsidR="001B1F5C">
        <w:fldChar w:fldCharType="begin"/>
      </w:r>
      <w:r w:rsidR="001B1F5C">
        <w:instrText xml:space="preserve"> REF _Ref147326375 \h </w:instrText>
      </w:r>
      <w:r w:rsidR="001B1F5C">
        <w:fldChar w:fldCharType="separate"/>
      </w:r>
      <w:r w:rsidR="008A4B3E" w:rsidRPr="00421D37">
        <w:t xml:space="preserve">Figure </w:t>
      </w:r>
      <w:r w:rsidR="008A4B3E">
        <w:rPr>
          <w:noProof/>
        </w:rPr>
        <w:t>14</w:t>
      </w:r>
      <w:r w:rsidR="008A4B3E">
        <w:t xml:space="preserve"> – Enhanced d</w:t>
      </w:r>
      <w:r w:rsidR="008A4B3E" w:rsidRPr="00421D37">
        <w:t>esign</w:t>
      </w:r>
      <w:r w:rsidR="008A4B3E">
        <w:t xml:space="preserve"> and c</w:t>
      </w:r>
      <w:r w:rsidR="008A4B3E" w:rsidRPr="00421D37">
        <w:t>onstruct structure</w:t>
      </w:r>
      <w:r w:rsidR="001B1F5C">
        <w:fldChar w:fldCharType="end"/>
      </w:r>
      <w:r w:rsidR="00182576">
        <w:t xml:space="preserve">) </w:t>
      </w:r>
      <w:r>
        <w:t>may be</w:t>
      </w:r>
      <w:r w:rsidR="001D03B6">
        <w:t xml:space="preserve"> </w:t>
      </w:r>
      <w:r>
        <w:t xml:space="preserve">more effective </w:t>
      </w:r>
      <w:r w:rsidR="00710A0D">
        <w:t xml:space="preserve">than </w:t>
      </w:r>
      <w:r w:rsidR="00A35D39">
        <w:t xml:space="preserve">a regular </w:t>
      </w:r>
      <w:r w:rsidR="00D56CD6">
        <w:t>D&amp;C</w:t>
      </w:r>
      <w:r>
        <w:t xml:space="preserve"> </w:t>
      </w:r>
      <w:r w:rsidR="00A35D39">
        <w:t xml:space="preserve">approach </w:t>
      </w:r>
      <w:r>
        <w:t>whe</w:t>
      </w:r>
      <w:r w:rsidR="009414BB">
        <w:t>n</w:t>
      </w:r>
      <w:r>
        <w:t xml:space="preserve"> high</w:t>
      </w:r>
      <w:r w:rsidR="00F96A4B">
        <w:t>-</w:t>
      </w:r>
      <w:r>
        <w:t>consequence risks are identified but cannot be efficiently priced and allocated at contract award (</w:t>
      </w:r>
      <w:r w:rsidR="00F96A4B">
        <w:t xml:space="preserve">for example, the </w:t>
      </w:r>
      <w:r>
        <w:t>risk of unforeseen soil and groundwater contamination).</w:t>
      </w:r>
    </w:p>
    <w:p w14:paraId="41DA02B3" w14:textId="0D73393B" w:rsidR="00710A0D" w:rsidRPr="00183725" w:rsidRDefault="00710A0D" w:rsidP="001D2615">
      <w:pPr>
        <w:pStyle w:val="Bulletindent"/>
      </w:pPr>
      <w:r>
        <w:t>If unusually high risks are identified</w:t>
      </w:r>
      <w:r w:rsidR="009530D6">
        <w:t>,</w:t>
      </w:r>
      <w:r>
        <w:t xml:space="preserve"> or if likely consequences exceed the client</w:t>
      </w:r>
      <w:r w:rsidR="00344D3F">
        <w:t>’</w:t>
      </w:r>
      <w:r>
        <w:t>s risk tolerance and risk mitigation options are limited or unlikely to be cost</w:t>
      </w:r>
      <w:r w:rsidR="008019A0">
        <w:noBreakHyphen/>
      </w:r>
      <w:r>
        <w:t>effective, consider an alternative procurement model.</w:t>
      </w:r>
    </w:p>
    <w:p w14:paraId="63A66105" w14:textId="3FE61502" w:rsidR="00710A0D" w:rsidRDefault="00710A0D" w:rsidP="00834461">
      <w:pPr>
        <w:pStyle w:val="NormalIndent"/>
      </w:pPr>
      <w:r w:rsidRPr="00FB5D83">
        <w:t xml:space="preserve">If new risks are discovered during procurement analysis, they should be incorporated into the </w:t>
      </w:r>
      <w:r w:rsidR="008D0449" w:rsidRPr="00FB5D83">
        <w:t>project</w:t>
      </w:r>
      <w:r w:rsidR="008D0449">
        <w:t>'s</w:t>
      </w:r>
      <w:r w:rsidR="008D0449" w:rsidRPr="00FB5D83">
        <w:t xml:space="preserve"> </w:t>
      </w:r>
      <w:r w:rsidRPr="00FB5D83">
        <w:t xml:space="preserve">overall risk management plan. This process may reveal opportunities for modifying a specific </w:t>
      </w:r>
      <w:r w:rsidRPr="00EF0204">
        <w:t>procurement</w:t>
      </w:r>
      <w:r w:rsidRPr="00FB5D83">
        <w:t xml:space="preserve"> model </w:t>
      </w:r>
      <w:r>
        <w:t>to</w:t>
      </w:r>
      <w:r w:rsidRPr="00FB5D83">
        <w:t xml:space="preserve"> manag</w:t>
      </w:r>
      <w:r>
        <w:t>e risk more effectively</w:t>
      </w:r>
      <w:r w:rsidRPr="00FB5D83">
        <w:t>. Consultation with DTF should be undertaken to confirm the acceptability of potential modifications and how they will interface with</w:t>
      </w:r>
      <w:r>
        <w:t xml:space="preserve"> DTF</w:t>
      </w:r>
      <w:r w:rsidRPr="00FB5D83">
        <w:t xml:space="preserve"> standard contracts.</w:t>
      </w:r>
    </w:p>
    <w:p w14:paraId="00E4EE69" w14:textId="7A5438E4" w:rsidR="00710A0D" w:rsidRDefault="004473B7" w:rsidP="00834461">
      <w:pPr>
        <w:pStyle w:val="NormalIndent"/>
      </w:pPr>
      <w:r>
        <w:t>For a</w:t>
      </w:r>
      <w:r w:rsidR="00710A0D">
        <w:t>dditional information on risk management in procurement see</w:t>
      </w:r>
      <w:r w:rsidR="00780F7E">
        <w:t xml:space="preserve"> Section</w:t>
      </w:r>
      <w:r w:rsidR="00710A0D">
        <w:t xml:space="preserve"> </w:t>
      </w:r>
      <w:r w:rsidR="00276DE2">
        <w:fldChar w:fldCharType="begin" w:fldLock="1"/>
      </w:r>
      <w:r w:rsidR="00276DE2">
        <w:instrText xml:space="preserve"> REF _Ref144283717 \n \h </w:instrText>
      </w:r>
      <w:r w:rsidR="00276DE2">
        <w:fldChar w:fldCharType="separate"/>
      </w:r>
      <w:r w:rsidR="003D4A19">
        <w:t>5.3</w:t>
      </w:r>
      <w:r w:rsidR="00276DE2">
        <w:fldChar w:fldCharType="end"/>
      </w:r>
      <w:r w:rsidR="00710A0D">
        <w:t xml:space="preserve"> Risk management</w:t>
      </w:r>
      <w:r>
        <w:t>.</w:t>
      </w:r>
    </w:p>
    <w:p w14:paraId="699AF3B4" w14:textId="0DA203DA" w:rsidR="00710A0D" w:rsidRDefault="00A35D39" w:rsidP="00834461">
      <w:pPr>
        <w:pStyle w:val="NormalIndent"/>
      </w:pPr>
      <w:r>
        <w:t>A</w:t>
      </w:r>
      <w:r w:rsidR="00710A0D" w:rsidRPr="00D13631">
        <w:t>lternative techniques to traditional</w:t>
      </w:r>
      <w:r w:rsidR="00710A0D">
        <w:t xml:space="preserve"> </w:t>
      </w:r>
      <w:r w:rsidR="00710A0D" w:rsidRPr="00D13631">
        <w:t>POA</w:t>
      </w:r>
      <w:r>
        <w:t xml:space="preserve"> </w:t>
      </w:r>
      <w:r w:rsidR="009A43F1">
        <w:t>for</w:t>
      </w:r>
      <w:r w:rsidR="00710A0D" w:rsidRPr="00D13631">
        <w:t xml:space="preserve"> procurement analysis </w:t>
      </w:r>
      <w:r>
        <w:t xml:space="preserve">have emerged in recent years. </w:t>
      </w:r>
      <w:r w:rsidR="00710A0D" w:rsidRPr="00D13631">
        <w:t xml:space="preserve">These techniques </w:t>
      </w:r>
      <w:r w:rsidR="009A43F1">
        <w:t>support</w:t>
      </w:r>
      <w:r w:rsidR="009A43F1" w:rsidRPr="00D13631">
        <w:t xml:space="preserve"> </w:t>
      </w:r>
      <w:r w:rsidR="00710A0D" w:rsidRPr="00D13631">
        <w:t>practitioners with a toolkit to identify optimal delivery arrangements for projects based on their unique characteristics and strategic priorities. Where there is a strong case</w:t>
      </w:r>
      <w:r>
        <w:t xml:space="preserve"> (</w:t>
      </w:r>
      <w:r w:rsidR="00710A0D" w:rsidRPr="00D13631">
        <w:t xml:space="preserve">for </w:t>
      </w:r>
      <w:r w:rsidR="00710A0D">
        <w:t xml:space="preserve">example, in </w:t>
      </w:r>
      <w:r w:rsidR="00710A0D" w:rsidRPr="00D13631">
        <w:t>complex or unique projects</w:t>
      </w:r>
      <w:r w:rsidR="00710A0D" w:rsidRPr="00D13631" w:rsidDel="00C56899">
        <w:t>,</w:t>
      </w:r>
      <w:r w:rsidR="00710A0D" w:rsidRPr="00D13631">
        <w:t xml:space="preserve"> or those </w:t>
      </w:r>
      <w:r w:rsidR="00710A0D" w:rsidRPr="00EF0204">
        <w:t>with</w:t>
      </w:r>
      <w:r w:rsidR="00710A0D" w:rsidRPr="00D13631">
        <w:t xml:space="preserve"> limited delivery track records</w:t>
      </w:r>
      <w:r>
        <w:t>)</w:t>
      </w:r>
      <w:r w:rsidR="00710A0D" w:rsidRPr="00D13631">
        <w:t xml:space="preserve"> practitioners </w:t>
      </w:r>
      <w:r w:rsidR="00710A0D">
        <w:t xml:space="preserve">should </w:t>
      </w:r>
      <w:r w:rsidR="00710A0D" w:rsidRPr="00D13631">
        <w:t xml:space="preserve">consider these techniques to inform the development of their procurement strategy </w:t>
      </w:r>
      <w:r w:rsidR="00710A0D">
        <w:t xml:space="preserve">or </w:t>
      </w:r>
      <w:r w:rsidR="00710A0D" w:rsidRPr="00D13631">
        <w:t>validate the output of POA approaches.</w:t>
      </w:r>
    </w:p>
    <w:p w14:paraId="78843E1E" w14:textId="77777777" w:rsidR="00710A0D" w:rsidRPr="000C4E89" w:rsidRDefault="00710A0D" w:rsidP="00A35D39">
      <w:pPr>
        <w:pStyle w:val="HighlightBoxHeading"/>
      </w:pPr>
      <w:r w:rsidRPr="000C4E89">
        <w:t>Queensland University of Technology procurement strategy tool</w:t>
      </w:r>
    </w:p>
    <w:p w14:paraId="045008A0" w14:textId="1A796240" w:rsidR="00710A0D" w:rsidRPr="008A2C39" w:rsidRDefault="00710A0D" w:rsidP="00D21F77">
      <w:pPr>
        <w:pStyle w:val="HighlightBoxText"/>
        <w:keepNext/>
      </w:pPr>
      <w:r>
        <w:t>Researchers at the</w:t>
      </w:r>
      <w:r w:rsidRPr="008A2C39">
        <w:t xml:space="preserve"> Queensland University of Technology </w:t>
      </w:r>
      <w:r>
        <w:t>(QUT) have</w:t>
      </w:r>
      <w:r w:rsidRPr="008A2C39">
        <w:t xml:space="preserve"> developed a comprehensive tool to develop project procurement strategies</w:t>
      </w:r>
      <w:r w:rsidR="00CA7FF9">
        <w:t xml:space="preserve"> that</w:t>
      </w:r>
      <w:r w:rsidRPr="008A2C39">
        <w:t xml:space="preserve"> </w:t>
      </w:r>
      <w:r w:rsidR="00CA7FF9" w:rsidRPr="008A2C39">
        <w:t>tak</w:t>
      </w:r>
      <w:r w:rsidR="00CA7FF9">
        <w:t>e</w:t>
      </w:r>
      <w:r w:rsidR="00C46053">
        <w:t>s</w:t>
      </w:r>
      <w:r w:rsidR="00CA7FF9" w:rsidRPr="008A2C39">
        <w:t xml:space="preserve"> </w:t>
      </w:r>
      <w:r w:rsidRPr="008A2C39">
        <w:t xml:space="preserve">account of client priorities, project characteristics and the level and nature of microeconomic risk associated with </w:t>
      </w:r>
      <w:r w:rsidR="00C46053">
        <w:t>a</w:t>
      </w:r>
      <w:r w:rsidRPr="008A2C39">
        <w:t xml:space="preserve"> given project</w:t>
      </w:r>
      <w:r>
        <w:t>.</w:t>
      </w:r>
    </w:p>
    <w:p w14:paraId="0D67A231" w14:textId="1DAF6CC4" w:rsidR="00710A0D" w:rsidRPr="008A2C39" w:rsidRDefault="00710A0D" w:rsidP="00D21F77">
      <w:pPr>
        <w:pStyle w:val="HighlightBoxText"/>
        <w:keepNext/>
      </w:pPr>
      <w:r w:rsidRPr="008A2C39">
        <w:t xml:space="preserve">The tool involves five steps to </w:t>
      </w:r>
      <w:r w:rsidR="00BE0C0A">
        <w:t xml:space="preserve">examine the </w:t>
      </w:r>
      <w:r w:rsidR="003639C7">
        <w:t xml:space="preserve">project components and </w:t>
      </w:r>
      <w:r w:rsidRPr="008A2C39">
        <w:t xml:space="preserve">identify how </w:t>
      </w:r>
      <w:r w:rsidR="003639C7">
        <w:t xml:space="preserve">the </w:t>
      </w:r>
      <w:r w:rsidRPr="008A2C39">
        <w:t xml:space="preserve">project should be procured to manage specific risks and deliver </w:t>
      </w:r>
      <w:r>
        <w:t>VfM</w:t>
      </w:r>
      <w:r w:rsidRPr="008A2C39">
        <w:t xml:space="preserve"> outcomes </w:t>
      </w:r>
      <w:r>
        <w:t>while meeting the</w:t>
      </w:r>
      <w:r w:rsidRPr="008A2C39">
        <w:t xml:space="preserve"> </w:t>
      </w:r>
      <w:r w:rsidR="003639C7">
        <w:t xml:space="preserve">clients’ </w:t>
      </w:r>
      <w:r w:rsidRPr="008A2C39">
        <w:t>strategic priorities.</w:t>
      </w:r>
    </w:p>
    <w:p w14:paraId="5BC5F0E4" w14:textId="12E758BC" w:rsidR="00710A0D" w:rsidRPr="008A2C39" w:rsidRDefault="00710A0D" w:rsidP="00BE2139">
      <w:pPr>
        <w:pStyle w:val="HighlightBoxText"/>
      </w:pPr>
      <w:r>
        <w:t>The tool has been tested on Australian projects in collaboration with Infrastructure Australia and internationally in collaboration with the Organi</w:t>
      </w:r>
      <w:r w:rsidR="003C6E84">
        <w:t>s</w:t>
      </w:r>
      <w:r>
        <w:t>ation for Economic Co-operation and Development</w:t>
      </w:r>
      <w:r w:rsidR="004D4FE2">
        <w:t>.</w:t>
      </w:r>
      <w:r>
        <w:t xml:space="preserve"> </w:t>
      </w:r>
      <w:r w:rsidR="004D4FE2">
        <w:t>It</w:t>
      </w:r>
      <w:r>
        <w:t xml:space="preserve"> shows promis</w:t>
      </w:r>
      <w:r w:rsidR="004D4FE2">
        <w:t>e</w:t>
      </w:r>
      <w:r>
        <w:t xml:space="preserve"> in its ability to provide a robust and structured approach to developing project procurement strategies.</w:t>
      </w:r>
    </w:p>
    <w:p w14:paraId="53B7326B" w14:textId="558F4ABB" w:rsidR="00710A0D" w:rsidRPr="008A2C39" w:rsidRDefault="00710A0D" w:rsidP="00710A0D">
      <w:pPr>
        <w:pStyle w:val="HighlightBoxText"/>
      </w:pPr>
      <w:r w:rsidRPr="008A2C39">
        <w:t xml:space="preserve">The following resources provide an overview of the tool and </w:t>
      </w:r>
      <w:r>
        <w:t>example</w:t>
      </w:r>
      <w:r w:rsidR="004A571F">
        <w:t>s</w:t>
      </w:r>
      <w:r>
        <w:t xml:space="preserve"> </w:t>
      </w:r>
      <w:r w:rsidRPr="008A2C39">
        <w:t xml:space="preserve">of </w:t>
      </w:r>
      <w:r w:rsidR="004A571F">
        <w:t xml:space="preserve">how </w:t>
      </w:r>
      <w:r w:rsidRPr="008A2C39">
        <w:t xml:space="preserve">the tool </w:t>
      </w:r>
      <w:r w:rsidR="004A571F">
        <w:t xml:space="preserve">was applied </w:t>
      </w:r>
      <w:r w:rsidRPr="008A2C39">
        <w:t>to projects</w:t>
      </w:r>
      <w:r w:rsidR="000747A1">
        <w:t xml:space="preserve"> in other jurisdictions.</w:t>
      </w:r>
    </w:p>
    <w:p w14:paraId="361619AC" w14:textId="6136A439" w:rsidR="00710A0D" w:rsidRDefault="00894832" w:rsidP="001D2615">
      <w:pPr>
        <w:pStyle w:val="HighlightBoxBullet"/>
      </w:pPr>
      <w:hyperlink r:id="rId100">
        <w:r w:rsidR="00710A0D" w:rsidRPr="2E598E95">
          <w:rPr>
            <w:rStyle w:val="Hyperlink"/>
          </w:rPr>
          <w:t>Procurement decision tool: draft user guide.</w:t>
        </w:r>
        <w:r w:rsidR="00A35D39">
          <w:rPr>
            <w:rStyle w:val="Hyperlink"/>
          </w:rPr>
          <w:t xml:space="preserve"> </w:t>
        </w:r>
        <w:r w:rsidR="00710A0D" w:rsidRPr="2E598E95">
          <w:rPr>
            <w:rStyle w:val="Hyperlink"/>
          </w:rPr>
          <w:t>[ ver. 1.0 ed.] | QUT ePrints</w:t>
        </w:r>
      </w:hyperlink>
    </w:p>
    <w:p w14:paraId="08E3BD6B" w14:textId="380F914A" w:rsidR="00710A0D" w:rsidRPr="00B43754" w:rsidRDefault="00894832" w:rsidP="001D2615">
      <w:pPr>
        <w:pStyle w:val="HighlightBoxBullet"/>
        <w:rPr>
          <w:rStyle w:val="Hyperlink"/>
        </w:rPr>
      </w:pPr>
      <w:hyperlink r:id="rId101" w:history="1">
        <w:r w:rsidR="00710A0D" w:rsidRPr="2E598E95">
          <w:rPr>
            <w:rStyle w:val="Hyperlink"/>
          </w:rPr>
          <w:t>Procurement Decision Tool: A Case Study of the Toowoomba Second Range Crossing</w:t>
        </w:r>
        <w:r w:rsidR="00CE2268">
          <w:rPr>
            <w:rStyle w:val="Hyperlink"/>
          </w:rPr>
          <w:t xml:space="preserve"> </w:t>
        </w:r>
        <w:r w:rsidR="001A5D02">
          <w:rPr>
            <w:rStyle w:val="Hyperlink"/>
          </w:rPr>
          <w:t>–</w:t>
        </w:r>
        <w:r w:rsidR="00710A0D" w:rsidRPr="2E598E95">
          <w:rPr>
            <w:rStyle w:val="Hyperlink"/>
          </w:rPr>
          <w:t xml:space="preserve"> AP-R624-20 | Austroads</w:t>
        </w:r>
      </w:hyperlink>
    </w:p>
    <w:p w14:paraId="23E674DC" w14:textId="77777777" w:rsidR="00B172BB" w:rsidRPr="00955D3A" w:rsidRDefault="77A93FF4" w:rsidP="001D2615">
      <w:pPr>
        <w:pStyle w:val="Heading2numbered"/>
      </w:pPr>
      <w:bookmarkStart w:id="288" w:name="_Toc124245415"/>
      <w:bookmarkStart w:id="289" w:name="_Toc161321761"/>
      <w:r w:rsidRPr="00955D3A">
        <w:t>Step 5: Detail the preferred procurement model and feed</w:t>
      </w:r>
      <w:bookmarkEnd w:id="288"/>
      <w:r w:rsidRPr="00955D3A">
        <w:t xml:space="preserve"> impacts through the business case</w:t>
      </w:r>
      <w:bookmarkEnd w:id="289"/>
    </w:p>
    <w:p w14:paraId="5B1DDE3B" w14:textId="06BF9513" w:rsidR="00710A0D" w:rsidRPr="00674F06" w:rsidRDefault="00710A0D" w:rsidP="00171CF8">
      <w:pPr>
        <w:pStyle w:val="NormalIndent"/>
        <w:keepNext/>
      </w:pPr>
      <w:r w:rsidRPr="001C688C">
        <w:t>After identifying the preferred procurement model, it</w:t>
      </w:r>
      <w:r>
        <w:t xml:space="preserve"> i</w:t>
      </w:r>
      <w:r w:rsidRPr="001C688C">
        <w:t xml:space="preserve">s essential to document all its key conditions in the </w:t>
      </w:r>
      <w:r w:rsidRPr="00EF0204">
        <w:t>procurement</w:t>
      </w:r>
      <w:r w:rsidRPr="001C688C">
        <w:t xml:space="preserve"> strategy. This decision will define the </w:t>
      </w:r>
      <w:r w:rsidRPr="00D13631">
        <w:t>client</w:t>
      </w:r>
      <w:r w:rsidR="00344D3F">
        <w:t>’</w:t>
      </w:r>
      <w:r w:rsidRPr="00D13631">
        <w:t>s</w:t>
      </w:r>
      <w:r w:rsidRPr="001C688C">
        <w:t xml:space="preserve"> resourcing requirements, risk management approach, contract type and contract management requirements.</w:t>
      </w:r>
    </w:p>
    <w:p w14:paraId="23E3741F" w14:textId="62196A37" w:rsidR="00710A0D" w:rsidRPr="00D13631" w:rsidRDefault="00710A0D" w:rsidP="00710A0D">
      <w:pPr>
        <w:pStyle w:val="Quote"/>
      </w:pPr>
      <w:r w:rsidRPr="000B566F">
        <w:rPr>
          <w:b/>
          <w:bCs/>
        </w:rPr>
        <w:t>Decision point:</w:t>
      </w:r>
      <w:r w:rsidRPr="000B566F">
        <w:t xml:space="preserve"> </w:t>
      </w:r>
      <w:r>
        <w:t>Have all the key conditions to successfully implement the procurement strategy (including the preferred procurement model) been identified and documented for</w:t>
      </w:r>
      <w:r w:rsidR="00C7225D" w:rsidRPr="00C7225D">
        <w:t xml:space="preserve"> </w:t>
      </w:r>
      <w:r w:rsidR="00C7225D">
        <w:t>endorsement by the</w:t>
      </w:r>
      <w:r>
        <w:t xml:space="preserve"> project sponsor?</w:t>
      </w:r>
    </w:p>
    <w:p w14:paraId="67EA984F" w14:textId="77777777" w:rsidR="00B172BB" w:rsidRPr="00FC1E6F" w:rsidRDefault="00B172BB" w:rsidP="00834461">
      <w:pPr>
        <w:pStyle w:val="NormalIndent"/>
      </w:pPr>
      <w:r w:rsidRPr="00FC1E6F">
        <w:t xml:space="preserve">The procurement strategy </w:t>
      </w:r>
      <w:r w:rsidRPr="00EF0204">
        <w:t>documentation</w:t>
      </w:r>
      <w:r w:rsidRPr="00FC1E6F">
        <w:t xml:space="preserve"> should include the following:</w:t>
      </w:r>
    </w:p>
    <w:p w14:paraId="2DE200BE" w14:textId="7510C0F4" w:rsidR="00B172BB" w:rsidRPr="00183725" w:rsidRDefault="007A2057" w:rsidP="001D2615">
      <w:pPr>
        <w:pStyle w:val="Bulletindent"/>
      </w:pPr>
      <w:r>
        <w:t>p</w:t>
      </w:r>
      <w:r w:rsidR="285B83F7">
        <w:t>lans for managing residual procurement risks and issues during the delivery and operational phases, including necessary controls. This should support a detailed risk assessment</w:t>
      </w:r>
      <w:r w:rsidR="00710A0D">
        <w:t>,</w:t>
      </w:r>
      <w:r w:rsidR="285B83F7">
        <w:t xml:space="preserve"> incorporating the preferred procurement model once it is </w:t>
      </w:r>
      <w:r w:rsidR="00710A0D">
        <w:t>outlined</w:t>
      </w:r>
    </w:p>
    <w:p w14:paraId="52433E08" w14:textId="55876E9F" w:rsidR="00710A0D" w:rsidRPr="00183725" w:rsidRDefault="007A2057" w:rsidP="001D2615">
      <w:pPr>
        <w:pStyle w:val="Bulletindent"/>
      </w:pPr>
      <w:r>
        <w:t>i</w:t>
      </w:r>
      <w:r w:rsidR="00710A0D">
        <w:t>dentification of necessary skills, resources and potential gaps, along with strategies to manage them. Any additional resources or skills needed to implement the procurement model should be factored into the project design and costing</w:t>
      </w:r>
      <w:r w:rsidR="00EF2A3D">
        <w:t>,</w:t>
      </w:r>
      <w:r w:rsidR="00710A0D">
        <w:t xml:space="preserve"> </w:t>
      </w:r>
      <w:r w:rsidR="00EF2A3D">
        <w:t>and</w:t>
      </w:r>
      <w:r w:rsidR="00710A0D">
        <w:t xml:space="preserve"> documented in the business case</w:t>
      </w:r>
    </w:p>
    <w:p w14:paraId="78AF9DE8" w14:textId="47ABA09A" w:rsidR="00710A0D" w:rsidRPr="00183725" w:rsidRDefault="007A2057" w:rsidP="001D2615">
      <w:pPr>
        <w:pStyle w:val="Bulletindent"/>
      </w:pPr>
      <w:r>
        <w:t>c</w:t>
      </w:r>
      <w:r w:rsidR="00710A0D">
        <w:t>onsideration of how the procurement model decision fits into the overall project structure, bundling and packaging strategies (if applicable).</w:t>
      </w:r>
    </w:p>
    <w:p w14:paraId="0449C7CB" w14:textId="77777777" w:rsidR="00B172BB" w:rsidRPr="00FC1E6F" w:rsidRDefault="00B172BB" w:rsidP="00834461">
      <w:pPr>
        <w:pStyle w:val="NormalIndent"/>
      </w:pPr>
      <w:r w:rsidRPr="00FC1E6F">
        <w:t xml:space="preserve">The business case schedule, </w:t>
      </w:r>
      <w:r w:rsidRPr="00EF0204">
        <w:t>project</w:t>
      </w:r>
      <w:r w:rsidRPr="00FC1E6F">
        <w:t xml:space="preserve"> resourcing strategy and costs plan, alongside the project risk register should be cross checked to ensure alignment with the preferred procurement model and procurement strategy.</w:t>
      </w:r>
    </w:p>
    <w:p w14:paraId="1D8269A0" w14:textId="56EAD276" w:rsidR="00B172BB" w:rsidRDefault="00A35D39" w:rsidP="00834461">
      <w:pPr>
        <w:pStyle w:val="NormalIndent"/>
      </w:pPr>
      <w:r>
        <w:t>As important as it is, selecting</w:t>
      </w:r>
      <w:r w:rsidR="00B172BB" w:rsidRPr="00FC1E6F">
        <w:t xml:space="preserve"> the best procurement </w:t>
      </w:r>
      <w:r w:rsidR="00B172BB" w:rsidRPr="00D13631">
        <w:t>model</w:t>
      </w:r>
      <w:r w:rsidR="00B172BB" w:rsidRPr="00FC1E6F">
        <w:t xml:space="preserve"> is just one step in delivering the project. Tendering </w:t>
      </w:r>
      <w:r w:rsidR="00B172BB" w:rsidRPr="00AE4C9F">
        <w:t xml:space="preserve">for the project is also a critical step to ensure that project objectives are achieved. </w:t>
      </w:r>
      <w:r w:rsidR="4EB9E1A3">
        <w:t>Refer to</w:t>
      </w:r>
      <w:r w:rsidR="00E71495">
        <w:t xml:space="preserve"> the DTF</w:t>
      </w:r>
      <w:r w:rsidR="00454D69">
        <w:t xml:space="preserve"> </w:t>
      </w:r>
      <w:hyperlink r:id="rId102">
        <w:r w:rsidR="4EB9E1A3" w:rsidRPr="6E4B2343">
          <w:rPr>
            <w:rStyle w:val="Hyperlink"/>
          </w:rPr>
          <w:t xml:space="preserve">Delivery </w:t>
        </w:r>
        <w:r w:rsidR="54E33209" w:rsidRPr="6E4B2343">
          <w:rPr>
            <w:rStyle w:val="Hyperlink"/>
          </w:rPr>
          <w:t>ILG</w:t>
        </w:r>
      </w:hyperlink>
      <w:r w:rsidR="54E33209">
        <w:t xml:space="preserve"> </w:t>
      </w:r>
      <w:r w:rsidR="00E71495">
        <w:t xml:space="preserve">webpage </w:t>
      </w:r>
      <w:r w:rsidR="3472EAA0">
        <w:t>for more information</w:t>
      </w:r>
      <w:r w:rsidR="0C94E078">
        <w:t>.</w:t>
      </w:r>
    </w:p>
    <w:p w14:paraId="2F1ADF6A" w14:textId="77777777" w:rsidR="00B172BB" w:rsidRPr="004F3D2C" w:rsidRDefault="00B172BB" w:rsidP="001D2615">
      <w:pPr>
        <w:pStyle w:val="Heading3numbered"/>
      </w:pPr>
      <w:bookmarkStart w:id="290" w:name="_Toc124245416"/>
      <w:bookmarkStart w:id="291" w:name="_Toc124245417"/>
      <w:bookmarkStart w:id="292" w:name="_Toc124245418"/>
      <w:bookmarkStart w:id="293" w:name="_Toc124245419"/>
      <w:bookmarkStart w:id="294" w:name="_Toc124245420"/>
      <w:bookmarkStart w:id="295" w:name="_Toc124245421"/>
      <w:bookmarkStart w:id="296" w:name="_Toc124245422"/>
      <w:bookmarkStart w:id="297" w:name="_Toc124245423"/>
      <w:bookmarkStart w:id="298" w:name="_Toc124245424"/>
      <w:bookmarkStart w:id="299" w:name="_Toc124245425"/>
      <w:bookmarkStart w:id="300" w:name="_Toc124245426"/>
      <w:bookmarkStart w:id="301" w:name="_Toc124245427"/>
      <w:bookmarkStart w:id="302" w:name="_Toc124245428"/>
      <w:bookmarkStart w:id="303" w:name="_Toc124245429"/>
      <w:bookmarkStart w:id="304" w:name="_Toc113449026"/>
      <w:bookmarkStart w:id="305" w:name="_Toc124245430"/>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4F3D2C">
        <w:t>Minimum documentation requirements</w:t>
      </w:r>
      <w:bookmarkEnd w:id="304"/>
      <w:bookmarkEnd w:id="305"/>
    </w:p>
    <w:p w14:paraId="34F9B981" w14:textId="0998DA21" w:rsidR="00710A0D" w:rsidRPr="000B566F" w:rsidRDefault="00710A0D" w:rsidP="00834461">
      <w:pPr>
        <w:pStyle w:val="NormalIndent"/>
      </w:pPr>
      <w:r w:rsidRPr="000B566F">
        <w:t xml:space="preserve">The </w:t>
      </w:r>
      <w:r w:rsidR="00ED0892">
        <w:t xml:space="preserve">amount </w:t>
      </w:r>
      <w:r w:rsidRPr="000B566F">
        <w:t xml:space="preserve">of detail in the procurement strategy should be appropriate to the scale and </w:t>
      </w:r>
      <w:r w:rsidRPr="00EF0204">
        <w:t>complexity</w:t>
      </w:r>
      <w:r w:rsidRPr="000B566F">
        <w:t xml:space="preserve"> of the investment</w:t>
      </w:r>
      <w:r>
        <w:t>.</w:t>
      </w:r>
      <w:r w:rsidRPr="000B566F">
        <w:t xml:space="preserve"> </w:t>
      </w:r>
      <w:r>
        <w:t>H</w:t>
      </w:r>
      <w:r w:rsidRPr="000B566F">
        <w:t>owever</w:t>
      </w:r>
      <w:r>
        <w:t xml:space="preserve">, it </w:t>
      </w:r>
      <w:r w:rsidRPr="000B566F">
        <w:t>should include at a minimum:</w:t>
      </w:r>
    </w:p>
    <w:p w14:paraId="6B4E5517" w14:textId="77777777" w:rsidR="00710A0D" w:rsidRPr="00183725" w:rsidRDefault="00710A0D" w:rsidP="001D2615">
      <w:pPr>
        <w:pStyle w:val="Bulletindent"/>
      </w:pPr>
      <w:r>
        <w:t>a statement of procurement objectives to best achieve the project objectives and outcomes detailed in the problem and benefits definition sections of the business case</w:t>
      </w:r>
    </w:p>
    <w:p w14:paraId="37233B48" w14:textId="66BF976D" w:rsidR="00710A0D" w:rsidRPr="00183725" w:rsidRDefault="00710A0D" w:rsidP="001D2615">
      <w:pPr>
        <w:pStyle w:val="Bulletindent"/>
      </w:pPr>
      <w:r>
        <w:t xml:space="preserve">a review of market capacity, capability and risk appetite to deliver the project </w:t>
      </w:r>
      <w:r w:rsidR="00E45846">
        <w:t>with</w:t>
      </w:r>
      <w:r>
        <w:t>in the planned timeframes</w:t>
      </w:r>
    </w:p>
    <w:p w14:paraId="5DA61099" w14:textId="00DC2467" w:rsidR="00710A0D" w:rsidRPr="00183725" w:rsidRDefault="00710A0D" w:rsidP="001D2615">
      <w:pPr>
        <w:pStyle w:val="Bulletindent"/>
      </w:pPr>
      <w:r>
        <w:t>a review of the department</w:t>
      </w:r>
      <w:r w:rsidR="00344D3F">
        <w:t>’</w:t>
      </w:r>
      <w:r>
        <w:t>s (and the agency</w:t>
      </w:r>
      <w:r w:rsidR="00344D3F">
        <w:t>’</w:t>
      </w:r>
      <w:r>
        <w:t>s) existing capability and capacity to procure the asset and deliver the service outcomes, including any gaps and mitigations</w:t>
      </w:r>
    </w:p>
    <w:p w14:paraId="46D79672" w14:textId="186D37B8" w:rsidR="00710A0D" w:rsidRPr="00183725" w:rsidRDefault="00710A0D" w:rsidP="001D2615">
      <w:pPr>
        <w:pStyle w:val="Bulletindent"/>
      </w:pPr>
      <w:r>
        <w:t xml:space="preserve">an outline of any commercial and organisational structuring and financing required to effectively deliver the project. This may include </w:t>
      </w:r>
      <w:r w:rsidR="00CA4E16">
        <w:t xml:space="preserve">the </w:t>
      </w:r>
      <w:r>
        <w:t>agency and key stakeholders, third-party funding and revenue generati</w:t>
      </w:r>
      <w:r w:rsidR="00CA4E16">
        <w:t>ng</w:t>
      </w:r>
      <w:r>
        <w:t xml:space="preserve"> opportunities and market impacts (likely only required for HVHR projects)</w:t>
      </w:r>
    </w:p>
    <w:p w14:paraId="57B37D96" w14:textId="47C117CC" w:rsidR="00710A0D" w:rsidRPr="00183725" w:rsidRDefault="00710A0D" w:rsidP="001D2615">
      <w:pPr>
        <w:pStyle w:val="Bulletindent"/>
      </w:pPr>
      <w:r>
        <w:t xml:space="preserve">identification and evaluation of how whole-of-life outcomes will be delivered, including </w:t>
      </w:r>
      <w:r w:rsidR="00A35D39">
        <w:t>documentation of how</w:t>
      </w:r>
      <w:r>
        <w:t xml:space="preserve"> opportunities for bundling elements across design, construction, maintenance and operations</w:t>
      </w:r>
      <w:r w:rsidR="00A35D39">
        <w:t xml:space="preserve"> have be</w:t>
      </w:r>
      <w:r w:rsidR="00BF6625">
        <w:t>e</w:t>
      </w:r>
      <w:r w:rsidR="00A35D39">
        <w:t>n explored</w:t>
      </w:r>
    </w:p>
    <w:p w14:paraId="1BE5CC18" w14:textId="508024A6" w:rsidR="00710A0D" w:rsidRPr="00183725" w:rsidRDefault="00710A0D" w:rsidP="001D2615">
      <w:pPr>
        <w:pStyle w:val="Bulletindent"/>
      </w:pPr>
      <w:r>
        <w:t>determination of the optimal project packaging strategy to respond to project and delivery risks (it is essential that this is undertaken prior to POA)</w:t>
      </w:r>
    </w:p>
    <w:p w14:paraId="59D37E13" w14:textId="7E50B965" w:rsidR="00710A0D" w:rsidRPr="00183725" w:rsidRDefault="00710A0D" w:rsidP="001D2615">
      <w:pPr>
        <w:pStyle w:val="Bulletindent"/>
      </w:pPr>
      <w:r>
        <w:t>outputs of the procurement model shortlisting process</w:t>
      </w:r>
      <w:r w:rsidR="00DA6A36">
        <w:t>,</w:t>
      </w:r>
      <w:r>
        <w:t xml:space="preserve"> including the rationale for inclusion</w:t>
      </w:r>
      <w:r w:rsidR="00DA6A36">
        <w:t xml:space="preserve"> in,</w:t>
      </w:r>
      <w:r>
        <w:t xml:space="preserve"> and exclusion </w:t>
      </w:r>
      <w:r w:rsidR="00DA6A36">
        <w:t xml:space="preserve">from, </w:t>
      </w:r>
      <w:r>
        <w:t>the shortlist as well as any precedents used to validate the analysis</w:t>
      </w:r>
    </w:p>
    <w:p w14:paraId="21987213" w14:textId="66C1F076" w:rsidR="00710A0D" w:rsidRPr="00183725" w:rsidRDefault="00710A0D" w:rsidP="001D2615">
      <w:pPr>
        <w:pStyle w:val="Bulletindent"/>
      </w:pPr>
      <w:r>
        <w:t>a detailed evaluation of the benefits, costs and risks associated with the shortlisted procurement models</w:t>
      </w:r>
      <w:r w:rsidR="001870C0">
        <w:t>,</w:t>
      </w:r>
      <w:r>
        <w:t xml:space="preserve"> considering the procurement objectives, </w:t>
      </w:r>
      <w:r w:rsidR="00814417">
        <w:t>project characteristics</w:t>
      </w:r>
      <w:r>
        <w:t xml:space="preserve"> and </w:t>
      </w:r>
      <w:r w:rsidR="001870C0">
        <w:t xml:space="preserve">the </w:t>
      </w:r>
      <w:r>
        <w:t>delivery and service environment</w:t>
      </w:r>
      <w:r w:rsidR="001870C0">
        <w:t>,</w:t>
      </w:r>
      <w:r>
        <w:t xml:space="preserve"> against an agreed set of selection criteria</w:t>
      </w:r>
    </w:p>
    <w:p w14:paraId="705D0E34" w14:textId="6D556101" w:rsidR="00710A0D" w:rsidRPr="00183725" w:rsidRDefault="00710A0D" w:rsidP="001D2615">
      <w:pPr>
        <w:pStyle w:val="Bulletindent"/>
      </w:pPr>
      <w:r>
        <w:t xml:space="preserve">justification for </w:t>
      </w:r>
      <w:r w:rsidR="00A35D39">
        <w:t xml:space="preserve">the </w:t>
      </w:r>
      <w:r>
        <w:t>recommended procurement model(s), documenting any outstanding risks, limitations or assumptions.</w:t>
      </w:r>
    </w:p>
    <w:p w14:paraId="3CF6CFC9" w14:textId="77777777" w:rsidR="00710A0D" w:rsidRPr="000B566F" w:rsidRDefault="00710A0D" w:rsidP="00D21F77">
      <w:pPr>
        <w:pStyle w:val="NormalIndent"/>
        <w:keepNext/>
      </w:pPr>
      <w:r>
        <w:t>Overall, t</w:t>
      </w:r>
      <w:r w:rsidRPr="000B566F">
        <w:t xml:space="preserve">he </w:t>
      </w:r>
      <w:r w:rsidRPr="00EF0204">
        <w:t>procurement</w:t>
      </w:r>
      <w:r w:rsidRPr="000B566F">
        <w:t xml:space="preserve"> strategy must demonstrate:</w:t>
      </w:r>
    </w:p>
    <w:p w14:paraId="638E2543" w14:textId="3932BDA7" w:rsidR="00710A0D" w:rsidRPr="000B566F" w:rsidRDefault="00710A0D" w:rsidP="001D2615">
      <w:pPr>
        <w:pStyle w:val="Bulletindent"/>
        <w:keepNext/>
        <w:rPr>
          <w:rFonts w:eastAsia="MS Mincho"/>
        </w:rPr>
      </w:pPr>
      <w:r>
        <w:t>t</w:t>
      </w:r>
      <w:r w:rsidRPr="5500A5F5">
        <w:t xml:space="preserve">hat a </w:t>
      </w:r>
      <w:r w:rsidRPr="5500A5F5">
        <w:rPr>
          <w:b/>
          <w:bCs/>
        </w:rPr>
        <w:t xml:space="preserve">clear and transparent process has been undertaken for understanding </w:t>
      </w:r>
      <w:r w:rsidRPr="5500A5F5">
        <w:t>the</w:t>
      </w:r>
      <w:r w:rsidRPr="5500A5F5">
        <w:rPr>
          <w:b/>
          <w:bCs/>
        </w:rPr>
        <w:t xml:space="preserve"> </w:t>
      </w:r>
      <w:r w:rsidRPr="5500A5F5">
        <w:t>project</w:t>
      </w:r>
      <w:r w:rsidRPr="5500A5F5">
        <w:rPr>
          <w:b/>
          <w:bCs/>
        </w:rPr>
        <w:t xml:space="preserve"> </w:t>
      </w:r>
      <w:r w:rsidRPr="5500A5F5">
        <w:t xml:space="preserve">objectives, </w:t>
      </w:r>
      <w:r w:rsidR="003D4860">
        <w:t>project</w:t>
      </w:r>
      <w:r w:rsidRPr="5500A5F5">
        <w:t xml:space="preserve"> characteristics and requirements</w:t>
      </w:r>
      <w:r w:rsidR="003D4860">
        <w:t>,</w:t>
      </w:r>
      <w:r w:rsidRPr="5500A5F5">
        <w:t xml:space="preserve"> and how these will be managed to ensure successful project delivery</w:t>
      </w:r>
    </w:p>
    <w:p w14:paraId="5F3873F9" w14:textId="77777777" w:rsidR="00710A0D" w:rsidRPr="000B566F" w:rsidRDefault="00710A0D" w:rsidP="001D2615">
      <w:pPr>
        <w:pStyle w:val="Bulletindent"/>
        <w:rPr>
          <w:rFonts w:eastAsia="MS Mincho"/>
        </w:rPr>
      </w:pPr>
      <w:r>
        <w:rPr>
          <w:shd w:val="clear" w:color="auto" w:fill="FFFFFF"/>
        </w:rPr>
        <w:t>t</w:t>
      </w:r>
      <w:r w:rsidRPr="000B566F">
        <w:rPr>
          <w:shd w:val="clear" w:color="auto" w:fill="FFFFFF"/>
        </w:rPr>
        <w:t xml:space="preserve">hat a </w:t>
      </w:r>
      <w:r w:rsidRPr="000B566F">
        <w:rPr>
          <w:b/>
          <w:bCs/>
          <w:shd w:val="clear" w:color="auto" w:fill="FFFFFF"/>
        </w:rPr>
        <w:t xml:space="preserve">robust process </w:t>
      </w:r>
      <w:r>
        <w:rPr>
          <w:b/>
          <w:bCs/>
          <w:shd w:val="clear" w:color="auto" w:fill="FFFFFF"/>
        </w:rPr>
        <w:t>has been undertaken to consider</w:t>
      </w:r>
      <w:r w:rsidRPr="000B566F">
        <w:rPr>
          <w:b/>
          <w:bCs/>
          <w:shd w:val="clear" w:color="auto" w:fill="FFFFFF"/>
        </w:rPr>
        <w:t xml:space="preserve"> procurement options and </w:t>
      </w:r>
      <w:r>
        <w:rPr>
          <w:b/>
          <w:bCs/>
          <w:shd w:val="clear" w:color="auto" w:fill="FFFFFF"/>
        </w:rPr>
        <w:t xml:space="preserve">develop </w:t>
      </w:r>
      <w:r w:rsidRPr="000B566F">
        <w:rPr>
          <w:b/>
          <w:bCs/>
          <w:shd w:val="clear" w:color="auto" w:fill="FFFFFF"/>
        </w:rPr>
        <w:t>detailed analysis</w:t>
      </w:r>
      <w:r w:rsidRPr="000B566F">
        <w:rPr>
          <w:shd w:val="clear" w:color="auto" w:fill="FFFFFF"/>
        </w:rPr>
        <w:t xml:space="preserve"> to select the recommended procurement strategy. The process should include evidence of participation</w:t>
      </w:r>
      <w:r>
        <w:rPr>
          <w:shd w:val="clear" w:color="auto" w:fill="FFFFFF"/>
        </w:rPr>
        <w:t xml:space="preserve"> </w:t>
      </w:r>
      <w:r w:rsidRPr="000B566F" w:rsidDel="00C84CBC">
        <w:rPr>
          <w:shd w:val="clear" w:color="auto" w:fill="FFFFFF"/>
        </w:rPr>
        <w:t xml:space="preserve">or </w:t>
      </w:r>
      <w:r w:rsidRPr="000B566F">
        <w:rPr>
          <w:shd w:val="clear" w:color="auto" w:fill="FFFFFF"/>
        </w:rPr>
        <w:t>endorsement by the project sponsor</w:t>
      </w:r>
    </w:p>
    <w:p w14:paraId="13C6023C" w14:textId="77777777" w:rsidR="00710A0D" w:rsidRPr="00955D3A" w:rsidRDefault="00710A0D" w:rsidP="001D2615">
      <w:pPr>
        <w:pStyle w:val="Bulletindent"/>
        <w:rPr>
          <w:rFonts w:eastAsia="MS Mincho"/>
        </w:rPr>
      </w:pPr>
      <w:r>
        <w:rPr>
          <w:b/>
          <w:bCs/>
          <w:shd w:val="clear" w:color="auto" w:fill="FFFFFF"/>
        </w:rPr>
        <w:t>that all</w:t>
      </w:r>
      <w:r w:rsidRPr="00955D3A">
        <w:rPr>
          <w:b/>
          <w:bCs/>
          <w:shd w:val="clear" w:color="auto" w:fill="FFFFFF"/>
        </w:rPr>
        <w:t xml:space="preserve"> suitable procurement options have been considered</w:t>
      </w:r>
    </w:p>
    <w:p w14:paraId="2E50650E" w14:textId="77777777" w:rsidR="00710A0D" w:rsidRPr="000B566F" w:rsidRDefault="00710A0D" w:rsidP="001D2615">
      <w:pPr>
        <w:pStyle w:val="Bulletindent"/>
        <w:rPr>
          <w:rFonts w:eastAsia="MS Mincho"/>
        </w:rPr>
      </w:pPr>
      <w:r>
        <w:rPr>
          <w:rFonts w:eastAsia="MS Mincho"/>
        </w:rPr>
        <w:t>t</w:t>
      </w:r>
      <w:r w:rsidRPr="5500A5F5">
        <w:rPr>
          <w:rFonts w:eastAsia="MS Mincho"/>
        </w:rPr>
        <w:t>hat the proposed procurement strategy is an</w:t>
      </w:r>
      <w:r w:rsidRPr="5500A5F5">
        <w:rPr>
          <w:rFonts w:eastAsia="MS Mincho"/>
          <w:b/>
          <w:bCs/>
        </w:rPr>
        <w:t xml:space="preserve"> effective and efficient way to deliver public value</w:t>
      </w:r>
      <w:r w:rsidRPr="007D5204">
        <w:rPr>
          <w:rFonts w:eastAsia="MS Mincho"/>
        </w:rPr>
        <w:t>,</w:t>
      </w:r>
      <w:r>
        <w:rPr>
          <w:rFonts w:eastAsia="MS Mincho"/>
          <w:b/>
          <w:bCs/>
        </w:rPr>
        <w:t xml:space="preserve"> </w:t>
      </w:r>
      <w:r w:rsidRPr="007D5204">
        <w:rPr>
          <w:rFonts w:eastAsia="MS Mincho"/>
        </w:rPr>
        <w:t xml:space="preserve">with </w:t>
      </w:r>
      <w:r w:rsidRPr="00672E29">
        <w:t>procurement</w:t>
      </w:r>
      <w:r w:rsidRPr="5500A5F5">
        <w:rPr>
          <w:rFonts w:eastAsia="MS Mincho"/>
        </w:rPr>
        <w:t xml:space="preserve"> risk strategy assessment undertaken and risk treatments documented</w:t>
      </w:r>
    </w:p>
    <w:p w14:paraId="5D4198D6" w14:textId="4918D959" w:rsidR="00710A0D" w:rsidRPr="000B566F" w:rsidRDefault="00710A0D" w:rsidP="001D2615">
      <w:pPr>
        <w:pStyle w:val="Bulletindent"/>
        <w:rPr>
          <w:rFonts w:eastAsia="MS Mincho"/>
        </w:rPr>
      </w:pPr>
      <w:r w:rsidRPr="5500A5F5">
        <w:rPr>
          <w:rFonts w:eastAsia="MS Mincho"/>
        </w:rPr>
        <w:t xml:space="preserve">that the </w:t>
      </w:r>
      <w:r w:rsidRPr="00955D3A">
        <w:rPr>
          <w:rFonts w:eastAsia="MS Mincho"/>
          <w:b/>
          <w:bCs/>
        </w:rPr>
        <w:t>project team has established appropriate capacity, capability and processes to support the procurement strategy</w:t>
      </w:r>
      <w:r w:rsidRPr="5500A5F5">
        <w:rPr>
          <w:rFonts w:eastAsia="MS Mincho"/>
        </w:rPr>
        <w:t xml:space="preserve"> and timelines</w:t>
      </w:r>
      <w:r w:rsidR="00A35D39">
        <w:rPr>
          <w:rFonts w:eastAsia="MS Mincho"/>
        </w:rPr>
        <w:t xml:space="preserve"> (with supporting evidence)</w:t>
      </w:r>
    </w:p>
    <w:p w14:paraId="38911FE9" w14:textId="77777777" w:rsidR="00710A0D" w:rsidRPr="000B566F" w:rsidRDefault="00710A0D" w:rsidP="001D2615">
      <w:pPr>
        <w:pStyle w:val="Bulletindent"/>
        <w:rPr>
          <w:rFonts w:eastAsia="MS Mincho"/>
        </w:rPr>
      </w:pPr>
      <w:r>
        <w:rPr>
          <w:rFonts w:eastAsia="MS Mincho"/>
        </w:rPr>
        <w:t>an a</w:t>
      </w:r>
      <w:r w:rsidRPr="5500A5F5">
        <w:rPr>
          <w:rFonts w:eastAsia="MS Mincho"/>
        </w:rPr>
        <w:t xml:space="preserve">ssessment of the </w:t>
      </w:r>
      <w:r w:rsidRPr="5500A5F5">
        <w:rPr>
          <w:rFonts w:eastAsia="MS Mincho"/>
          <w:b/>
          <w:bCs/>
        </w:rPr>
        <w:t>adequacy, behaviour and capabilities of the market</w:t>
      </w:r>
      <w:r w:rsidRPr="5500A5F5">
        <w:rPr>
          <w:rFonts w:eastAsia="MS Mincho"/>
        </w:rPr>
        <w:t xml:space="preserve"> to respond to the preferred </w:t>
      </w:r>
      <w:r>
        <w:t>procurement</w:t>
      </w:r>
      <w:r w:rsidRPr="5500A5F5">
        <w:rPr>
          <w:rFonts w:eastAsia="MS Mincho"/>
        </w:rPr>
        <w:t xml:space="preserve"> method.</w:t>
      </w:r>
    </w:p>
    <w:p w14:paraId="32820324" w14:textId="07C183FC" w:rsidR="00710A0D" w:rsidRPr="000B566F" w:rsidRDefault="00710A0D" w:rsidP="00834461">
      <w:pPr>
        <w:pStyle w:val="NormalIndent"/>
      </w:pPr>
      <w:r w:rsidRPr="000B566F">
        <w:t xml:space="preserve">A summary of the procurement options and assessment should be included in the body of the </w:t>
      </w:r>
      <w:r>
        <w:t>b</w:t>
      </w:r>
      <w:r w:rsidRPr="000B566F">
        <w:t xml:space="preserve">usiness </w:t>
      </w:r>
      <w:r>
        <w:t>c</w:t>
      </w:r>
      <w:r w:rsidRPr="000B566F">
        <w:t>ase</w:t>
      </w:r>
      <w:r w:rsidR="005757E4">
        <w:t>,</w:t>
      </w:r>
      <w:r w:rsidRPr="000B566F">
        <w:t xml:space="preserve"> with supporting materials and evidence included in </w:t>
      </w:r>
      <w:r w:rsidR="00A35D39">
        <w:t>appendices</w:t>
      </w:r>
      <w:r w:rsidRPr="000B566F">
        <w:t>.</w:t>
      </w:r>
    </w:p>
    <w:p w14:paraId="40BF3938" w14:textId="6C0730A3" w:rsidR="00B172BB" w:rsidRPr="004408ED" w:rsidRDefault="00B172BB" w:rsidP="00834461">
      <w:pPr>
        <w:pStyle w:val="NormalIndent"/>
      </w:pPr>
      <w:r w:rsidRPr="000B566F">
        <w:t xml:space="preserve">The recommended content </w:t>
      </w:r>
      <w:r w:rsidRPr="00EF0204">
        <w:t>requirements</w:t>
      </w:r>
      <w:r w:rsidRPr="000B566F">
        <w:t xml:space="preserve"> and structure are outlined in the </w:t>
      </w:r>
      <w:r w:rsidR="00710A0D">
        <w:t>p</w:t>
      </w:r>
      <w:r w:rsidR="00710A0D">
        <w:rPr>
          <w:rFonts w:hint="eastAsia"/>
        </w:rPr>
        <w:t xml:space="preserve">rocurement </w:t>
      </w:r>
      <w:r w:rsidR="00710A0D">
        <w:t>s</w:t>
      </w:r>
      <w:r w:rsidR="00710A0D">
        <w:rPr>
          <w:rFonts w:hint="eastAsia"/>
        </w:rPr>
        <w:t xml:space="preserve">trategy </w:t>
      </w:r>
      <w:r w:rsidR="00710A0D">
        <w:t>section</w:t>
      </w:r>
      <w:r w:rsidR="00893ACC">
        <w:t xml:space="preserve"> located in</w:t>
      </w:r>
      <w:r w:rsidR="00382AFC">
        <w:t xml:space="preserve"> </w:t>
      </w:r>
      <w:r w:rsidR="00383589">
        <w:fldChar w:fldCharType="begin"/>
      </w:r>
      <w:r w:rsidR="00383589">
        <w:instrText xml:space="preserve"> REF Part2 \h </w:instrText>
      </w:r>
      <w:r w:rsidR="00383589">
        <w:fldChar w:fldCharType="separate"/>
      </w:r>
      <w:r w:rsidR="008A4B3E" w:rsidRPr="008B6855">
        <w:t xml:space="preserve">Part </w:t>
      </w:r>
      <w:r w:rsidR="008A4B3E">
        <w:t>2</w:t>
      </w:r>
      <w:r w:rsidR="00383589">
        <w:fldChar w:fldCharType="end"/>
      </w:r>
      <w:r w:rsidR="00C533D6">
        <w:t>of this document.</w:t>
      </w:r>
    </w:p>
    <w:p w14:paraId="0302FB94" w14:textId="77777777" w:rsidR="00B172BB" w:rsidRPr="004F3D2C" w:rsidRDefault="00B172BB" w:rsidP="001D2615">
      <w:pPr>
        <w:pStyle w:val="Heading3numbered"/>
      </w:pPr>
      <w:bookmarkStart w:id="306" w:name="_Toc113449027"/>
      <w:bookmarkStart w:id="307" w:name="_Toc124245431"/>
      <w:r w:rsidRPr="004F3D2C">
        <w:t>Approval requirements and processes</w:t>
      </w:r>
      <w:bookmarkEnd w:id="306"/>
      <w:bookmarkEnd w:id="307"/>
    </w:p>
    <w:p w14:paraId="247A1543" w14:textId="5A218B35" w:rsidR="00B172BB" w:rsidRPr="000B566F" w:rsidRDefault="00B172BB" w:rsidP="00834461">
      <w:pPr>
        <w:pStyle w:val="NormalIndent"/>
      </w:pPr>
      <w:r w:rsidRPr="000B566F">
        <w:t xml:space="preserve">The </w:t>
      </w:r>
      <w:r>
        <w:t>p</w:t>
      </w:r>
      <w:r w:rsidRPr="000B566F">
        <w:t xml:space="preserve">rocurement </w:t>
      </w:r>
      <w:r>
        <w:t>s</w:t>
      </w:r>
      <w:r w:rsidRPr="000B566F">
        <w:t xml:space="preserve">trategy document should </w:t>
      </w:r>
      <w:r w:rsidR="00A35D39">
        <w:t>contain</w:t>
      </w:r>
      <w:r w:rsidR="00A35D39" w:rsidRPr="000B566F">
        <w:t xml:space="preserve"> </w:t>
      </w:r>
      <w:r w:rsidRPr="000B566F">
        <w:t xml:space="preserve">evidence </w:t>
      </w:r>
      <w:r w:rsidR="00C329C0">
        <w:t xml:space="preserve">that </w:t>
      </w:r>
      <w:r w:rsidR="00C329C0" w:rsidRPr="000B566F">
        <w:t xml:space="preserve">the </w:t>
      </w:r>
      <w:r w:rsidR="00C329C0">
        <w:t>p</w:t>
      </w:r>
      <w:r w:rsidR="00C329C0" w:rsidRPr="000B566F">
        <w:t xml:space="preserve">roject </w:t>
      </w:r>
      <w:r w:rsidR="00C329C0">
        <w:t>s</w:t>
      </w:r>
      <w:r w:rsidR="00C329C0" w:rsidRPr="000B566F">
        <w:t xml:space="preserve">teering </w:t>
      </w:r>
      <w:r w:rsidR="00C329C0">
        <w:t>c</w:t>
      </w:r>
      <w:r w:rsidR="00C329C0" w:rsidRPr="000B566F">
        <w:t xml:space="preserve">ommittee and </w:t>
      </w:r>
      <w:r w:rsidR="00C329C0">
        <w:t>s</w:t>
      </w:r>
      <w:r w:rsidR="00C329C0" w:rsidRPr="000B566F">
        <w:t xml:space="preserve">enior </w:t>
      </w:r>
      <w:r w:rsidR="00C329C0">
        <w:t>r</w:t>
      </w:r>
      <w:r w:rsidR="00C329C0" w:rsidRPr="000B566F">
        <w:t xml:space="preserve">esponsible </w:t>
      </w:r>
      <w:r w:rsidR="00C329C0">
        <w:t>o</w:t>
      </w:r>
      <w:r w:rsidR="00C329C0" w:rsidRPr="000B566F">
        <w:t>wner</w:t>
      </w:r>
      <w:r w:rsidR="00C329C0" w:rsidRPr="000B566F" w:rsidDel="00C329C0">
        <w:t xml:space="preserve"> </w:t>
      </w:r>
      <w:r w:rsidRPr="000B566F">
        <w:t>participat</w:t>
      </w:r>
      <w:r w:rsidR="00C329C0">
        <w:t>ed</w:t>
      </w:r>
      <w:r w:rsidRPr="000B566F">
        <w:t xml:space="preserve"> in the evaluation process and endorse</w:t>
      </w:r>
      <w:r w:rsidR="00C329C0">
        <w:t>d</w:t>
      </w:r>
      <w:r w:rsidR="00AE3F0F">
        <w:t xml:space="preserve"> </w:t>
      </w:r>
      <w:r w:rsidRPr="000B566F">
        <w:t>the recommended procurement model</w:t>
      </w:r>
      <w:r w:rsidR="00710A0D" w:rsidRPr="000B566F">
        <w:t>, along with any conditions of that approval.</w:t>
      </w:r>
    </w:p>
    <w:p w14:paraId="7A8E8388" w14:textId="77777777" w:rsidR="00B172BB" w:rsidRPr="004F3D2C" w:rsidRDefault="00B172BB" w:rsidP="001D2615">
      <w:pPr>
        <w:pStyle w:val="Heading3numbered"/>
      </w:pPr>
      <w:bookmarkStart w:id="308" w:name="_Toc113449028"/>
      <w:bookmarkStart w:id="309" w:name="_Toc124245432"/>
      <w:r w:rsidRPr="004F3D2C">
        <w:t>Tools</w:t>
      </w:r>
      <w:r w:rsidR="00A6449E">
        <w:t xml:space="preserve"> and </w:t>
      </w:r>
      <w:r w:rsidRPr="004F3D2C">
        <w:t>other supports available</w:t>
      </w:r>
      <w:bookmarkEnd w:id="308"/>
      <w:bookmarkEnd w:id="309"/>
    </w:p>
    <w:p w14:paraId="458406C2" w14:textId="4608F5ED" w:rsidR="00B172BB" w:rsidRPr="00B172BB" w:rsidRDefault="00B172BB" w:rsidP="00834461">
      <w:pPr>
        <w:pStyle w:val="NormalIndent"/>
      </w:pPr>
      <w:r w:rsidRPr="000B566F">
        <w:t xml:space="preserve">DTF has developed a range of tools and templates to support effective development of a </w:t>
      </w:r>
      <w:r w:rsidR="00710A0D">
        <w:t>p</w:t>
      </w:r>
      <w:r w:rsidR="00710A0D" w:rsidRPr="00EF0204">
        <w:t>rocurement</w:t>
      </w:r>
      <w:r w:rsidR="00710A0D" w:rsidRPr="000B566F">
        <w:t xml:space="preserve"> </w:t>
      </w:r>
      <w:r w:rsidR="00710A0D">
        <w:t>st</w:t>
      </w:r>
      <w:r w:rsidR="00710A0D" w:rsidRPr="000B566F">
        <w:t xml:space="preserve">rategy. </w:t>
      </w:r>
      <w:r w:rsidR="00DE752E">
        <w:t xml:space="preserve">These are available </w:t>
      </w:r>
      <w:r w:rsidR="00AA67C9">
        <w:t xml:space="preserve">on </w:t>
      </w:r>
      <w:r w:rsidR="00F14C68">
        <w:t xml:space="preserve">the </w:t>
      </w:r>
      <w:r w:rsidR="00AA67C9">
        <w:t xml:space="preserve">DTF </w:t>
      </w:r>
      <w:hyperlink r:id="rId103" w:history="1">
        <w:r w:rsidR="00C306CB">
          <w:rPr>
            <w:rStyle w:val="Hyperlink"/>
          </w:rPr>
          <w:t>Procurement ILG</w:t>
        </w:r>
      </w:hyperlink>
      <w:r w:rsidR="00AA67C9">
        <w:t xml:space="preserve"> </w:t>
      </w:r>
      <w:r w:rsidR="001F481F">
        <w:t>w</w:t>
      </w:r>
      <w:r w:rsidR="00F7510E">
        <w:t xml:space="preserve">ebpage. </w:t>
      </w:r>
      <w:r w:rsidR="00710A0D">
        <w:t xml:space="preserve">It is not mandatory to use </w:t>
      </w:r>
      <w:r w:rsidRPr="000B566F">
        <w:t>these tools and templates</w:t>
      </w:r>
      <w:r w:rsidR="00F14C68">
        <w:t>.</w:t>
      </w:r>
      <w:r w:rsidR="00F14C68" w:rsidRPr="000B566F">
        <w:t xml:space="preserve"> </w:t>
      </w:r>
      <w:r w:rsidR="00F14C68">
        <w:t>H</w:t>
      </w:r>
      <w:r w:rsidR="00F14C68" w:rsidRPr="000B566F">
        <w:t>owever</w:t>
      </w:r>
      <w:r w:rsidRPr="000B566F">
        <w:t xml:space="preserve">, they provide a </w:t>
      </w:r>
      <w:r w:rsidR="00710A0D">
        <w:t>comprehensive</w:t>
      </w:r>
      <w:r w:rsidR="00710A0D" w:rsidRPr="000B566F">
        <w:t xml:space="preserve"> </w:t>
      </w:r>
      <w:r w:rsidRPr="000B566F">
        <w:t xml:space="preserve">and structured approach to developing a procurement strategy </w:t>
      </w:r>
      <w:r w:rsidR="00F14C68">
        <w:t xml:space="preserve">that is </w:t>
      </w:r>
      <w:r w:rsidRPr="000B566F">
        <w:t>consistent with th</w:t>
      </w:r>
      <w:r w:rsidR="00F14C68">
        <w:t>ese</w:t>
      </w:r>
      <w:r w:rsidRPr="000B566F">
        <w:t xml:space="preserve"> guide</w:t>
      </w:r>
      <w:r w:rsidR="00F14C68">
        <w:t>lines</w:t>
      </w:r>
      <w:r w:rsidRPr="000B566F">
        <w:t>.</w:t>
      </w:r>
    </w:p>
    <w:p w14:paraId="34E52FFE" w14:textId="5F15BA1A" w:rsidR="004E1D40" w:rsidRDefault="130002C0" w:rsidP="001D2615">
      <w:pPr>
        <w:pStyle w:val="Heading1numbered"/>
      </w:pPr>
      <w:bookmarkStart w:id="310" w:name="_Ref144375619"/>
      <w:bookmarkStart w:id="311" w:name="_Hlk138935648"/>
      <w:bookmarkStart w:id="312" w:name="_Toc161321762"/>
      <w:r w:rsidRPr="580BCC84">
        <w:t>Overview of procurement models</w:t>
      </w:r>
      <w:bookmarkEnd w:id="113"/>
      <w:bookmarkEnd w:id="114"/>
      <w:bookmarkEnd w:id="310"/>
      <w:bookmarkEnd w:id="312"/>
    </w:p>
    <w:p w14:paraId="44A37C8B" w14:textId="4CCA4172" w:rsidR="00B07D99" w:rsidRDefault="00B07D99" w:rsidP="00171CF8">
      <w:pPr>
        <w:pStyle w:val="Captionindent"/>
      </w:pPr>
      <w:bookmarkStart w:id="313" w:name="_Toc145621475"/>
      <w:bookmarkStart w:id="314" w:name="_Toc145621604"/>
      <w:bookmarkStart w:id="315" w:name="_Toc160457780"/>
      <w:r>
        <w:t xml:space="preserve">Figure </w:t>
      </w:r>
      <w:r>
        <w:fldChar w:fldCharType="begin"/>
      </w:r>
      <w:r>
        <w:instrText>SEQ Figure \* ARABIC</w:instrText>
      </w:r>
      <w:r>
        <w:fldChar w:fldCharType="separate"/>
      </w:r>
      <w:r w:rsidR="008A4B3E">
        <w:rPr>
          <w:noProof/>
        </w:rPr>
        <w:t>11</w:t>
      </w:r>
      <w:r>
        <w:fldChar w:fldCharType="end"/>
      </w:r>
      <w:r w:rsidR="005504CB">
        <w:t xml:space="preserve"> –</w:t>
      </w:r>
      <w:r w:rsidR="00AE3F0F">
        <w:t xml:space="preserve"> </w:t>
      </w:r>
      <w:bookmarkStart w:id="316" w:name="Chapter4"/>
      <w:r w:rsidRPr="00FF7B00">
        <w:t>Chapter 4</w:t>
      </w:r>
      <w:bookmarkEnd w:id="316"/>
      <w:r w:rsidRPr="00FF7B00">
        <w:t xml:space="preserve"> overview</w:t>
      </w:r>
      <w:bookmarkEnd w:id="313"/>
      <w:bookmarkEnd w:id="314"/>
      <w:bookmarkEnd w:id="315"/>
    </w:p>
    <w:p w14:paraId="3EA8DE39" w14:textId="3B309DFB" w:rsidR="00B07D99" w:rsidRPr="001613D6" w:rsidRDefault="007513F3" w:rsidP="00834461">
      <w:pPr>
        <w:pStyle w:val="NormalIndent"/>
      </w:pPr>
      <w:r w:rsidRPr="00567D80">
        <w:rPr>
          <w:noProof/>
        </w:rPr>
        <w:drawing>
          <wp:inline distT="0" distB="0" distL="0" distR="0" wp14:anchorId="3CA3D4C4" wp14:editId="1F0260A9">
            <wp:extent cx="5204011" cy="1253437"/>
            <wp:effectExtent l="0" t="0" r="0" b="4445"/>
            <wp:docPr id="21" name="Graphic 21" descr="Figure 11 provides an overview of the contents of the following chapt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1 provides an overview of the contents of the following chapter (4)​"/>
                    <pic:cNvPicPr/>
                  </pic:nvPicPr>
                  <pic:blipFill>
                    <a:blip r:embed="rId104" cstate="screen">
                      <a:extLst>
                        <a:ext uri="{28A0092B-C50C-407E-A947-70E740481C1C}">
                          <a14:useLocalDpi xmlns:a14="http://schemas.microsoft.com/office/drawing/2010/main"/>
                        </a:ext>
                        <a:ext uri="{96DAC541-7B7A-43D3-8B79-37D633B846F1}">
                          <asvg:svgBlip xmlns:asvg="http://schemas.microsoft.com/office/drawing/2016/SVG/main" r:embed="rId105"/>
                        </a:ext>
                      </a:extLst>
                    </a:blip>
                    <a:stretch>
                      <a:fillRect/>
                    </a:stretch>
                  </pic:blipFill>
                  <pic:spPr>
                    <a:xfrm>
                      <a:off x="0" y="0"/>
                      <a:ext cx="5226105" cy="1258758"/>
                    </a:xfrm>
                    <a:prstGeom prst="rect">
                      <a:avLst/>
                    </a:prstGeom>
                  </pic:spPr>
                </pic:pic>
              </a:graphicData>
            </a:graphic>
          </wp:inline>
        </w:drawing>
      </w:r>
    </w:p>
    <w:p w14:paraId="6F6207B2" w14:textId="58D02274" w:rsidR="00B07D99" w:rsidRDefault="00B07D99" w:rsidP="00834461">
      <w:pPr>
        <w:pStyle w:val="NormalIndent"/>
      </w:pPr>
      <w:r w:rsidRPr="006B21A7">
        <w:t xml:space="preserve">This </w:t>
      </w:r>
      <w:r w:rsidR="009729CB">
        <w:t>chapter</w:t>
      </w:r>
      <w:r w:rsidR="009729CB" w:rsidRPr="006B21A7">
        <w:t xml:space="preserve"> </w:t>
      </w:r>
      <w:r w:rsidRPr="006B21A7">
        <w:t xml:space="preserve">describes in detail the </w:t>
      </w:r>
      <w:r w:rsidR="00904612">
        <w:t xml:space="preserve">standard </w:t>
      </w:r>
      <w:r w:rsidRPr="006B21A7">
        <w:t>procurement models used for public construction to assist with procurement model selection</w:t>
      </w:r>
      <w:r>
        <w:t>. This</w:t>
      </w:r>
      <w:r w:rsidRPr="006B21A7">
        <w:t xml:space="preserve"> </w:t>
      </w:r>
      <w:r>
        <w:t>is particularly relevant to</w:t>
      </w:r>
      <w:r w:rsidRPr="00275CD7">
        <w:t xml:space="preserve"> </w:t>
      </w:r>
      <w:r w:rsidRPr="005B1D82">
        <w:t>Step</w:t>
      </w:r>
      <w:r w:rsidR="00E62885">
        <w:rPr>
          <w:rFonts w:ascii="Calibri" w:hAnsi="Calibri" w:cs="Calibri"/>
        </w:rPr>
        <w:t> </w:t>
      </w:r>
      <w:r w:rsidRPr="005B1D82">
        <w:t xml:space="preserve">3: </w:t>
      </w:r>
      <w:r w:rsidRPr="005B1D82">
        <w:rPr>
          <w:rFonts w:hint="eastAsia"/>
        </w:rPr>
        <w:t>Test</w:t>
      </w:r>
      <w:r w:rsidRPr="005B1D82">
        <w:t xml:space="preserve"> procurement model fit and shortlist</w:t>
      </w:r>
      <w:r>
        <w:t xml:space="preserve">, </w:t>
      </w:r>
      <w:r w:rsidR="00A35D39">
        <w:t>and the process for developing of</w:t>
      </w:r>
      <w:r>
        <w:t xml:space="preserve"> a procurement strategy described in </w:t>
      </w:r>
      <w:r w:rsidRPr="00122D4F">
        <w:t xml:space="preserve">Chapter </w:t>
      </w:r>
      <w:r w:rsidR="00223FE0">
        <w:fldChar w:fldCharType="begin" w:fldLock="1"/>
      </w:r>
      <w:r w:rsidR="00223FE0">
        <w:instrText xml:space="preserve"> REF _Ref144386571 \r \h </w:instrText>
      </w:r>
      <w:r w:rsidR="00223FE0">
        <w:fldChar w:fldCharType="separate"/>
      </w:r>
      <w:r w:rsidR="003D4A19">
        <w:t>3</w:t>
      </w:r>
      <w:r w:rsidR="00223FE0">
        <w:fldChar w:fldCharType="end"/>
      </w:r>
      <w:r w:rsidRPr="00122D4F">
        <w:rPr>
          <w:rFonts w:hint="eastAsia"/>
        </w:rPr>
        <w:t>.</w:t>
      </w:r>
    </w:p>
    <w:p w14:paraId="1ECE3373" w14:textId="77777777" w:rsidR="004E1D40" w:rsidRPr="003F046C" w:rsidRDefault="130002C0" w:rsidP="00834461">
      <w:pPr>
        <w:pStyle w:val="NormalIndent"/>
        <w:rPr>
          <w:rFonts w:eastAsia="MS Mincho" w:cs="Calibri"/>
        </w:rPr>
      </w:pPr>
      <w:r>
        <w:t>There are three categories of procurement:</w:t>
      </w:r>
    </w:p>
    <w:p w14:paraId="679878F3" w14:textId="77777777" w:rsidR="00B07D99" w:rsidRPr="00421D37" w:rsidRDefault="00B07D99" w:rsidP="001D2615">
      <w:pPr>
        <w:pStyle w:val="Bulletindent"/>
      </w:pPr>
      <w:r>
        <w:t>whole-of-life</w:t>
      </w:r>
    </w:p>
    <w:p w14:paraId="5F64E8A1" w14:textId="77777777" w:rsidR="00B07D99" w:rsidRDefault="00B07D99" w:rsidP="001D2615">
      <w:pPr>
        <w:pStyle w:val="Bulletindent"/>
      </w:pPr>
      <w:r>
        <w:t>lump sum</w:t>
      </w:r>
    </w:p>
    <w:p w14:paraId="3D3D46F9" w14:textId="77777777" w:rsidR="00B07D99" w:rsidRPr="00421D37" w:rsidRDefault="00B07D99" w:rsidP="001D2615">
      <w:pPr>
        <w:pStyle w:val="Bulletindent"/>
      </w:pPr>
      <w:r>
        <w:t>cost reimbursable.</w:t>
      </w:r>
    </w:p>
    <w:p w14:paraId="1E9CC36B" w14:textId="668DCB47" w:rsidR="004E1D40" w:rsidRPr="00421D37" w:rsidRDefault="006E3187" w:rsidP="00834461">
      <w:pPr>
        <w:pStyle w:val="NormalIndent"/>
      </w:pPr>
      <w:r>
        <w:t>T</w:t>
      </w:r>
      <w:r w:rsidR="00B07D99">
        <w:t>h</w:t>
      </w:r>
      <w:r w:rsidR="00F14C68">
        <w:t>ese</w:t>
      </w:r>
      <w:r w:rsidR="00B07D99">
        <w:t xml:space="preserve"> guide</w:t>
      </w:r>
      <w:r w:rsidR="00F14C68">
        <w:t>lines</w:t>
      </w:r>
      <w:r w:rsidR="00B07D99">
        <w:t xml:space="preserve"> highlight </w:t>
      </w:r>
      <w:r w:rsidR="004E1D40">
        <w:t>typical variants within each procurement model</w:t>
      </w:r>
      <w:r>
        <w:t>, where applicable</w:t>
      </w:r>
      <w:r w:rsidR="00B07D99">
        <w:t>.</w:t>
      </w:r>
      <w:r w:rsidR="004E1D40">
        <w:t xml:space="preserve"> A</w:t>
      </w:r>
      <w:r w:rsidR="004E1D40" w:rsidRPr="00421D37">
        <w:t xml:space="preserve">lternatives </w:t>
      </w:r>
      <w:r w:rsidR="004E1D40">
        <w:t xml:space="preserve">to </w:t>
      </w:r>
      <w:r w:rsidR="004E1D40" w:rsidRPr="00421D37">
        <w:t xml:space="preserve">the procurement models </w:t>
      </w:r>
      <w:r w:rsidR="004E1D40">
        <w:t xml:space="preserve">presented in this </w:t>
      </w:r>
      <w:r w:rsidR="009729CB">
        <w:t xml:space="preserve">chapter </w:t>
      </w:r>
      <w:r w:rsidR="004E1D40">
        <w:t>may be</w:t>
      </w:r>
      <w:r w:rsidR="004E1D40" w:rsidRPr="00421D37">
        <w:t xml:space="preserve"> considered </w:t>
      </w:r>
      <w:r w:rsidR="004E1D40">
        <w:t>on a case</w:t>
      </w:r>
      <w:r w:rsidR="00B07D99">
        <w:t>-</w:t>
      </w:r>
      <w:r w:rsidR="004E1D40">
        <w:t>by</w:t>
      </w:r>
      <w:r w:rsidR="00B07D99">
        <w:t>-</w:t>
      </w:r>
      <w:r w:rsidR="004E1D40">
        <w:t xml:space="preserve">case basis </w:t>
      </w:r>
      <w:r w:rsidR="004E1D40" w:rsidRPr="00421D37">
        <w:t>in consultation with DTF</w:t>
      </w:r>
      <w:bookmarkEnd w:id="311"/>
      <w:r w:rsidR="004E1D40" w:rsidRPr="00421D37">
        <w:t>.</w:t>
      </w:r>
    </w:p>
    <w:p w14:paraId="7F019D29" w14:textId="507D1B43" w:rsidR="004E1D40" w:rsidRDefault="004E1D40" w:rsidP="001D2615">
      <w:pPr>
        <w:pStyle w:val="Heading2numbered"/>
      </w:pPr>
      <w:bookmarkStart w:id="317" w:name="_Ref144388641"/>
      <w:bookmarkStart w:id="318" w:name="_Hlk132364323"/>
      <w:bookmarkStart w:id="319" w:name="_Toc161321763"/>
      <w:r>
        <w:t xml:space="preserve">Early </w:t>
      </w:r>
      <w:r w:rsidR="00D97EB8">
        <w:t>c</w:t>
      </w:r>
      <w:r>
        <w:t xml:space="preserve">ontractor </w:t>
      </w:r>
      <w:r w:rsidR="00D97EB8">
        <w:t>i</w:t>
      </w:r>
      <w:r>
        <w:t>nvolvement</w:t>
      </w:r>
      <w:bookmarkEnd w:id="317"/>
      <w:bookmarkEnd w:id="319"/>
    </w:p>
    <w:p w14:paraId="2CB75777" w14:textId="7CF5865A" w:rsidR="00BC015A" w:rsidRDefault="00BC015A" w:rsidP="0030271D">
      <w:pPr>
        <w:pStyle w:val="NormalIndent"/>
        <w:keepNext/>
      </w:pPr>
      <w:r>
        <w:t>While early contractor involvement (ECI) is often presented as a procurement model, additional contracting beyond the earlier engagement is necessary to move into the delivery or construction phase. The progression from ECI to construction and the associated form of procurement varies from project</w:t>
      </w:r>
      <w:r w:rsidR="005D2383">
        <w:t xml:space="preserve"> </w:t>
      </w:r>
      <w:r>
        <w:t>to</w:t>
      </w:r>
      <w:r w:rsidR="005D2383">
        <w:t xml:space="preserve"> </w:t>
      </w:r>
      <w:r>
        <w:t>project. On this basis</w:t>
      </w:r>
      <w:r w:rsidR="00F15E6C">
        <w:t>,</w:t>
      </w:r>
      <w:r>
        <w:t xml:space="preserve"> DTF does not present ECI as a form of procurement, but rather as early project activit</w:t>
      </w:r>
      <w:r w:rsidR="00F15E6C">
        <w:t>y that</w:t>
      </w:r>
      <w:r>
        <w:t xml:space="preserve"> can </w:t>
      </w:r>
      <w:r w:rsidRPr="00BC015A">
        <w:rPr>
          <w:b/>
          <w:bCs/>
        </w:rPr>
        <w:t>precede</w:t>
      </w:r>
      <w:r>
        <w:t xml:space="preserve"> any form of procurement model.</w:t>
      </w:r>
    </w:p>
    <w:p w14:paraId="10A32DAD" w14:textId="25B962DF" w:rsidR="00BC015A" w:rsidRDefault="00BC015A" w:rsidP="00834461">
      <w:pPr>
        <w:pStyle w:val="NormalIndent"/>
      </w:pPr>
      <w:r>
        <w:t>ECI typically involves early appointment of a contractor in an advisory capacity. This can assist the project team to determine packaging</w:t>
      </w:r>
      <w:r w:rsidR="00A35D39">
        <w:t xml:space="preserve"> and</w:t>
      </w:r>
      <w:r>
        <w:t xml:space="preserve"> to consider project buildability</w:t>
      </w:r>
      <w:r w:rsidR="00A35D39">
        <w:t>. It can help to</w:t>
      </w:r>
      <w:r>
        <w:t xml:space="preserve"> optimise design/preliminary design, scheduling and planning</w:t>
      </w:r>
      <w:r w:rsidR="00EF25CF">
        <w:t>. It can also</w:t>
      </w:r>
      <w:r>
        <w:t xml:space="preserve"> provide input regarding specialist construction issues.</w:t>
      </w:r>
    </w:p>
    <w:p w14:paraId="5F1BF739" w14:textId="0023855D" w:rsidR="00BC015A" w:rsidRDefault="00BC015A" w:rsidP="00834461">
      <w:pPr>
        <w:pStyle w:val="NormalIndent"/>
      </w:pPr>
      <w:r>
        <w:t>ECI is useful for large, complex or high-risk projects to help the project team gain an early and better understanding of the project requirements</w:t>
      </w:r>
      <w:r w:rsidR="00A35D39">
        <w:t>. This can facilitate</w:t>
      </w:r>
      <w:r>
        <w:t xml:space="preserve"> robust risk management, identify scope for innovation and investigate packaging strategies. It can also be used to identify and potentially execute early works</w:t>
      </w:r>
      <w:r w:rsidR="00BB5472">
        <w:t>,</w:t>
      </w:r>
      <w:r>
        <w:t xml:space="preserve"> which may further derisk a project or </w:t>
      </w:r>
      <w:r w:rsidR="00DE6EC7">
        <w:t xml:space="preserve">save </w:t>
      </w:r>
      <w:r>
        <w:t>time.</w:t>
      </w:r>
    </w:p>
    <w:p w14:paraId="2843707B" w14:textId="78481FBB" w:rsidR="005F5B70" w:rsidRDefault="00BC015A" w:rsidP="00171CF8">
      <w:pPr>
        <w:pStyle w:val="NormalIndent"/>
      </w:pPr>
      <w:r>
        <w:t>ECI agreements</w:t>
      </w:r>
      <w:r w:rsidR="00A35D39">
        <w:t xml:space="preserve"> also create challenges</w:t>
      </w:r>
      <w:r>
        <w:t xml:space="preserve">. These include </w:t>
      </w:r>
      <w:r w:rsidR="00A35D39">
        <w:t xml:space="preserve">the </w:t>
      </w:r>
      <w:r>
        <w:t>transfer or carry through of liability from the initial engagement to the construction contract. ECI can also create an incumbency advantage should the appointed contractor be part of the tender for the main construction contract.</w:t>
      </w:r>
    </w:p>
    <w:p w14:paraId="597B37BE" w14:textId="77777777" w:rsidR="004E1D40" w:rsidRPr="00421D37" w:rsidRDefault="004E1D40" w:rsidP="001D2615">
      <w:pPr>
        <w:pStyle w:val="Heading2numbered"/>
        <w:rPr>
          <w:rFonts w:eastAsia="Times New Roman"/>
        </w:rPr>
      </w:pPr>
      <w:bookmarkStart w:id="320" w:name="_Toc161321764"/>
      <w:bookmarkEnd w:id="318"/>
      <w:r w:rsidRPr="00421D37">
        <w:rPr>
          <w:rFonts w:eastAsia="Times New Roman"/>
        </w:rPr>
        <w:t>Lump sum procurement models</w:t>
      </w:r>
      <w:bookmarkEnd w:id="320"/>
    </w:p>
    <w:p w14:paraId="37AAAAE0" w14:textId="77777777" w:rsidR="004E1D40" w:rsidRPr="00421D37" w:rsidRDefault="004E1D40" w:rsidP="00834461">
      <w:pPr>
        <w:pStyle w:val="NormalIndent"/>
        <w:rPr>
          <w:rFonts w:eastAsia="MS Mincho"/>
        </w:rPr>
      </w:pPr>
      <w:r>
        <w:rPr>
          <w:rFonts w:eastAsia="MS Mincho"/>
        </w:rPr>
        <w:t>L</w:t>
      </w:r>
      <w:r w:rsidRPr="00421D37">
        <w:rPr>
          <w:rFonts w:eastAsia="MS Mincho"/>
        </w:rPr>
        <w:t>ump sum procurement models</w:t>
      </w:r>
      <w:r>
        <w:rPr>
          <w:rFonts w:eastAsia="MS Mincho"/>
        </w:rPr>
        <w:t xml:space="preserve"> include</w:t>
      </w:r>
      <w:r w:rsidRPr="00421D37">
        <w:rPr>
          <w:rFonts w:eastAsia="MS Mincho"/>
        </w:rPr>
        <w:t>:</w:t>
      </w:r>
    </w:p>
    <w:p w14:paraId="296A1C6F" w14:textId="77777777" w:rsidR="005D14D2" w:rsidRPr="00B6153F" w:rsidRDefault="005D14D2" w:rsidP="001D2615">
      <w:pPr>
        <w:pStyle w:val="Bulletindent"/>
      </w:pPr>
      <w:r>
        <w:t>construct only</w:t>
      </w:r>
    </w:p>
    <w:p w14:paraId="66D1859F" w14:textId="77777777" w:rsidR="005D14D2" w:rsidRDefault="005D14D2" w:rsidP="001D2615">
      <w:pPr>
        <w:pStyle w:val="Bulletindent"/>
      </w:pPr>
      <w:r>
        <w:t>d</w:t>
      </w:r>
      <w:r w:rsidRPr="00B6153F">
        <w:t>esign</w:t>
      </w:r>
      <w:r>
        <w:t xml:space="preserve"> and c</w:t>
      </w:r>
      <w:r w:rsidRPr="00B6153F">
        <w:t>onstruct</w:t>
      </w:r>
    </w:p>
    <w:p w14:paraId="0F00008D" w14:textId="77777777" w:rsidR="005D14D2" w:rsidRDefault="005D14D2" w:rsidP="001D2615">
      <w:pPr>
        <w:pStyle w:val="Bulletindent"/>
      </w:pPr>
      <w:r>
        <w:t>enhanced design and construct.</w:t>
      </w:r>
    </w:p>
    <w:p w14:paraId="0E21E842" w14:textId="77777777" w:rsidR="004E1D40" w:rsidRPr="00421D37" w:rsidRDefault="004E1D40" w:rsidP="00834461">
      <w:pPr>
        <w:pStyle w:val="NormalIndent"/>
      </w:pPr>
      <w:r w:rsidRPr="00421D37">
        <w:t>Lump sum procurement models typically feature:</w:t>
      </w:r>
    </w:p>
    <w:p w14:paraId="45D7E6F2" w14:textId="3F854F17" w:rsidR="004E1D40" w:rsidRPr="00B46F97" w:rsidRDefault="461EAFCC" w:rsidP="001D2615">
      <w:pPr>
        <w:pStyle w:val="Bulletindent"/>
      </w:pPr>
      <w:r>
        <w:t xml:space="preserve">a </w:t>
      </w:r>
      <w:r w:rsidR="00365338">
        <w:t>fixed-price</w:t>
      </w:r>
      <w:r>
        <w:t xml:space="preserve"> contract with a schedule of unit rates for pricing variations</w:t>
      </w:r>
    </w:p>
    <w:p w14:paraId="06C3A9E2" w14:textId="77777777" w:rsidR="005D14D2" w:rsidRPr="00B46F97" w:rsidRDefault="005D14D2" w:rsidP="001D2615">
      <w:pPr>
        <w:pStyle w:val="Bulletindent"/>
      </w:pPr>
      <w:r>
        <w:t>regular payments to the contractor for work completed up to the lump sum (adjusted for agreed variations)</w:t>
      </w:r>
    </w:p>
    <w:p w14:paraId="1B590005" w14:textId="77777777" w:rsidR="004E1D40" w:rsidRPr="00B46F97" w:rsidRDefault="005D14D2" w:rsidP="001D2615">
      <w:pPr>
        <w:pStyle w:val="Bulletindent"/>
      </w:pPr>
      <w:r>
        <w:t xml:space="preserve">an </w:t>
      </w:r>
      <w:r w:rsidR="461EAFCC">
        <w:t>agreed date for practical completion and commencement of liquidated damages</w:t>
      </w:r>
    </w:p>
    <w:p w14:paraId="40628D25" w14:textId="77777777" w:rsidR="004E1D40" w:rsidRPr="00B46F97" w:rsidRDefault="461EAFCC" w:rsidP="001D2615">
      <w:pPr>
        <w:pStyle w:val="Bulletindent"/>
      </w:pPr>
      <w:r>
        <w:t>clear delineation of contractual responsibilities and allocation of risks</w:t>
      </w:r>
    </w:p>
    <w:p w14:paraId="1FCD894E" w14:textId="7A81057F" w:rsidR="005D14D2" w:rsidRPr="005D14D2" w:rsidRDefault="005D14D2" w:rsidP="001D2615">
      <w:pPr>
        <w:pStyle w:val="Bulletindent"/>
      </w:pPr>
      <w:r w:rsidRPr="005D14D2">
        <w:t>a competitive tender process to select a suitable contractor based on non-price criteria</w:t>
      </w:r>
      <w:r w:rsidR="00673F00">
        <w:t>,</w:t>
      </w:r>
      <w:r w:rsidRPr="005D14D2">
        <w:t xml:space="preserve"> and a fixed price to deliver the full</w:t>
      </w:r>
      <w:r w:rsidR="00673F00">
        <w:t xml:space="preserve"> scope (</w:t>
      </w:r>
      <w:r w:rsidRPr="005D14D2">
        <w:t>or majority of scope</w:t>
      </w:r>
      <w:r w:rsidR="00673F00">
        <w:t>)</w:t>
      </w:r>
    </w:p>
    <w:p w14:paraId="2B19260A" w14:textId="68BC501C" w:rsidR="005D14D2" w:rsidRPr="005D14D2" w:rsidRDefault="005D14D2" w:rsidP="001D2615">
      <w:pPr>
        <w:pStyle w:val="Bulletindent"/>
      </w:pPr>
      <w:r w:rsidRPr="005D14D2">
        <w:t xml:space="preserve">a </w:t>
      </w:r>
      <w:r>
        <w:t>principal</w:t>
      </w:r>
      <w:r w:rsidRPr="005D14D2">
        <w:t xml:space="preserve"> representative appointed by the agency </w:t>
      </w:r>
      <w:r w:rsidR="001C0EDA">
        <w:t xml:space="preserve">to </w:t>
      </w:r>
      <w:r w:rsidRPr="005D14D2">
        <w:t>perform contract certification, including progress and final certificates</w:t>
      </w:r>
    </w:p>
    <w:p w14:paraId="7ED52A04" w14:textId="77777777" w:rsidR="005D14D2" w:rsidRPr="005D14D2" w:rsidRDefault="005D14D2" w:rsidP="001D2615">
      <w:pPr>
        <w:pStyle w:val="Bulletindent"/>
      </w:pPr>
      <w:r w:rsidRPr="005D14D2">
        <w:t>contract administration arrangements that are clear and well understood.</w:t>
      </w:r>
    </w:p>
    <w:p w14:paraId="52B9DA3B" w14:textId="7573CDB9" w:rsidR="005D14D2" w:rsidRPr="00B46F97" w:rsidRDefault="005D14D2" w:rsidP="00834461">
      <w:pPr>
        <w:pStyle w:val="NormalIndent"/>
      </w:pPr>
      <w:r w:rsidRPr="005D14D2">
        <w:t>Lump sum contracting recognises</w:t>
      </w:r>
      <w:r w:rsidR="00B1231C">
        <w:t xml:space="preserve"> that</w:t>
      </w:r>
      <w:r w:rsidRPr="005D14D2">
        <w:t xml:space="preserve"> risks are most efficiently addressed when allocated to the party best able to manage them. Lump sum</w:t>
      </w:r>
      <w:r>
        <w:t xml:space="preserve"> models</w:t>
      </w:r>
      <w:r w:rsidRPr="00B46F97">
        <w:t xml:space="preserve"> can also incorporate targeted flexibility to address a limited number of complex risks </w:t>
      </w:r>
      <w:r w:rsidR="008C2F09">
        <w:t>that</w:t>
      </w:r>
      <w:r w:rsidR="008C2F09" w:rsidRPr="00B46F97">
        <w:t xml:space="preserve"> </w:t>
      </w:r>
      <w:r w:rsidRPr="00B46F97">
        <w:t>cannot effectively be priced or programmed prior to contract award</w:t>
      </w:r>
      <w:r>
        <w:t>,</w:t>
      </w:r>
      <w:r w:rsidRPr="00B46F97">
        <w:t xml:space="preserve"> </w:t>
      </w:r>
      <w:r w:rsidR="00141EEF">
        <w:t>for example,</w:t>
      </w:r>
      <w:r w:rsidRPr="00B46F97">
        <w:t xml:space="preserve"> contamination, geotechnical data</w:t>
      </w:r>
      <w:r>
        <w:t xml:space="preserve"> or</w:t>
      </w:r>
      <w:r w:rsidRPr="00B46F97">
        <w:t xml:space="preserve"> utilities risk.</w:t>
      </w:r>
    </w:p>
    <w:p w14:paraId="3EF5F029" w14:textId="1B5A42E7" w:rsidR="005D14D2" w:rsidRPr="00421D37" w:rsidRDefault="005D14D2" w:rsidP="00171CF8">
      <w:pPr>
        <w:pStyle w:val="NormalIndent"/>
        <w:keepNext/>
      </w:pPr>
      <w:r w:rsidRPr="00421D37">
        <w:t>Lump sum procurement models are well suited to projects where</w:t>
      </w:r>
      <w:r>
        <w:t xml:space="preserve"> </w:t>
      </w:r>
      <w:r w:rsidRPr="00B46F97">
        <w:rPr>
          <w:rFonts w:eastAsia="MS Mincho"/>
        </w:rPr>
        <w:t xml:space="preserve">the </w:t>
      </w:r>
      <w:r w:rsidRPr="00183725">
        <w:t>agency, in consultation with stakeholders, can clearly articulate the project scope</w:t>
      </w:r>
      <w:r>
        <w:t>. In most cases, this means</w:t>
      </w:r>
      <w:r w:rsidRPr="00421D37" w:rsidDel="00626D60">
        <w:t>:</w:t>
      </w:r>
    </w:p>
    <w:p w14:paraId="7C0B2FDB" w14:textId="77777777" w:rsidR="005D14D2" w:rsidRPr="00183725" w:rsidRDefault="005D14D2" w:rsidP="001D2615">
      <w:pPr>
        <w:pStyle w:val="Bulletindent"/>
        <w:keepNext/>
      </w:pPr>
      <w:r>
        <w:rPr>
          <w:rFonts w:eastAsia="MS Mincho"/>
        </w:rPr>
        <w:t xml:space="preserve">there will be very few </w:t>
      </w:r>
      <w:r w:rsidRPr="00183725">
        <w:t>scope or design changes during construction</w:t>
      </w:r>
    </w:p>
    <w:p w14:paraId="5437D207" w14:textId="77777777" w:rsidR="005D14D2" w:rsidRPr="00183725" w:rsidRDefault="005D14D2" w:rsidP="001D2615">
      <w:pPr>
        <w:pStyle w:val="Bulletindent"/>
        <w:keepNext/>
      </w:pPr>
      <w:r>
        <w:t>the risks are well known</w:t>
      </w:r>
    </w:p>
    <w:p w14:paraId="073DB859" w14:textId="2C13E66D" w:rsidR="00B8773A" w:rsidRDefault="005D14D2" w:rsidP="001D2615">
      <w:pPr>
        <w:pStyle w:val="Bulletindent"/>
        <w:keepLines w:val="0"/>
        <w:spacing w:before="0" w:after="200" w:line="276" w:lineRule="auto"/>
        <w:rPr>
          <w:rFonts w:eastAsia="MS Mincho"/>
        </w:rPr>
      </w:pPr>
      <w:r>
        <w:t>the project is relatively</w:t>
      </w:r>
      <w:r w:rsidRPr="30306C04">
        <w:rPr>
          <w:rFonts w:eastAsia="MS Mincho"/>
        </w:rPr>
        <w:t xml:space="preserve"> straightforward, without complex interfaces or a significant number of unknown risks</w:t>
      </w:r>
      <w:r>
        <w:rPr>
          <w:rFonts w:eastAsia="MS Mincho"/>
        </w:rPr>
        <w:t>.</w:t>
      </w:r>
    </w:p>
    <w:p w14:paraId="42496B5C" w14:textId="7EE3804D" w:rsidR="004E1D40" w:rsidRPr="00994236" w:rsidRDefault="004E1D40" w:rsidP="00262C18">
      <w:pPr>
        <w:pStyle w:val="Heading3numbered"/>
      </w:pPr>
      <w:bookmarkStart w:id="321" w:name="_Toc124245438"/>
      <w:r w:rsidRPr="00994236">
        <w:t xml:space="preserve">Construct </w:t>
      </w:r>
      <w:bookmarkEnd w:id="321"/>
      <w:r w:rsidR="00D97EB8">
        <w:t>o</w:t>
      </w:r>
      <w:r w:rsidR="00BA0975" w:rsidRPr="00994236">
        <w:t>nly</w:t>
      </w:r>
    </w:p>
    <w:p w14:paraId="15A89213" w14:textId="77777777" w:rsidR="004E1D40" w:rsidRPr="004E1D40" w:rsidRDefault="004E1D40" w:rsidP="001D2615">
      <w:pPr>
        <w:pStyle w:val="Heading4numbered"/>
      </w:pPr>
      <w:r w:rsidRPr="004E1D40">
        <w:t>Key features</w:t>
      </w:r>
    </w:p>
    <w:p w14:paraId="4661E46A" w14:textId="70C54DA4" w:rsidR="004747DD" w:rsidRPr="00421D37" w:rsidRDefault="004747DD" w:rsidP="00834461">
      <w:pPr>
        <w:pStyle w:val="NormalIndent"/>
      </w:pPr>
      <w:r>
        <w:t>The c</w:t>
      </w:r>
      <w:r w:rsidRPr="00421D37">
        <w:t xml:space="preserve">onstruct </w:t>
      </w:r>
      <w:r>
        <w:t>o</w:t>
      </w:r>
      <w:r w:rsidRPr="00421D37">
        <w:t xml:space="preserve">nly </w:t>
      </w:r>
      <w:r>
        <w:t xml:space="preserve">procurement model is based on sequential </w:t>
      </w:r>
      <w:r w:rsidRPr="00421D37">
        <w:t>design and construction</w:t>
      </w:r>
      <w:r>
        <w:t>. Design is the responsibility of the agency</w:t>
      </w:r>
      <w:r w:rsidR="0091335C">
        <w:t>,</w:t>
      </w:r>
      <w:r>
        <w:t xml:space="preserve"> and subsequent construction is the responsibility of the contractor.</w:t>
      </w:r>
    </w:p>
    <w:p w14:paraId="3484A2A1" w14:textId="5C406F7B" w:rsidR="004747DD" w:rsidRPr="00421D37" w:rsidRDefault="004747DD" w:rsidP="00834461">
      <w:pPr>
        <w:pStyle w:val="NormalIndent"/>
      </w:pPr>
      <w:r w:rsidRPr="00421D37">
        <w:t xml:space="preserve">The agency prepares the design and tender documentation either in-house or </w:t>
      </w:r>
      <w:r>
        <w:t>by sourcing a consultant</w:t>
      </w:r>
      <w:r w:rsidRPr="00421D37">
        <w:t>. The project is then competitively tendered</w:t>
      </w:r>
      <w:r w:rsidR="0036583C">
        <w:t>,</w:t>
      </w:r>
      <w:r w:rsidRPr="00421D37">
        <w:t xml:space="preserve"> and the contract </w:t>
      </w:r>
      <w:r w:rsidR="0036583C">
        <w:t xml:space="preserve">is </w:t>
      </w:r>
      <w:r w:rsidRPr="00421D37">
        <w:t xml:space="preserve">awarded on a </w:t>
      </w:r>
      <w:r>
        <w:t xml:space="preserve">lump sum </w:t>
      </w:r>
      <w:r w:rsidRPr="00421D37">
        <w:t>basis with an agreed date for practical completion.</w:t>
      </w:r>
    </w:p>
    <w:p w14:paraId="5F5FD872" w14:textId="2F01B8E5" w:rsidR="004747DD" w:rsidRPr="00421D37" w:rsidRDefault="004747DD" w:rsidP="00834461">
      <w:pPr>
        <w:pStyle w:val="NormalIndent"/>
      </w:pPr>
      <w:r>
        <w:t>The agency:</w:t>
      </w:r>
    </w:p>
    <w:p w14:paraId="7AFF8512" w14:textId="77777777" w:rsidR="004747DD" w:rsidRDefault="004747DD" w:rsidP="001D2615">
      <w:pPr>
        <w:pStyle w:val="Bulletindent"/>
      </w:pPr>
      <w:r>
        <w:t>pays a fixed cost for project delivery, usually through regular progress payments to the contractor for work completed up to the lump sum (adjusted for agreed variations)</w:t>
      </w:r>
    </w:p>
    <w:p w14:paraId="37A106D0" w14:textId="2B248863" w:rsidR="004747DD" w:rsidRDefault="004747DD" w:rsidP="001D2615">
      <w:pPr>
        <w:pStyle w:val="Bulletindent"/>
      </w:pPr>
      <w:r>
        <w:t>manages stakeholder input and interfaces as part of the design phase and takes responsibility for design risk</w:t>
      </w:r>
      <w:r w:rsidR="00A35D39">
        <w:t>.</w:t>
      </w:r>
    </w:p>
    <w:p w14:paraId="378F3C65" w14:textId="77777777" w:rsidR="004747DD" w:rsidRDefault="004747DD" w:rsidP="00171CF8">
      <w:pPr>
        <w:pStyle w:val="NormalIndent"/>
      </w:pPr>
      <w:r>
        <w:t>The contractor:</w:t>
      </w:r>
    </w:p>
    <w:p w14:paraId="0D0CB893" w14:textId="77777777" w:rsidR="004747DD" w:rsidRDefault="004747DD" w:rsidP="001D2615">
      <w:pPr>
        <w:pStyle w:val="Bulletindent"/>
      </w:pPr>
      <w:r>
        <w:t>takes responsibility for construction, schedule and cost risks with penalties to incentivise performance</w:t>
      </w:r>
    </w:p>
    <w:p w14:paraId="3C1196A0" w14:textId="357C7E09" w:rsidR="004747DD" w:rsidRPr="00C83B51" w:rsidRDefault="004747DD" w:rsidP="001D2615">
      <w:pPr>
        <w:pStyle w:val="Bulletindent"/>
      </w:pPr>
      <w:r>
        <w:t>takes 100</w:t>
      </w:r>
      <w:r w:rsidR="00A35D39">
        <w:rPr>
          <w:rFonts w:ascii="Calibri" w:hAnsi="Calibri"/>
        </w:rPr>
        <w:t> </w:t>
      </w:r>
      <w:r w:rsidR="00A35D39">
        <w:t>per cent</w:t>
      </w:r>
      <w:r w:rsidDel="00626D60">
        <w:t xml:space="preserve"> </w:t>
      </w:r>
      <w:r>
        <w:t>of cost overrun risk</w:t>
      </w:r>
      <w:r w:rsidR="00A35D39">
        <w:t>.</w:t>
      </w:r>
    </w:p>
    <w:p w14:paraId="02D09EC7" w14:textId="1A85C69B" w:rsidR="004E1D40" w:rsidRDefault="004E1D40" w:rsidP="00171CF8">
      <w:pPr>
        <w:pStyle w:val="Captionindent"/>
      </w:pPr>
      <w:bookmarkStart w:id="322" w:name="_Toc145621476"/>
      <w:bookmarkStart w:id="323" w:name="_Toc145621605"/>
      <w:bookmarkStart w:id="324" w:name="_Toc160457781"/>
      <w:r w:rsidRPr="00994236">
        <w:t xml:space="preserve">Figure </w:t>
      </w:r>
      <w:r w:rsidRPr="00994236">
        <w:fldChar w:fldCharType="begin"/>
      </w:r>
      <w:r w:rsidRPr="00994236">
        <w:instrText>SEQ Figure \* ARABIC</w:instrText>
      </w:r>
      <w:r w:rsidRPr="00994236">
        <w:fldChar w:fldCharType="separate"/>
      </w:r>
      <w:r w:rsidR="008A4B3E">
        <w:rPr>
          <w:noProof/>
        </w:rPr>
        <w:t>12</w:t>
      </w:r>
      <w:r w:rsidRPr="00994236">
        <w:fldChar w:fldCharType="end"/>
      </w:r>
      <w:r w:rsidR="005504CB">
        <w:t xml:space="preserve"> – </w:t>
      </w:r>
      <w:r w:rsidRPr="00994236">
        <w:t xml:space="preserve">Construct </w:t>
      </w:r>
      <w:r w:rsidR="003637DC">
        <w:t>o</w:t>
      </w:r>
      <w:r w:rsidRPr="00994236">
        <w:t>nly structure</w:t>
      </w:r>
      <w:bookmarkEnd w:id="322"/>
      <w:bookmarkEnd w:id="323"/>
      <w:bookmarkEnd w:id="324"/>
    </w:p>
    <w:p w14:paraId="1D0E966C" w14:textId="3D5A9AFD" w:rsidR="00B2316B" w:rsidRPr="00E87438" w:rsidRDefault="00B2316B" w:rsidP="00171CF8">
      <w:pPr>
        <w:pStyle w:val="NormalIndent"/>
      </w:pPr>
      <w:r w:rsidRPr="00B2316B">
        <w:rPr>
          <w:noProof/>
        </w:rPr>
        <w:drawing>
          <wp:inline distT="0" distB="0" distL="0" distR="0" wp14:anchorId="6A657E65" wp14:editId="01E8B4F0">
            <wp:extent cx="5187197" cy="2884394"/>
            <wp:effectExtent l="0" t="0" r="0" b="0"/>
            <wp:docPr id="36" name="Graphic 36" descr="The figure relates to section 4.2.1 key features of construct only procurement. It is a diagram showing the contractual structure of parties involved in construct only procurement over the project timeline from briefing, design and documentation; tender for contractor; and construction, commissioning and hand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figure relates to section 4.2.1 key features of construct only procurement. It is a diagram showing the contractual structure of parties involved in construct only procurement over the project timeline from briefing, design and documentation; tender for contractor; and construction, commissioning and handover. "/>
                    <pic:cNvPicPr/>
                  </pic:nvPicPr>
                  <pic:blipFill>
                    <a:blip r:embed="rId106" cstate="screen">
                      <a:extLst>
                        <a:ext uri="{28A0092B-C50C-407E-A947-70E740481C1C}">
                          <a14:useLocalDpi xmlns:a14="http://schemas.microsoft.com/office/drawing/2010/main"/>
                        </a:ext>
                        <a:ext uri="{96DAC541-7B7A-43D3-8B79-37D633B846F1}">
                          <asvg:svgBlip xmlns:asvg="http://schemas.microsoft.com/office/drawing/2016/SVG/main" r:embed="rId107"/>
                        </a:ext>
                      </a:extLst>
                    </a:blip>
                    <a:stretch>
                      <a:fillRect/>
                    </a:stretch>
                  </pic:blipFill>
                  <pic:spPr>
                    <a:xfrm>
                      <a:off x="0" y="0"/>
                      <a:ext cx="5200721" cy="2891914"/>
                    </a:xfrm>
                    <a:prstGeom prst="rect">
                      <a:avLst/>
                    </a:prstGeom>
                  </pic:spPr>
                </pic:pic>
              </a:graphicData>
            </a:graphic>
          </wp:inline>
        </w:drawing>
      </w:r>
    </w:p>
    <w:p w14:paraId="635A126F" w14:textId="77777777" w:rsidR="004E1D40" w:rsidRPr="00C83B51" w:rsidRDefault="004E1D40" w:rsidP="001D2615">
      <w:pPr>
        <w:pStyle w:val="Heading4numbered"/>
      </w:pPr>
      <w:r w:rsidRPr="00421D37">
        <w:t>Model variants</w:t>
      </w:r>
    </w:p>
    <w:p w14:paraId="11820664" w14:textId="5B155EBC" w:rsidR="004E1D40" w:rsidRPr="00421D37" w:rsidRDefault="00451A84" w:rsidP="00834461">
      <w:pPr>
        <w:pStyle w:val="NormalIndent"/>
      </w:pPr>
      <w:r>
        <w:t>There are noted</w:t>
      </w:r>
      <w:r w:rsidRPr="00300B52">
        <w:t xml:space="preserve"> </w:t>
      </w:r>
      <w:r w:rsidR="00300B52" w:rsidRPr="00300B52">
        <w:t xml:space="preserve">model </w:t>
      </w:r>
      <w:r w:rsidR="004E1D40" w:rsidRPr="00421D37">
        <w:t xml:space="preserve">variants of the </w:t>
      </w:r>
      <w:r w:rsidR="00300B52" w:rsidRPr="00300B52">
        <w:t>construct only</w:t>
      </w:r>
      <w:r w:rsidR="004E1D40" w:rsidRPr="00421D37">
        <w:t xml:space="preserve"> procurement model</w:t>
      </w:r>
      <w:r>
        <w:t>.</w:t>
      </w:r>
    </w:p>
    <w:p w14:paraId="43360327" w14:textId="065F87EF" w:rsidR="00451A84" w:rsidRPr="001859D1" w:rsidRDefault="00451A84" w:rsidP="00171CF8">
      <w:pPr>
        <w:pStyle w:val="Heading4"/>
      </w:pPr>
      <w:r w:rsidRPr="001859D1">
        <w:t xml:space="preserve">Model variant 1: </w:t>
      </w:r>
      <w:r w:rsidR="008E068E" w:rsidRPr="001859D1">
        <w:t xml:space="preserve">Design, novate </w:t>
      </w:r>
      <w:r w:rsidR="001063A9" w:rsidRPr="001859D1">
        <w:t>or finalisation and construct</w:t>
      </w:r>
    </w:p>
    <w:p w14:paraId="6D8BAE6A" w14:textId="5D9B8D0B" w:rsidR="00E35000" w:rsidRPr="00E35000" w:rsidRDefault="00712D29" w:rsidP="001D2615">
      <w:pPr>
        <w:pStyle w:val="Bulletindent"/>
      </w:pPr>
      <w:r>
        <w:t>T</w:t>
      </w:r>
      <w:r w:rsidR="008E068E">
        <w:t>ender occurs before documentation is fully completed (typically at 90</w:t>
      </w:r>
      <w:r w:rsidR="00451A84">
        <w:rPr>
          <w:rFonts w:ascii="Calibri" w:hAnsi="Calibri"/>
        </w:rPr>
        <w:t> </w:t>
      </w:r>
      <w:r w:rsidR="00451A84">
        <w:t>per cent</w:t>
      </w:r>
      <w:r w:rsidR="008E068E">
        <w:t xml:space="preserve">). The successful contractor assumes responsibility for completing contract documentation, </w:t>
      </w:r>
      <w:r w:rsidR="00451A84">
        <w:t xml:space="preserve">through </w:t>
      </w:r>
      <w:r w:rsidR="15023A90">
        <w:t>either</w:t>
      </w:r>
      <w:r w:rsidR="008E068E">
        <w:t xml:space="preserve"> novation of the design team</w:t>
      </w:r>
      <w:r w:rsidR="001063A9">
        <w:t xml:space="preserve"> </w:t>
      </w:r>
      <w:r w:rsidR="00423CCD">
        <w:t xml:space="preserve">or </w:t>
      </w:r>
      <w:r w:rsidR="001063A9">
        <w:t>hiring their own design consultants</w:t>
      </w:r>
      <w:r w:rsidR="008E068E">
        <w:t>. This shifts some of the design risk to the contractor and potentially provides for final checks on buildability prior to construction.</w:t>
      </w:r>
    </w:p>
    <w:p w14:paraId="00FBB729" w14:textId="2616C6C9" w:rsidR="00451A84" w:rsidRPr="001859D1" w:rsidRDefault="00451A84" w:rsidP="00171CF8">
      <w:pPr>
        <w:pStyle w:val="Heading4"/>
      </w:pPr>
      <w:r w:rsidRPr="001859D1">
        <w:t xml:space="preserve">Model variant 2: </w:t>
      </w:r>
      <w:r w:rsidR="008E068E" w:rsidRPr="001859D1">
        <w:t>Schedule of rates</w:t>
      </w:r>
    </w:p>
    <w:p w14:paraId="60003AE2" w14:textId="34B5B583" w:rsidR="008E068E" w:rsidRPr="00421D37" w:rsidRDefault="00880F98" w:rsidP="001D2615">
      <w:pPr>
        <w:pStyle w:val="Bulletindent"/>
      </w:pPr>
      <w:r>
        <w:t>A</w:t>
      </w:r>
      <w:r w:rsidR="008E068E">
        <w:t xml:space="preserve"> schedule of rates is tendered based on the completed design. </w:t>
      </w:r>
      <w:r w:rsidR="00451A84">
        <w:t xml:space="preserve">This is often </w:t>
      </w:r>
      <w:r w:rsidR="008E068E">
        <w:t xml:space="preserve">applied where there is uncertainty in quantities. An alternative is </w:t>
      </w:r>
      <w:r w:rsidR="00CB4506">
        <w:t xml:space="preserve">a </w:t>
      </w:r>
      <w:r w:rsidR="008E068E">
        <w:t xml:space="preserve">tendered design </w:t>
      </w:r>
      <w:r w:rsidR="00CB4506">
        <w:t xml:space="preserve">for an agreed lump sum, </w:t>
      </w:r>
      <w:r w:rsidR="008E068E">
        <w:t>and an agreed schedule of rates for variations.</w:t>
      </w:r>
    </w:p>
    <w:p w14:paraId="1A18C319" w14:textId="2A8DDF58" w:rsidR="004E1D40" w:rsidRPr="00C83B51" w:rsidRDefault="004E1D40" w:rsidP="001D2615">
      <w:pPr>
        <w:pStyle w:val="Heading4numbered"/>
      </w:pPr>
      <w:r w:rsidRPr="00421D37">
        <w:t xml:space="preserve">When to use </w:t>
      </w:r>
      <w:r w:rsidR="00D97EB8">
        <w:t>c</w:t>
      </w:r>
      <w:r>
        <w:t xml:space="preserve">onstruct </w:t>
      </w:r>
      <w:r w:rsidR="00D97EB8">
        <w:t>o</w:t>
      </w:r>
      <w:r>
        <w:t>nly</w:t>
      </w:r>
    </w:p>
    <w:p w14:paraId="3E38CDDF" w14:textId="3A013922" w:rsidR="006D6560" w:rsidRPr="00421D37" w:rsidRDefault="006D6560" w:rsidP="00834461">
      <w:pPr>
        <w:pStyle w:val="NormalIndent"/>
      </w:pPr>
      <w:r w:rsidRPr="00421D37">
        <w:t xml:space="preserve">Construct </w:t>
      </w:r>
      <w:r>
        <w:t>o</w:t>
      </w:r>
      <w:r w:rsidRPr="00421D37">
        <w:t xml:space="preserve">nly </w:t>
      </w:r>
      <w:r>
        <w:t>is the s</w:t>
      </w:r>
      <w:r w:rsidRPr="00E412DC">
        <w:t xml:space="preserve">tandard procurement model for routine and </w:t>
      </w:r>
      <w:r w:rsidRPr="00E412DC" w:rsidDel="00451A84">
        <w:t>well</w:t>
      </w:r>
      <w:r w:rsidR="00451A84">
        <w:t>-defined</w:t>
      </w:r>
      <w:r w:rsidRPr="00E412DC">
        <w:t xml:space="preserve"> works of small to medium size</w:t>
      </w:r>
      <w:r w:rsidRPr="00421D37">
        <w:t xml:space="preserve">. </w:t>
      </w:r>
      <w:r w:rsidRPr="00421D37" w:rsidDel="00451A84">
        <w:t xml:space="preserve">The following </w:t>
      </w:r>
      <w:r w:rsidR="0002030D">
        <w:t xml:space="preserve">characteristics </w:t>
      </w:r>
      <w:r w:rsidR="00FD0EDD">
        <w:t>favour</w:t>
      </w:r>
      <w:r w:rsidR="00FD0EDD" w:rsidDel="00FD0EDD">
        <w:t xml:space="preserve"> </w:t>
      </w:r>
      <w:r w:rsidR="00E87438">
        <w:t>construct only procurement.</w:t>
      </w:r>
    </w:p>
    <w:p w14:paraId="243EB071" w14:textId="3593DDD3" w:rsidR="00154DF5" w:rsidRPr="002712B5" w:rsidRDefault="4771228B" w:rsidP="00171CF8">
      <w:pPr>
        <w:pStyle w:val="Heading4"/>
      </w:pPr>
      <w:r w:rsidRPr="002712B5">
        <w:t>Project value</w:t>
      </w:r>
    </w:p>
    <w:p w14:paraId="14039D05" w14:textId="4B1A6449" w:rsidR="004E1D40" w:rsidRPr="00421D37" w:rsidRDefault="00750ECF" w:rsidP="001D2615">
      <w:pPr>
        <w:pStyle w:val="Bulletindent"/>
        <w:rPr>
          <w:b/>
          <w:bCs/>
        </w:rPr>
      </w:pPr>
      <w:r w:rsidRPr="00066901">
        <w:t xml:space="preserve">Typically below </w:t>
      </w:r>
      <w:r w:rsidR="006D6560" w:rsidRPr="00A337BA">
        <w:t>$</w:t>
      </w:r>
      <w:r w:rsidRPr="00A337BA">
        <w:t>100</w:t>
      </w:r>
      <w:r w:rsidR="00451A84">
        <w:rPr>
          <w:rFonts w:ascii="Calibri" w:hAnsi="Calibri"/>
        </w:rPr>
        <w:t> </w:t>
      </w:r>
      <w:r w:rsidRPr="00066901">
        <w:t>million, as larger projects tend to have duration and complexity that benefit from contractor input</w:t>
      </w:r>
      <w:r w:rsidR="00066901" w:rsidRPr="00A337BA">
        <w:t>.</w:t>
      </w:r>
    </w:p>
    <w:p w14:paraId="69AB849B" w14:textId="662B982B" w:rsidR="00FA440B" w:rsidRPr="002712B5" w:rsidRDefault="4771228B" w:rsidP="00171CF8">
      <w:pPr>
        <w:pStyle w:val="Heading4"/>
      </w:pPr>
      <w:r w:rsidRPr="198CA7B3">
        <w:t>Scope</w:t>
      </w:r>
      <w:r w:rsidR="00EA789D">
        <w:t xml:space="preserve">, complexity </w:t>
      </w:r>
      <w:r w:rsidRPr="198CA7B3">
        <w:t>and output certainty</w:t>
      </w:r>
    </w:p>
    <w:p w14:paraId="740B2C8F" w14:textId="1283EC68" w:rsidR="001B0084" w:rsidRPr="00066901" w:rsidRDefault="001B0084" w:rsidP="001D2615">
      <w:pPr>
        <w:pStyle w:val="Bulletindent"/>
        <w:keepNext/>
      </w:pPr>
      <w:r w:rsidRPr="00066901" w:rsidDel="00451A84">
        <w:t>S</w:t>
      </w:r>
      <w:r w:rsidRPr="00066901">
        <w:t xml:space="preserve">cope or design </w:t>
      </w:r>
      <w:r w:rsidR="00961AA6">
        <w:t xml:space="preserve">(or both) </w:t>
      </w:r>
      <w:r w:rsidRPr="00066901">
        <w:t>are relatively standard and well defined</w:t>
      </w:r>
      <w:r w:rsidR="00961AA6">
        <w:t xml:space="preserve"> and</w:t>
      </w:r>
      <w:r w:rsidRPr="00066901">
        <w:t xml:space="preserve"> unlikely to change during construction</w:t>
      </w:r>
      <w:r w:rsidR="00961AA6">
        <w:t>. T</w:t>
      </w:r>
      <w:r w:rsidRPr="00066901">
        <w:t>here is limited scope for contractor design innovation.</w:t>
      </w:r>
    </w:p>
    <w:p w14:paraId="6BB96C9F" w14:textId="60E80572" w:rsidR="004E1D40" w:rsidRPr="001B0084" w:rsidRDefault="001B0084" w:rsidP="001D2615">
      <w:pPr>
        <w:pStyle w:val="Bulletindent"/>
      </w:pPr>
      <w:r w:rsidRPr="00066901" w:rsidDel="00451A84">
        <w:t>T</w:t>
      </w:r>
      <w:r w:rsidRPr="00066901">
        <w:t>here is a priority on a high degree of cost certainty at the time of contract award.</w:t>
      </w:r>
    </w:p>
    <w:p w14:paraId="43890792" w14:textId="0E09DB02" w:rsidR="00235BF4" w:rsidRPr="00066901" w:rsidRDefault="4771228B" w:rsidP="00171CF8">
      <w:pPr>
        <w:pStyle w:val="Heading4"/>
      </w:pPr>
      <w:r w:rsidRPr="198CA7B3">
        <w:t>Risk</w:t>
      </w:r>
      <w:r w:rsidR="00EA789D">
        <w:t xml:space="preserve"> allocation</w:t>
      </w:r>
    </w:p>
    <w:p w14:paraId="7AF456F5" w14:textId="6A111F2E" w:rsidR="00235BF4" w:rsidRPr="00066901" w:rsidRDefault="00235BF4" w:rsidP="001D2615">
      <w:pPr>
        <w:pStyle w:val="Bulletindent"/>
      </w:pPr>
      <w:r w:rsidRPr="00066901">
        <w:t>Project</w:t>
      </w:r>
      <w:r w:rsidR="00961AA6">
        <w:t xml:space="preserve"> </w:t>
      </w:r>
      <w:r w:rsidRPr="00066901">
        <w:t>risks (including site conditions) are well defined</w:t>
      </w:r>
      <w:r w:rsidR="006D6560">
        <w:t>,</w:t>
      </w:r>
      <w:r w:rsidRPr="00066901">
        <w:t xml:space="preserve"> understood and easily allocated.</w:t>
      </w:r>
    </w:p>
    <w:p w14:paraId="0AB8FCED" w14:textId="701F02A7" w:rsidR="004E1D40" w:rsidRPr="00235BF4" w:rsidRDefault="13574C4F" w:rsidP="001D2615">
      <w:pPr>
        <w:pStyle w:val="Bulletindent"/>
      </w:pPr>
      <w:r w:rsidRPr="00066901" w:rsidDel="00451A84">
        <w:t>T</w:t>
      </w:r>
      <w:r w:rsidRPr="00066901">
        <w:t>he agency is willing to retain all the design risk.</w:t>
      </w:r>
    </w:p>
    <w:p w14:paraId="75CBD6C1" w14:textId="3731553B" w:rsidR="00154DF5" w:rsidRPr="00066901" w:rsidRDefault="00EA789D" w:rsidP="00171CF8">
      <w:pPr>
        <w:pStyle w:val="Heading4"/>
      </w:pPr>
      <w:r>
        <w:t>Role of d</w:t>
      </w:r>
      <w:r w:rsidR="4771228B" w:rsidRPr="198CA7B3">
        <w:t>elivery agency</w:t>
      </w:r>
    </w:p>
    <w:p w14:paraId="27FA8EF8" w14:textId="70B5BC39" w:rsidR="004E1D40" w:rsidRPr="00421D37" w:rsidRDefault="2C56F8B7" w:rsidP="001D2615">
      <w:pPr>
        <w:pStyle w:val="Bulletindent"/>
      </w:pPr>
      <w:r w:rsidRPr="00066901" w:rsidDel="00451A84">
        <w:t>T</w:t>
      </w:r>
      <w:r w:rsidRPr="00066901">
        <w:t>he agency prioritises design and has the time and skills to manage the design process, including identification and documentation of site conditions/utilities and briefing and prepar</w:t>
      </w:r>
      <w:r w:rsidR="000F2B03">
        <w:t>ing</w:t>
      </w:r>
      <w:r w:rsidRPr="00066901">
        <w:t xml:space="preserve"> construction-ready contract documentation.</w:t>
      </w:r>
    </w:p>
    <w:p w14:paraId="1B5BBB16" w14:textId="6E052594" w:rsidR="004E1D40" w:rsidRPr="00421D37" w:rsidRDefault="004E1D40" w:rsidP="001D2615">
      <w:pPr>
        <w:pStyle w:val="Heading4numbered"/>
      </w:pPr>
      <w:r w:rsidRPr="00421D37">
        <w:t>Benefits</w:t>
      </w:r>
    </w:p>
    <w:p w14:paraId="71D05F42" w14:textId="0702C4C8" w:rsidR="008D3614" w:rsidRPr="00421D37" w:rsidRDefault="008D3614" w:rsidP="00834461">
      <w:pPr>
        <w:pStyle w:val="NormalIndent"/>
      </w:pPr>
      <w:r w:rsidRPr="00421D37">
        <w:t xml:space="preserve">The </w:t>
      </w:r>
      <w:r>
        <w:t>c</w:t>
      </w:r>
      <w:r w:rsidRPr="00421D37">
        <w:t xml:space="preserve">onstruct </w:t>
      </w:r>
      <w:r>
        <w:t>o</w:t>
      </w:r>
      <w:r w:rsidRPr="00421D37">
        <w:t>nly procurement model offers benefits to the agency including:</w:t>
      </w:r>
    </w:p>
    <w:p w14:paraId="61E34B14" w14:textId="77777777" w:rsidR="008D3614" w:rsidRPr="005F3B70" w:rsidRDefault="008D3614" w:rsidP="001D2615">
      <w:pPr>
        <w:pStyle w:val="Bulletindent"/>
      </w:pPr>
      <w:r>
        <w:t>a high degree of price certainty at the time of contract award, provided the design is substantially complete and properly reflects the project brief</w:t>
      </w:r>
    </w:p>
    <w:p w14:paraId="67C431E1" w14:textId="264FBE9E" w:rsidR="008D3614" w:rsidRPr="005F3B70" w:rsidRDefault="008D3614" w:rsidP="001D2615">
      <w:pPr>
        <w:pStyle w:val="Bulletindent"/>
      </w:pPr>
      <w:r>
        <w:t>the potential for stronger competition at tender by attracting contractors that do not have design management</w:t>
      </w:r>
      <w:r w:rsidR="00BC1846">
        <w:t xml:space="preserve"> expertise or </w:t>
      </w:r>
      <w:r>
        <w:t>design resources</w:t>
      </w:r>
      <w:r w:rsidR="00BC1846">
        <w:t>,</w:t>
      </w:r>
      <w:r>
        <w:t xml:space="preserve"> or are unable to take on associated design risks</w:t>
      </w:r>
    </w:p>
    <w:p w14:paraId="6CBA68FD" w14:textId="5C5071BD" w:rsidR="004E1D40" w:rsidRPr="005F3B70" w:rsidRDefault="461EAFCC" w:rsidP="001D2615">
      <w:pPr>
        <w:pStyle w:val="Bulletindent"/>
      </w:pPr>
      <w:r>
        <w:t xml:space="preserve">less complexity when assessing tenders compared </w:t>
      </w:r>
      <w:r w:rsidR="00BC1846">
        <w:t xml:space="preserve">to </w:t>
      </w:r>
      <w:r>
        <w:t>many other procurement models</w:t>
      </w:r>
    </w:p>
    <w:p w14:paraId="465AB376" w14:textId="77777777" w:rsidR="008D3614" w:rsidRPr="005F3B70" w:rsidRDefault="008D3614" w:rsidP="001D2615">
      <w:pPr>
        <w:pStyle w:val="Bulletindent"/>
      </w:pPr>
      <w:r>
        <w:t>relatively straightforward and reliable contract administration principles and procedures.</w:t>
      </w:r>
    </w:p>
    <w:p w14:paraId="66131475" w14:textId="77777777" w:rsidR="004E1D40" w:rsidRPr="00421D37" w:rsidRDefault="004E1D40" w:rsidP="001D2615">
      <w:pPr>
        <w:pStyle w:val="Heading4numbered"/>
      </w:pPr>
      <w:r w:rsidRPr="00421D37">
        <w:t>Points to consider</w:t>
      </w:r>
    </w:p>
    <w:p w14:paraId="60E88CD5" w14:textId="1043D9B1" w:rsidR="004E1D40" w:rsidRDefault="004E1D40" w:rsidP="00834461">
      <w:pPr>
        <w:pStyle w:val="NormalIndent"/>
      </w:pPr>
      <w:r>
        <w:t>A long lead time is needed prior to tender and contract award</w:t>
      </w:r>
      <w:r w:rsidDel="00D16394">
        <w:t xml:space="preserve"> </w:t>
      </w:r>
      <w:r>
        <w:t>to enable design and contract documentation to be fully developed by the agency.</w:t>
      </w:r>
    </w:p>
    <w:p w14:paraId="546FBEF7" w14:textId="66FE3AD3" w:rsidR="004E1D40" w:rsidRDefault="004E1D40" w:rsidP="00834461">
      <w:pPr>
        <w:pStyle w:val="NormalIndent"/>
      </w:pPr>
      <w:r>
        <w:t>Completeness</w:t>
      </w:r>
      <w:r w:rsidRPr="00421D37">
        <w:t xml:space="preserve"> and accuracy of the design documentation</w:t>
      </w:r>
      <w:r>
        <w:t xml:space="preserve"> is the responsibility of the agency.</w:t>
      </w:r>
      <w:r w:rsidRPr="00421D37">
        <w:t xml:space="preserve"> </w:t>
      </w:r>
      <w:r w:rsidR="00F17DBC">
        <w:t>The agency must have (or engage and manage) the relevant expertise to confidently develop a design and prepare comprehensive contract documentation.</w:t>
      </w:r>
    </w:p>
    <w:p w14:paraId="6E0F4C57" w14:textId="42239EB9" w:rsidR="00F17DBC" w:rsidRDefault="00F17DBC" w:rsidP="00834461">
      <w:pPr>
        <w:pStyle w:val="NormalIndent"/>
      </w:pPr>
      <w:r>
        <w:t xml:space="preserve">Successful delivery requires the contract and design information to be free of any errors, inconsistencies, omissions or other inadequacies </w:t>
      </w:r>
      <w:r w:rsidR="0013273C">
        <w:t xml:space="preserve">that </w:t>
      </w:r>
      <w:r>
        <w:t>would lead to variations and extra cost to the agency.</w:t>
      </w:r>
    </w:p>
    <w:p w14:paraId="2076AAA8" w14:textId="6B8CF286" w:rsidR="009901D5" w:rsidRDefault="00E3135F" w:rsidP="00171CF8">
      <w:pPr>
        <w:pStyle w:val="NormalIndent"/>
        <w:keepNext/>
      </w:pPr>
      <w:r w:rsidRPr="00421D37">
        <w:t>Th</w:t>
      </w:r>
      <w:r>
        <w:t>e</w:t>
      </w:r>
      <w:r w:rsidRPr="00421D37">
        <w:t xml:space="preserve"> </w:t>
      </w:r>
      <w:r>
        <w:t>agency</w:t>
      </w:r>
      <w:r w:rsidR="00344D3F">
        <w:t>’</w:t>
      </w:r>
      <w:r>
        <w:t>s capability is essential</w:t>
      </w:r>
      <w:r w:rsidR="00464C46">
        <w:t>, because</w:t>
      </w:r>
      <w:r w:rsidRPr="00421D37">
        <w:t>:</w:t>
      </w:r>
    </w:p>
    <w:p w14:paraId="177EB0B9" w14:textId="400B8AB6" w:rsidR="00B47311" w:rsidRDefault="14EF3B52" w:rsidP="001D2615">
      <w:pPr>
        <w:pStyle w:val="Bulletindent"/>
        <w:keepNext/>
      </w:pPr>
      <w:r>
        <w:t>separation of design and construction reduces opportunities for constructability optimisation</w:t>
      </w:r>
    </w:p>
    <w:p w14:paraId="637DEE84" w14:textId="77777777" w:rsidR="00B47311" w:rsidRDefault="14EF3B52" w:rsidP="001D2615">
      <w:pPr>
        <w:pStyle w:val="Bulletindent"/>
        <w:keepNext/>
      </w:pPr>
      <w:r>
        <w:t>whole-of-life costs need adequate consideration in design decisions</w:t>
      </w:r>
    </w:p>
    <w:p w14:paraId="54538700" w14:textId="1940FE49" w:rsidR="00B47311" w:rsidRDefault="00B47311" w:rsidP="001D2615">
      <w:pPr>
        <w:pStyle w:val="Bulletindent"/>
      </w:pPr>
      <w:r w:rsidRPr="009901D5">
        <w:t xml:space="preserve">the agency retains design risk, including design constructability, </w:t>
      </w:r>
      <w:r w:rsidR="00D64EEF" w:rsidRPr="009901D5">
        <w:t>fitness for purpose</w:t>
      </w:r>
      <w:r w:rsidR="00DB2B54">
        <w:t>,</w:t>
      </w:r>
      <w:r w:rsidR="00D64EEF" w:rsidRPr="009901D5">
        <w:t xml:space="preserve"> </w:t>
      </w:r>
      <w:r w:rsidRPr="009901D5">
        <w:t>coordination and</w:t>
      </w:r>
      <w:r w:rsidR="0027792B">
        <w:t>,</w:t>
      </w:r>
      <w:r w:rsidRPr="009901D5">
        <w:t xml:space="preserve"> usually</w:t>
      </w:r>
      <w:r w:rsidR="0027792B">
        <w:t>, risks relating to</w:t>
      </w:r>
      <w:r w:rsidRPr="009901D5">
        <w:t xml:space="preserve"> latent (or subsurface) conditions.</w:t>
      </w:r>
    </w:p>
    <w:p w14:paraId="1FDC635A" w14:textId="6862CEDC" w:rsidR="004E1D40" w:rsidRPr="00421D37" w:rsidRDefault="004E1D40" w:rsidP="001D2615">
      <w:pPr>
        <w:pStyle w:val="Heading4numbered"/>
      </w:pPr>
      <w:r w:rsidRPr="00421D37">
        <w:t>Authorised contracts</w:t>
      </w:r>
      <w:r w:rsidR="00DC350B">
        <w:rPr>
          <w:rFonts w:ascii="ZWAdobeF" w:hAnsi="ZWAdobeF" w:cs="ZWAdobeF"/>
          <w:color w:val="auto"/>
          <w:sz w:val="2"/>
          <w:szCs w:val="2"/>
        </w:rPr>
        <w:t>3F</w:t>
      </w:r>
      <w:r w:rsidRPr="12332228">
        <w:rPr>
          <w:rStyle w:val="FootnoteReference"/>
        </w:rPr>
        <w:footnoteReference w:id="5"/>
      </w:r>
    </w:p>
    <w:p w14:paraId="50EA36B2" w14:textId="5A6277BE" w:rsidR="007931E1" w:rsidRPr="00421D37" w:rsidRDefault="007931E1" w:rsidP="00834461">
      <w:pPr>
        <w:pStyle w:val="NormalIndent"/>
      </w:pPr>
      <w:r w:rsidRPr="00421D37">
        <w:t>DTF standard form for contract</w:t>
      </w:r>
      <w:r>
        <w:t>s</w:t>
      </w:r>
      <w:r w:rsidR="00CC643F">
        <w:t>:</w:t>
      </w:r>
    </w:p>
    <w:p w14:paraId="44413BA8" w14:textId="77777777" w:rsidR="004E1D40" w:rsidRPr="006A1CC1" w:rsidRDefault="00894832" w:rsidP="001D2615">
      <w:pPr>
        <w:pStyle w:val="Bulletindent"/>
      </w:pPr>
      <w:hyperlink r:id="rId108">
        <w:r w:rsidR="0029ABAA" w:rsidRPr="006A1CC1">
          <w:rPr>
            <w:rStyle w:val="Hyperlink"/>
          </w:rPr>
          <w:t>Australian Standard (AS) 2124-1992 with VPS Special Conditions</w:t>
        </w:r>
      </w:hyperlink>
    </w:p>
    <w:p w14:paraId="159A7294" w14:textId="77777777" w:rsidR="004E1D40" w:rsidRPr="006A1CC1" w:rsidRDefault="00894832" w:rsidP="001D2615">
      <w:pPr>
        <w:pStyle w:val="Bulletindent"/>
      </w:pPr>
      <w:hyperlink r:id="rId109">
        <w:r w:rsidR="0029ABAA" w:rsidRPr="006A1CC1">
          <w:rPr>
            <w:rStyle w:val="Hyperlink"/>
          </w:rPr>
          <w:t>VPS Medium Works Contract</w:t>
        </w:r>
      </w:hyperlink>
    </w:p>
    <w:p w14:paraId="612A435F" w14:textId="77777777" w:rsidR="004E1D40" w:rsidRPr="006A1CC1" w:rsidRDefault="00894832" w:rsidP="001D2615">
      <w:pPr>
        <w:pStyle w:val="Bulletindent"/>
      </w:pPr>
      <w:hyperlink r:id="rId110">
        <w:r w:rsidR="0029ABAA" w:rsidRPr="006A1CC1">
          <w:rPr>
            <w:rStyle w:val="Hyperlink"/>
          </w:rPr>
          <w:t>VPS Minor Works Contract</w:t>
        </w:r>
      </w:hyperlink>
    </w:p>
    <w:p w14:paraId="6AF0A962" w14:textId="77777777" w:rsidR="004E1D40" w:rsidRPr="00421D37" w:rsidRDefault="004E1D40" w:rsidP="001D2615">
      <w:pPr>
        <w:pStyle w:val="Heading4numbered"/>
      </w:pPr>
      <w:r w:rsidRPr="00421D37">
        <w:t>Supporting resources</w:t>
      </w:r>
    </w:p>
    <w:p w14:paraId="56E52875" w14:textId="4E803067" w:rsidR="00C750AC" w:rsidRDefault="00C50B33" w:rsidP="00C750AC">
      <w:pPr>
        <w:pStyle w:val="Bulletindent"/>
        <w:rPr>
          <w:color w:val="auto"/>
        </w:rPr>
      </w:pPr>
      <w:r>
        <w:t xml:space="preserve">The </w:t>
      </w:r>
      <w:r w:rsidRPr="000F763D">
        <w:t xml:space="preserve">DTF </w:t>
      </w:r>
      <w:hyperlink r:id="rId111" w:history="1">
        <w:r w:rsidR="00CD2208">
          <w:rPr>
            <w:rStyle w:val="Hyperlink"/>
          </w:rPr>
          <w:t>Lump Sum Procurement Category</w:t>
        </w:r>
      </w:hyperlink>
      <w:r w:rsidRPr="000F763D">
        <w:t xml:space="preserve"> webpage</w:t>
      </w:r>
    </w:p>
    <w:p w14:paraId="6C5D341E" w14:textId="675D136E" w:rsidR="00B8773A" w:rsidRDefault="00894832" w:rsidP="001D2615">
      <w:pPr>
        <w:pStyle w:val="Bulletindent"/>
        <w:rPr>
          <w:rStyle w:val="Hyperlink"/>
          <w:rFonts w:ascii="VIC" w:eastAsia="VIC" w:hAnsi="VIC" w:cs="VIC"/>
        </w:rPr>
      </w:pPr>
      <w:hyperlink r:id="rId112" w:history="1">
        <w:r w:rsidR="00C50B33">
          <w:rPr>
            <w:rStyle w:val="Hyperlink"/>
            <w:rFonts w:ascii="VIC" w:eastAsia="VIC" w:hAnsi="VIC" w:cs="VIC"/>
          </w:rPr>
          <w:t>Practitioners Toolkit – Document library | Department of Treasury and Finance Victoria</w:t>
        </w:r>
      </w:hyperlink>
    </w:p>
    <w:p w14:paraId="2BFDF91C" w14:textId="10AC1616" w:rsidR="004E1D40" w:rsidRPr="00421D37" w:rsidRDefault="004E1D40" w:rsidP="001D2615">
      <w:pPr>
        <w:pStyle w:val="Heading3numbered"/>
      </w:pPr>
      <w:bookmarkStart w:id="325" w:name="_Toc124245439"/>
      <w:r w:rsidRPr="00421D37">
        <w:t>Design</w:t>
      </w:r>
      <w:r w:rsidR="00A6449E">
        <w:t xml:space="preserve"> and </w:t>
      </w:r>
      <w:bookmarkEnd w:id="325"/>
      <w:r w:rsidR="00FF5E9A">
        <w:t>c</w:t>
      </w:r>
      <w:r w:rsidRPr="00421D37">
        <w:t>onstruct</w:t>
      </w:r>
    </w:p>
    <w:p w14:paraId="494A5EB2" w14:textId="77777777" w:rsidR="004E1D40" w:rsidRPr="00421D37" w:rsidRDefault="004E1D40" w:rsidP="001D2615">
      <w:pPr>
        <w:pStyle w:val="Heading4numbered"/>
      </w:pPr>
      <w:r w:rsidRPr="00421D37">
        <w:t>Key features</w:t>
      </w:r>
    </w:p>
    <w:p w14:paraId="29F9985E" w14:textId="6D67F6E1" w:rsidR="00C01766" w:rsidRDefault="00C01766" w:rsidP="00834461">
      <w:pPr>
        <w:pStyle w:val="NormalIndent"/>
      </w:pPr>
      <w:r w:rsidRPr="00421D37">
        <w:t xml:space="preserve">In the </w:t>
      </w:r>
      <w:r>
        <w:t>D&amp;C</w:t>
      </w:r>
      <w:r w:rsidRPr="00421D37">
        <w:t xml:space="preserve"> </w:t>
      </w:r>
      <w:r w:rsidRPr="00421D37" w:rsidDel="00466380">
        <w:t>model</w:t>
      </w:r>
      <w:r w:rsidRPr="00421D37">
        <w:t>,</w:t>
      </w:r>
      <w:r w:rsidRPr="00421D37" w:rsidDel="00466380">
        <w:t xml:space="preserve"> </w:t>
      </w:r>
      <w:r w:rsidRPr="00421D37">
        <w:t>the</w:t>
      </w:r>
      <w:r w:rsidRPr="00421D37" w:rsidDel="00466380">
        <w:t xml:space="preserve"> design and construction phases</w:t>
      </w:r>
      <w:r w:rsidRPr="00421D37">
        <w:t xml:space="preserve"> overlap. The agency </w:t>
      </w:r>
      <w:r w:rsidRPr="00421D37" w:rsidDel="00C37E9B">
        <w:t xml:space="preserve">engages consultants to prepare a detailed project brief or </w:t>
      </w:r>
      <w:r>
        <w:t>p</w:t>
      </w:r>
      <w:r w:rsidRPr="00421D37" w:rsidDel="00C37E9B">
        <w:t xml:space="preserve">rincipals </w:t>
      </w:r>
      <w:r>
        <w:t>p</w:t>
      </w:r>
      <w:r w:rsidRPr="00421D37" w:rsidDel="00C37E9B">
        <w:t xml:space="preserve">erformance </w:t>
      </w:r>
      <w:r>
        <w:t>r</w:t>
      </w:r>
      <w:r w:rsidRPr="00421D37" w:rsidDel="00C37E9B">
        <w:t xml:space="preserve">equirements which </w:t>
      </w:r>
      <w:r w:rsidRPr="00421D37">
        <w:t xml:space="preserve">defines the scope, quality and functionality requirements. </w:t>
      </w:r>
      <w:r w:rsidRPr="00421D37" w:rsidDel="00752135">
        <w:t xml:space="preserve">A preliminary design at either concept or schematic level is </w:t>
      </w:r>
      <w:r w:rsidRPr="00421D37">
        <w:t xml:space="preserve">also typically </w:t>
      </w:r>
      <w:r w:rsidRPr="00421D37" w:rsidDel="00752135">
        <w:t xml:space="preserve">prepared for competitive tender. The contract is awarded </w:t>
      </w:r>
      <w:r w:rsidRPr="00421D37">
        <w:t xml:space="preserve">on a </w:t>
      </w:r>
      <w:r w:rsidR="00365338">
        <w:t>fixed-price</w:t>
      </w:r>
      <w:r w:rsidRPr="00421D37">
        <w:t xml:space="preserve"> basis with an agreed date for practical completion.</w:t>
      </w:r>
      <w:r w:rsidRPr="00421D37" w:rsidDel="009A7800">
        <w:t xml:space="preserve"> The contractor then completes the design, prepares construction documentation and </w:t>
      </w:r>
      <w:r w:rsidRPr="00421D37">
        <w:t>constructs</w:t>
      </w:r>
      <w:r w:rsidRPr="00421D37" w:rsidDel="009A7800">
        <w:t xml:space="preserve"> the project</w:t>
      </w:r>
      <w:r w:rsidRPr="00421D37">
        <w:t>.</w:t>
      </w:r>
    </w:p>
    <w:p w14:paraId="67572118" w14:textId="48771710" w:rsidR="00C01766" w:rsidRPr="00421D37" w:rsidRDefault="00C01766" w:rsidP="00834461">
      <w:pPr>
        <w:pStyle w:val="NormalIndent"/>
      </w:pPr>
      <w:r>
        <w:t>The agency:</w:t>
      </w:r>
    </w:p>
    <w:p w14:paraId="149D727C" w14:textId="057E2304" w:rsidR="00C01766" w:rsidRDefault="00C01766" w:rsidP="001D2615">
      <w:pPr>
        <w:pStyle w:val="Bulletindent"/>
      </w:pPr>
      <w:r>
        <w:t xml:space="preserve">pays a fixed </w:t>
      </w:r>
      <w:r w:rsidR="008868CA">
        <w:t xml:space="preserve">price </w:t>
      </w:r>
      <w:r>
        <w:t>for project delivery, usually through regular progress payments to the contractor for work completed up to the lump sum (adjusted for agreed variations).</w:t>
      </w:r>
    </w:p>
    <w:p w14:paraId="773DAD93" w14:textId="77777777" w:rsidR="00C01766" w:rsidRPr="00117F2B" w:rsidRDefault="00C01766" w:rsidP="00171CF8">
      <w:pPr>
        <w:pStyle w:val="NormalIndent"/>
        <w:keepNext/>
      </w:pPr>
      <w:r>
        <w:t>The contractor:</w:t>
      </w:r>
    </w:p>
    <w:p w14:paraId="1438D8E4" w14:textId="1BBCAE6F" w:rsidR="00C01766" w:rsidRDefault="00C01766" w:rsidP="001D2615">
      <w:pPr>
        <w:pStyle w:val="Bulletindent"/>
        <w:keepNext/>
      </w:pPr>
      <w:r>
        <w:t>bids a price based on the agency</w:t>
      </w:r>
      <w:r w:rsidR="00344D3F">
        <w:t>’</w:t>
      </w:r>
      <w:r>
        <w:t>s specifications and therefore has significant ability to influence the design and buildability of the project</w:t>
      </w:r>
    </w:p>
    <w:p w14:paraId="63E5594D" w14:textId="622C7231" w:rsidR="00C01766" w:rsidRPr="00117F2B" w:rsidRDefault="00C01766" w:rsidP="001D2615">
      <w:pPr>
        <w:pStyle w:val="Bulletindent"/>
        <w:keepNext/>
      </w:pPr>
      <w:r>
        <w:t>takes 50</w:t>
      </w:r>
      <w:r w:rsidR="00D15C52">
        <w:t xml:space="preserve"> to </w:t>
      </w:r>
      <w:r>
        <w:t>100</w:t>
      </w:r>
      <w:r w:rsidR="00451A84">
        <w:rPr>
          <w:rFonts w:ascii="Calibri" w:hAnsi="Calibri"/>
        </w:rPr>
        <w:t> </w:t>
      </w:r>
      <w:r w:rsidR="00451A84">
        <w:t>per cent</w:t>
      </w:r>
      <w:r>
        <w:t xml:space="preserve"> of cost overrun risk</w:t>
      </w:r>
      <w:r w:rsidR="00D15C52">
        <w:t>,</w:t>
      </w:r>
      <w:r>
        <w:t xml:space="preserve"> depending on the size and risk profile of the project, subject to approved variations</w:t>
      </w:r>
    </w:p>
    <w:p w14:paraId="709FBAD5" w14:textId="77777777" w:rsidR="00C01766" w:rsidRPr="00117F2B" w:rsidRDefault="00C01766" w:rsidP="001D2615">
      <w:pPr>
        <w:pStyle w:val="Bulletindent"/>
      </w:pPr>
      <w:r>
        <w:t>manages stakeholder input and interfaces as part of the design phase</w:t>
      </w:r>
    </w:p>
    <w:p w14:paraId="3ACF71BE" w14:textId="77777777" w:rsidR="00C01766" w:rsidRPr="00117F2B" w:rsidRDefault="00C01766" w:rsidP="001D2615">
      <w:pPr>
        <w:pStyle w:val="Bulletindent"/>
      </w:pPr>
      <w:r>
        <w:t>takes responsibility for design, documentation, construction, schedule and cost risks with consequences to incentivise performance</w:t>
      </w:r>
      <w:r w:rsidDel="005926AA">
        <w:t>.</w:t>
      </w:r>
    </w:p>
    <w:p w14:paraId="0D5150E0" w14:textId="17FEBE5D" w:rsidR="004E1D40" w:rsidRDefault="004E1D40" w:rsidP="00171CF8">
      <w:pPr>
        <w:pStyle w:val="Captionindent"/>
      </w:pPr>
      <w:bookmarkStart w:id="326" w:name="_Ref109221266"/>
      <w:bookmarkStart w:id="327" w:name="_Toc145621477"/>
      <w:bookmarkStart w:id="328" w:name="_Toc145621606"/>
      <w:bookmarkStart w:id="329" w:name="_Toc160457782"/>
      <w:r w:rsidRPr="00421D37">
        <w:t xml:space="preserve">Figure </w:t>
      </w:r>
      <w:r w:rsidRPr="00421D37">
        <w:fldChar w:fldCharType="begin"/>
      </w:r>
      <w:r w:rsidRPr="00421D37">
        <w:instrText>SEQ Figure \* ARABIC</w:instrText>
      </w:r>
      <w:r w:rsidRPr="00421D37">
        <w:fldChar w:fldCharType="separate"/>
      </w:r>
      <w:r w:rsidR="008A4B3E">
        <w:rPr>
          <w:noProof/>
        </w:rPr>
        <w:t>13</w:t>
      </w:r>
      <w:r w:rsidRPr="00421D37">
        <w:fldChar w:fldCharType="end"/>
      </w:r>
      <w:bookmarkEnd w:id="326"/>
      <w:r w:rsidR="005504CB">
        <w:t xml:space="preserve"> – </w:t>
      </w:r>
      <w:r w:rsidRPr="00421D37">
        <w:t>Design</w:t>
      </w:r>
      <w:r w:rsidR="00A6449E">
        <w:t xml:space="preserve"> and </w:t>
      </w:r>
      <w:r w:rsidRPr="00421D37">
        <w:t>construct structure</w:t>
      </w:r>
      <w:bookmarkEnd w:id="327"/>
      <w:bookmarkEnd w:id="328"/>
      <w:bookmarkEnd w:id="329"/>
    </w:p>
    <w:p w14:paraId="2F20D009" w14:textId="1623AF52" w:rsidR="002246FB" w:rsidRDefault="00224F81" w:rsidP="00171CF8">
      <w:pPr>
        <w:pStyle w:val="NormalIndent"/>
      </w:pPr>
      <w:r w:rsidRPr="00224F81">
        <w:rPr>
          <w:noProof/>
        </w:rPr>
        <w:drawing>
          <wp:inline distT="0" distB="0" distL="0" distR="0" wp14:anchorId="78A9ACD4" wp14:editId="03CF9267">
            <wp:extent cx="5204011" cy="2788810"/>
            <wp:effectExtent l="0" t="0" r="0" b="0"/>
            <wp:docPr id="129" name="Graphic 129" descr="The figure relates to section 4.2.2 key features of design and construct procurement. It is a diagram showing the contractual structure of parties involved in design and construct procurement over the project timeline from briefing, design (to agreed stage); tender for the design and construct contractor; and Completion of design and construction documentation and Construction, commissioning &amp; hand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he figure relates to section 4.2.2 key features of design and construct procurement. It is a diagram showing the contractual structure of parties involved in design and construct procurement over the project timeline from briefing, design (to agreed stage); tender for the design and construct contractor; and Completion of design and construction documentation and Construction, commissioning &amp; handover. ​"/>
                    <pic:cNvPicPr/>
                  </pic:nvPicPr>
                  <pic:blipFill>
                    <a:blip r:embed="rId113" cstate="screen">
                      <a:extLst>
                        <a:ext uri="{28A0092B-C50C-407E-A947-70E740481C1C}">
                          <a14:useLocalDpi xmlns:a14="http://schemas.microsoft.com/office/drawing/2010/main"/>
                        </a:ext>
                        <a:ext uri="{96DAC541-7B7A-43D3-8B79-37D633B846F1}">
                          <asvg:svgBlip xmlns:asvg="http://schemas.microsoft.com/office/drawing/2016/SVG/main" r:embed="rId114"/>
                        </a:ext>
                      </a:extLst>
                    </a:blip>
                    <a:stretch>
                      <a:fillRect/>
                    </a:stretch>
                  </pic:blipFill>
                  <pic:spPr>
                    <a:xfrm>
                      <a:off x="0" y="0"/>
                      <a:ext cx="5226152" cy="2800675"/>
                    </a:xfrm>
                    <a:prstGeom prst="rect">
                      <a:avLst/>
                    </a:prstGeom>
                  </pic:spPr>
                </pic:pic>
              </a:graphicData>
            </a:graphic>
          </wp:inline>
        </w:drawing>
      </w:r>
    </w:p>
    <w:p w14:paraId="053E4968" w14:textId="77777777" w:rsidR="004E1D40" w:rsidRPr="00421D37" w:rsidRDefault="004E1D40" w:rsidP="001D2615">
      <w:pPr>
        <w:pStyle w:val="Heading4numbered"/>
      </w:pPr>
      <w:r w:rsidRPr="00421D37">
        <w:t>Model variants</w:t>
      </w:r>
    </w:p>
    <w:p w14:paraId="4192D141" w14:textId="0AF69A5E" w:rsidR="004E1D40" w:rsidRPr="006D296C" w:rsidRDefault="004E1D40" w:rsidP="00171CF8">
      <w:pPr>
        <w:pStyle w:val="Heading4"/>
      </w:pPr>
      <w:r w:rsidRPr="006D296C">
        <w:t xml:space="preserve">Novated </w:t>
      </w:r>
      <w:r w:rsidR="00FF5E9A" w:rsidRPr="006D296C">
        <w:t>d</w:t>
      </w:r>
      <w:r w:rsidRPr="006D296C">
        <w:t>esign</w:t>
      </w:r>
      <w:r w:rsidR="00A6449E" w:rsidRPr="006D296C">
        <w:t xml:space="preserve"> and </w:t>
      </w:r>
      <w:r w:rsidR="00FF5E9A" w:rsidRPr="006D296C">
        <w:t>c</w:t>
      </w:r>
      <w:r w:rsidRPr="006D296C">
        <w:t>onstruction</w:t>
      </w:r>
    </w:p>
    <w:p w14:paraId="5E34372D" w14:textId="307CA833" w:rsidR="00AA08C5" w:rsidRPr="00421D37" w:rsidRDefault="00AA08C5" w:rsidP="00834461">
      <w:pPr>
        <w:pStyle w:val="NormalIndent"/>
      </w:pPr>
      <w:r w:rsidRPr="00421D37">
        <w:t xml:space="preserve">The agency engages design consultants to prepare the design and construction documentation to an agreed point, typically </w:t>
      </w:r>
      <w:r w:rsidR="00FD7D16">
        <w:t>from</w:t>
      </w:r>
      <w:r w:rsidR="00FD7D16" w:rsidRPr="00421D37">
        <w:t xml:space="preserve"> </w:t>
      </w:r>
      <w:r w:rsidRPr="00421D37">
        <w:t>70</w:t>
      </w:r>
      <w:r w:rsidR="00FD7D16">
        <w:t xml:space="preserve"> to </w:t>
      </w:r>
      <w:r w:rsidRPr="00421D37">
        <w:t>90</w:t>
      </w:r>
      <w:r w:rsidR="00451A84">
        <w:rPr>
          <w:rFonts w:ascii="Calibri" w:hAnsi="Calibri" w:cs="Calibri"/>
        </w:rPr>
        <w:t> </w:t>
      </w:r>
      <w:r w:rsidR="00451A84">
        <w:t>per cent</w:t>
      </w:r>
      <w:r>
        <w:t xml:space="preserve"> </w:t>
      </w:r>
      <w:r w:rsidRPr="00421D37">
        <w:t>complete.</w:t>
      </w:r>
      <w:r w:rsidR="00DC5754" w:rsidRPr="00DC5754">
        <w:t xml:space="preserve"> </w:t>
      </w:r>
      <w:r w:rsidR="00DC5754" w:rsidRPr="00421D37">
        <w:t xml:space="preserve">The </w:t>
      </w:r>
      <w:r w:rsidR="00680547">
        <w:t xml:space="preserve">contract is </w:t>
      </w:r>
      <w:r w:rsidR="00DC5754" w:rsidRPr="00421D37">
        <w:t xml:space="preserve">awarded </w:t>
      </w:r>
      <w:r w:rsidR="00DC5754">
        <w:t>as</w:t>
      </w:r>
      <w:r w:rsidR="00DC5754" w:rsidRPr="00421D37">
        <w:t xml:space="preserve"> a lump sum or a guaranteed maximum price (GMP). The </w:t>
      </w:r>
      <w:r w:rsidR="004E6ABC" w:rsidRPr="00421D37">
        <w:t xml:space="preserve">design consultants are novated to the </w:t>
      </w:r>
      <w:r w:rsidR="004E6ABC">
        <w:t xml:space="preserve">successful </w:t>
      </w:r>
      <w:r w:rsidR="004E6ABC" w:rsidRPr="00421D37">
        <w:t>contractor</w:t>
      </w:r>
      <w:r w:rsidR="00D85C97">
        <w:t>,</w:t>
      </w:r>
      <w:r w:rsidR="004E6ABC" w:rsidRPr="00421D37">
        <w:t xml:space="preserve"> </w:t>
      </w:r>
      <w:r w:rsidR="004E6ABC">
        <w:t xml:space="preserve">who </w:t>
      </w:r>
      <w:r w:rsidR="00DC5754" w:rsidRPr="00421D37">
        <w:t>is responsible for completing</w:t>
      </w:r>
      <w:r w:rsidR="00F44FD3">
        <w:t xml:space="preserve"> </w:t>
      </w:r>
      <w:r w:rsidR="00F44FD3" w:rsidRPr="00421D37">
        <w:t>both</w:t>
      </w:r>
      <w:r w:rsidR="00DC5754" w:rsidRPr="00421D37">
        <w:t xml:space="preserve"> the </w:t>
      </w:r>
      <w:r w:rsidR="00F44FD3">
        <w:t>remaining</w:t>
      </w:r>
      <w:r w:rsidR="00DC5754" w:rsidRPr="00421D37">
        <w:t xml:space="preserve"> construction documentation and </w:t>
      </w:r>
      <w:r w:rsidR="00F44FD3">
        <w:t xml:space="preserve">the </w:t>
      </w:r>
      <w:r w:rsidR="004E6ABC">
        <w:t>construction</w:t>
      </w:r>
      <w:r w:rsidR="00DC5754" w:rsidRPr="00421D37">
        <w:t>.</w:t>
      </w:r>
    </w:p>
    <w:p w14:paraId="143593CA" w14:textId="394D7821" w:rsidR="00AA08C5" w:rsidRDefault="00AA08C5" w:rsidP="00834461">
      <w:pPr>
        <w:pStyle w:val="NormalIndent"/>
      </w:pPr>
      <w:r w:rsidRPr="00421D37">
        <w:t xml:space="preserve">If </w:t>
      </w:r>
      <w:r w:rsidR="00C82D7C">
        <w:t xml:space="preserve">a </w:t>
      </w:r>
      <w:r w:rsidRPr="00421D37">
        <w:t xml:space="preserve">GMP </w:t>
      </w:r>
      <w:r w:rsidR="00C82D7C" w:rsidRPr="00421D37">
        <w:t xml:space="preserve">contract </w:t>
      </w:r>
      <w:r w:rsidR="00C82D7C">
        <w:t>is used</w:t>
      </w:r>
      <w:r w:rsidRPr="00421D37">
        <w:t>, typically trade packages are re</w:t>
      </w:r>
      <w:r w:rsidR="00F44FD3">
        <w:t>-</w:t>
      </w:r>
      <w:r w:rsidRPr="00421D37">
        <w:t>tendered following completion (or further development) of the construction documentation. Any savings are shared between the agency and the contractor on a pre</w:t>
      </w:r>
      <w:r>
        <w:t>determined</w:t>
      </w:r>
      <w:r w:rsidRPr="00421D37">
        <w:t xml:space="preserve"> basis.</w:t>
      </w:r>
    </w:p>
    <w:p w14:paraId="0E28640D" w14:textId="16672BEE" w:rsidR="004E1D40" w:rsidRPr="00421D37" w:rsidRDefault="004E1D40" w:rsidP="001D2615">
      <w:pPr>
        <w:pStyle w:val="Heading4numbered"/>
      </w:pPr>
      <w:r w:rsidRPr="00421D37">
        <w:t xml:space="preserve">When to use </w:t>
      </w:r>
      <w:r w:rsidR="00FF5E9A">
        <w:t>d</w:t>
      </w:r>
      <w:r w:rsidRPr="00421D37">
        <w:t>esign</w:t>
      </w:r>
      <w:r w:rsidR="00A6449E">
        <w:t xml:space="preserve"> and </w:t>
      </w:r>
      <w:r w:rsidR="00FF5E9A">
        <w:t>c</w:t>
      </w:r>
      <w:r w:rsidRPr="00421D37">
        <w:t>onstruct</w:t>
      </w:r>
    </w:p>
    <w:p w14:paraId="229C1A08" w14:textId="641D4042" w:rsidR="0005637D" w:rsidRPr="0005637D" w:rsidRDefault="0005637D" w:rsidP="00F00271">
      <w:pPr>
        <w:pStyle w:val="NormalIndent"/>
        <w:keepNext/>
        <w:rPr>
          <w:b/>
          <w:bCs/>
        </w:rPr>
      </w:pPr>
      <w:r w:rsidRPr="0005637D">
        <w:t xml:space="preserve">D&amp;C is suitable for many medium to large projects providing a single point of accountability. The following </w:t>
      </w:r>
      <w:r w:rsidR="00CB5559">
        <w:t xml:space="preserve">characteristic </w:t>
      </w:r>
      <w:r w:rsidR="00D503F9">
        <w:t xml:space="preserve">favour </w:t>
      </w:r>
      <w:r w:rsidRPr="0005637D">
        <w:t>D&amp;C</w:t>
      </w:r>
      <w:r w:rsidR="00E87438">
        <w:t xml:space="preserve"> procurement</w:t>
      </w:r>
      <w:r w:rsidR="00CB5559">
        <w:t>.</w:t>
      </w:r>
    </w:p>
    <w:p w14:paraId="7E1DF8A0" w14:textId="77777777" w:rsidR="009210A8" w:rsidRPr="00EE6205" w:rsidRDefault="4771228B" w:rsidP="00171CF8">
      <w:pPr>
        <w:pStyle w:val="Heading4"/>
      </w:pPr>
      <w:r w:rsidRPr="00EE6205">
        <w:t>Project value</w:t>
      </w:r>
    </w:p>
    <w:p w14:paraId="5ED80FEE" w14:textId="51370AA1" w:rsidR="00B04CB3" w:rsidRPr="00421D37" w:rsidRDefault="00CB5559" w:rsidP="001D2615">
      <w:pPr>
        <w:pStyle w:val="Bulletindent"/>
      </w:pPr>
      <w:r>
        <w:t xml:space="preserve">The project can be of </w:t>
      </w:r>
      <w:r w:rsidR="00B04CB3">
        <w:t>any value.</w:t>
      </w:r>
    </w:p>
    <w:p w14:paraId="21E7F667" w14:textId="77777777" w:rsidR="00B04CB3" w:rsidRPr="00EE6205" w:rsidRDefault="00B04CB3" w:rsidP="00171CF8">
      <w:pPr>
        <w:pStyle w:val="Heading4"/>
      </w:pPr>
      <w:r w:rsidRPr="198CA7B3">
        <w:t>Scope</w:t>
      </w:r>
      <w:r>
        <w:t>, complexity</w:t>
      </w:r>
      <w:r w:rsidRPr="198CA7B3">
        <w:t xml:space="preserve"> and output certainty</w:t>
      </w:r>
    </w:p>
    <w:p w14:paraId="5AE49832" w14:textId="6C066E64" w:rsidR="00B04CB3" w:rsidRDefault="00B04CB3" w:rsidP="001D2615">
      <w:pPr>
        <w:pStyle w:val="Bulletindent"/>
      </w:pPr>
      <w:r>
        <w:t>Scope and outputs are unlikely to change during construction and can be defined by the agency prior to tendering in a detailed project brief or principal</w:t>
      </w:r>
      <w:r w:rsidR="00344D3F">
        <w:t>’</w:t>
      </w:r>
      <w:r>
        <w:t>s performance requirements defining the scope, quality and functionality requirements.</w:t>
      </w:r>
    </w:p>
    <w:p w14:paraId="0EAF9AA5" w14:textId="77777777" w:rsidR="00BE69E2" w:rsidRDefault="00BE69E2" w:rsidP="001D2615">
      <w:pPr>
        <w:pStyle w:val="Bulletindent"/>
      </w:pPr>
      <w:r>
        <w:t>There is a strong relationship between design solution or constructability and design.</w:t>
      </w:r>
    </w:p>
    <w:p w14:paraId="01CC75AD" w14:textId="77777777" w:rsidR="00B04CB3" w:rsidRDefault="00B04CB3" w:rsidP="001D2615">
      <w:pPr>
        <w:pStyle w:val="Bulletindent"/>
      </w:pPr>
      <w:r>
        <w:t>There is potential for the contractor to apply alternatives in the design or construction method.</w:t>
      </w:r>
    </w:p>
    <w:p w14:paraId="1BCB1723" w14:textId="77777777" w:rsidR="004E1D40" w:rsidRPr="00421D37" w:rsidRDefault="1627AAA4" w:rsidP="001D2615">
      <w:pPr>
        <w:pStyle w:val="Bulletindent"/>
      </w:pPr>
      <w:r>
        <w:t>There is a priority on schedule and price certainty and efficiency over the highest possible design quality.</w:t>
      </w:r>
    </w:p>
    <w:p w14:paraId="5943506A" w14:textId="77777777" w:rsidR="00DB5513" w:rsidRPr="00EE6205" w:rsidRDefault="4771228B" w:rsidP="00171CF8">
      <w:pPr>
        <w:pStyle w:val="Heading4"/>
      </w:pPr>
      <w:r w:rsidRPr="198CA7B3">
        <w:t>Risk</w:t>
      </w:r>
      <w:r w:rsidR="00BE69E2">
        <w:t xml:space="preserve"> allocation</w:t>
      </w:r>
    </w:p>
    <w:p w14:paraId="0670D3EB" w14:textId="24D8806F" w:rsidR="00770E78" w:rsidRDefault="009A7B6A" w:rsidP="001D2615">
      <w:pPr>
        <w:pStyle w:val="Bulletindent"/>
      </w:pPr>
      <w:r>
        <w:t xml:space="preserve">Risk is allocated to </w:t>
      </w:r>
      <w:r w:rsidR="00773272">
        <w:t>any</w:t>
      </w:r>
      <w:r w:rsidR="00770E78">
        <w:t xml:space="preserve"> project where </w:t>
      </w:r>
      <w:r w:rsidR="00773272">
        <w:t xml:space="preserve">the </w:t>
      </w:r>
      <w:r w:rsidR="00770E78">
        <w:t xml:space="preserve">risks can be identified, assessed </w:t>
      </w:r>
      <w:r w:rsidR="00773272">
        <w:t xml:space="preserve">and priced </w:t>
      </w:r>
      <w:r w:rsidR="0031479C">
        <w:t>in a cost</w:t>
      </w:r>
      <w:r w:rsidR="00F962F1">
        <w:t>-</w:t>
      </w:r>
      <w:r w:rsidR="0031479C">
        <w:t>effective way</w:t>
      </w:r>
      <w:r w:rsidR="00773272">
        <w:t xml:space="preserve"> </w:t>
      </w:r>
      <w:r w:rsidR="00F56685">
        <w:t>(applicable to greenfield and brownfield projects</w:t>
      </w:r>
      <w:r w:rsidR="00E945C4">
        <w:t>)</w:t>
      </w:r>
      <w:r w:rsidR="00770E78">
        <w:t>.</w:t>
      </w:r>
    </w:p>
    <w:p w14:paraId="317E96F1" w14:textId="77777777" w:rsidR="004E1D40" w:rsidRPr="00421D37" w:rsidRDefault="263B8AEF" w:rsidP="001D2615">
      <w:pPr>
        <w:pStyle w:val="Bulletindent"/>
      </w:pPr>
      <w:r>
        <w:t>The contractor is best placed to manage design risk.</w:t>
      </w:r>
    </w:p>
    <w:p w14:paraId="60717AB5" w14:textId="3A80C4FC" w:rsidR="00DB5513" w:rsidRPr="00EE6205" w:rsidRDefault="009B3BC4" w:rsidP="00171CF8">
      <w:pPr>
        <w:pStyle w:val="Heading4"/>
      </w:pPr>
      <w:r>
        <w:t>A</w:t>
      </w:r>
      <w:r w:rsidR="004E1D40" w:rsidRPr="00421D37">
        <w:t xml:space="preserve">gency </w:t>
      </w:r>
      <w:r w:rsidR="00BE69E2">
        <w:t>role</w:t>
      </w:r>
    </w:p>
    <w:p w14:paraId="7C7D65D1" w14:textId="7911DB33" w:rsidR="004E1D40" w:rsidRPr="00421D37" w:rsidRDefault="621D3FC4" w:rsidP="001D2615">
      <w:pPr>
        <w:pStyle w:val="Bulletindent"/>
      </w:pPr>
      <w:r>
        <w:t>The agency requires the capability and expertise to capture project requirements in contractual documentation and seeks to transfer design risk.</w:t>
      </w:r>
    </w:p>
    <w:p w14:paraId="7BF4FE15" w14:textId="60F2F1FF" w:rsidR="004E1D40" w:rsidRPr="00421D37" w:rsidRDefault="004E1D40" w:rsidP="001D2615">
      <w:pPr>
        <w:pStyle w:val="Heading4numbered"/>
      </w:pPr>
      <w:r w:rsidRPr="00421D37">
        <w:t>Benefits</w:t>
      </w:r>
    </w:p>
    <w:p w14:paraId="7A94894C" w14:textId="63071367" w:rsidR="00CD299C" w:rsidRPr="00CD299C" w:rsidRDefault="003A7F0E" w:rsidP="00834461">
      <w:pPr>
        <w:pStyle w:val="NormalIndent"/>
      </w:pPr>
      <w:r>
        <w:t xml:space="preserve">The </w:t>
      </w:r>
      <w:r w:rsidR="00CD299C" w:rsidRPr="00CD299C">
        <w:t xml:space="preserve">D&amp;C </w:t>
      </w:r>
      <w:r>
        <w:t xml:space="preserve">model </w:t>
      </w:r>
      <w:r w:rsidR="00CD299C" w:rsidRPr="00CD299C">
        <w:t>transfers design and construction risks to the contractor as the single point of accountability. This provides:</w:t>
      </w:r>
    </w:p>
    <w:p w14:paraId="2F64290A" w14:textId="77777777" w:rsidR="004E1D40" w:rsidRPr="00CD299C" w:rsidRDefault="004E1D40" w:rsidP="001D2615">
      <w:pPr>
        <w:pStyle w:val="Bulletindent"/>
        <w:rPr>
          <w:rFonts w:eastAsiaTheme="minorEastAsia"/>
        </w:rPr>
      </w:pPr>
      <w:r w:rsidRPr="00CD299C">
        <w:rPr>
          <w:rFonts w:eastAsiaTheme="minorEastAsia"/>
        </w:rPr>
        <w:t>potential for earlier commencement of construction after contract award while the design packages are progressively finalised</w:t>
      </w:r>
    </w:p>
    <w:p w14:paraId="308724FF" w14:textId="77777777" w:rsidR="004E1D40" w:rsidRPr="00CD299C" w:rsidRDefault="004E1D40" w:rsidP="001D2615">
      <w:pPr>
        <w:pStyle w:val="Bulletindent"/>
        <w:rPr>
          <w:rFonts w:eastAsiaTheme="minorEastAsia"/>
        </w:rPr>
      </w:pPr>
      <w:r w:rsidRPr="00CD299C">
        <w:rPr>
          <w:rFonts w:eastAsiaTheme="minorEastAsia"/>
        </w:rPr>
        <w:t xml:space="preserve">commercial alignment between design and constructability as the final design is owned by </w:t>
      </w:r>
      <w:r w:rsidR="00CD299C" w:rsidRPr="00CD299C">
        <w:rPr>
          <w:rFonts w:eastAsiaTheme="minorEastAsia"/>
        </w:rPr>
        <w:t>the contractor</w:t>
      </w:r>
    </w:p>
    <w:p w14:paraId="4BA32599" w14:textId="513B1058" w:rsidR="00CD299C" w:rsidRPr="00CD299C" w:rsidRDefault="00CD299C" w:rsidP="001D2615">
      <w:pPr>
        <w:pStyle w:val="Bulletindent"/>
        <w:rPr>
          <w:rFonts w:eastAsiaTheme="minorEastAsia"/>
        </w:rPr>
      </w:pPr>
      <w:r w:rsidRPr="00CD299C">
        <w:rPr>
          <w:rFonts w:eastAsiaTheme="minorEastAsia"/>
        </w:rPr>
        <w:t>potential value-for-money as the contractor is incentivised to include constructability advice into the design to manage costs and protect margin</w:t>
      </w:r>
      <w:r w:rsidR="00E87438">
        <w:rPr>
          <w:rFonts w:eastAsiaTheme="minorEastAsia"/>
        </w:rPr>
        <w:t>, which can</w:t>
      </w:r>
      <w:r w:rsidRPr="00CD299C" w:rsidDel="00E87438">
        <w:rPr>
          <w:rFonts w:eastAsiaTheme="minorEastAsia"/>
        </w:rPr>
        <w:t xml:space="preserve"> </w:t>
      </w:r>
      <w:r w:rsidR="00C6558D">
        <w:rPr>
          <w:rFonts w:eastAsiaTheme="minorEastAsia"/>
        </w:rPr>
        <w:t xml:space="preserve">also </w:t>
      </w:r>
      <w:r w:rsidRPr="00CD299C">
        <w:rPr>
          <w:rFonts w:eastAsiaTheme="minorEastAsia"/>
        </w:rPr>
        <w:t>generate innovation and construction efficiencies</w:t>
      </w:r>
    </w:p>
    <w:p w14:paraId="4CE64C0D" w14:textId="255452C9" w:rsidR="00CD299C" w:rsidRPr="00CD299C" w:rsidRDefault="00CD299C" w:rsidP="001D2615">
      <w:pPr>
        <w:pStyle w:val="Bulletindent"/>
        <w:rPr>
          <w:rFonts w:eastAsiaTheme="minorEastAsia"/>
        </w:rPr>
      </w:pPr>
      <w:r w:rsidRPr="00CD299C">
        <w:rPr>
          <w:rFonts w:eastAsiaTheme="minorEastAsia"/>
        </w:rPr>
        <w:t>a fitness</w:t>
      </w:r>
      <w:r w:rsidR="001E4F86">
        <w:rPr>
          <w:rFonts w:eastAsiaTheme="minorEastAsia"/>
        </w:rPr>
        <w:t>-</w:t>
      </w:r>
      <w:r w:rsidRPr="00CD299C">
        <w:rPr>
          <w:rFonts w:eastAsiaTheme="minorEastAsia"/>
        </w:rPr>
        <w:t>for</w:t>
      </w:r>
      <w:r w:rsidR="001E4F86">
        <w:rPr>
          <w:rFonts w:eastAsiaTheme="minorEastAsia"/>
        </w:rPr>
        <w:t>-</w:t>
      </w:r>
      <w:r w:rsidRPr="00CD299C">
        <w:rPr>
          <w:rFonts w:eastAsiaTheme="minorEastAsia"/>
        </w:rPr>
        <w:t>purpose warranty from the contractor.</w:t>
      </w:r>
    </w:p>
    <w:p w14:paraId="6B6BDD7E" w14:textId="77777777" w:rsidR="004E1D40" w:rsidRPr="00421D37" w:rsidRDefault="004E1D40" w:rsidP="001D2615">
      <w:pPr>
        <w:pStyle w:val="Heading4numbered"/>
      </w:pPr>
      <w:r w:rsidRPr="00421D37">
        <w:t>Points to consider</w:t>
      </w:r>
    </w:p>
    <w:p w14:paraId="0FE9A89B" w14:textId="224D3A5C" w:rsidR="00273514" w:rsidRPr="00421D37" w:rsidRDefault="00273514" w:rsidP="00B976EB">
      <w:pPr>
        <w:pStyle w:val="NormalIndent"/>
        <w:keepNext/>
      </w:pPr>
      <w:r>
        <w:t>The success of D&amp;C</w:t>
      </w:r>
      <w:r w:rsidRPr="00421D37">
        <w:t xml:space="preserve"> </w:t>
      </w:r>
      <w:r>
        <w:t xml:space="preserve">depends significantly on the </w:t>
      </w:r>
      <w:r w:rsidRPr="00421D37">
        <w:t>accuracy and completeness of the project brief</w:t>
      </w:r>
      <w:r>
        <w:t xml:space="preserve">, including the quality, function and </w:t>
      </w:r>
      <w:r w:rsidRPr="00421D37">
        <w:t xml:space="preserve">performance requirements. </w:t>
      </w:r>
      <w:r>
        <w:t>The agency needs to incorporate stakeholder input and other dependencies into the contract documents to minimise changes to project scope after the contract has been awarded.</w:t>
      </w:r>
      <w:r w:rsidRPr="00421D37">
        <w:t xml:space="preserve"> This capability</w:t>
      </w:r>
      <w:r>
        <w:t xml:space="preserve"> within the agency</w:t>
      </w:r>
      <w:r w:rsidRPr="00421D37">
        <w:t xml:space="preserve"> is integral</w:t>
      </w:r>
      <w:r w:rsidR="007E0D75">
        <w:t>,</w:t>
      </w:r>
      <w:r w:rsidRPr="00421D37">
        <w:t xml:space="preserve"> </w:t>
      </w:r>
      <w:r w:rsidR="007E0D75">
        <w:t>because</w:t>
      </w:r>
      <w:r w:rsidRPr="00421D37">
        <w:t>:</w:t>
      </w:r>
    </w:p>
    <w:p w14:paraId="11F5FACF" w14:textId="07C494F8" w:rsidR="00273514" w:rsidRPr="00421D37" w:rsidRDefault="00273514" w:rsidP="001D2615">
      <w:pPr>
        <w:pStyle w:val="Bulletindent"/>
      </w:pPr>
      <w:r>
        <w:t>it is generally difficult for the agency to exert any significant level of control over the design process</w:t>
      </w:r>
      <w:r w:rsidR="007E0D75">
        <w:t>,</w:t>
      </w:r>
      <w:r>
        <w:t xml:space="preserve"> </w:t>
      </w:r>
      <w:r w:rsidR="007E0D75">
        <w:t xml:space="preserve">since </w:t>
      </w:r>
      <w:r>
        <w:t>the design consultant</w:t>
      </w:r>
      <w:r w:rsidR="00344D3F">
        <w:t>’</w:t>
      </w:r>
      <w:r>
        <w:t>s duty is to the contractor</w:t>
      </w:r>
    </w:p>
    <w:p w14:paraId="6AD96C16" w14:textId="2D7D9E4F" w:rsidR="00112236" w:rsidRDefault="00273514" w:rsidP="001D2615">
      <w:pPr>
        <w:pStyle w:val="Bulletindent"/>
      </w:pPr>
      <w:r>
        <w:t xml:space="preserve">variations to project scope </w:t>
      </w:r>
      <w:r w:rsidR="2C8FD41F">
        <w:t xml:space="preserve">may </w:t>
      </w:r>
      <w:r>
        <w:t>give rise to extensions of time and cost claims from the contractor</w:t>
      </w:r>
    </w:p>
    <w:p w14:paraId="41771714" w14:textId="0371A052" w:rsidR="00B976EB" w:rsidRDefault="00B976EB" w:rsidP="001D2615">
      <w:pPr>
        <w:pStyle w:val="Bulletindent"/>
      </w:pPr>
      <w:r w:rsidRPr="005B52DA">
        <w:rPr>
          <w:rFonts w:ascii="VIC" w:hAnsi="VIC"/>
        </w:rPr>
        <w:t xml:space="preserve">careful consideration </w:t>
      </w:r>
      <w:r w:rsidR="0020290E">
        <w:rPr>
          <w:rFonts w:ascii="VIC" w:hAnsi="VIC"/>
        </w:rPr>
        <w:t xml:space="preserve">is required </w:t>
      </w:r>
      <w:r w:rsidRPr="005B52DA">
        <w:rPr>
          <w:rFonts w:ascii="VIC" w:hAnsi="VIC"/>
        </w:rPr>
        <w:t xml:space="preserve">during tendering to ensure output specification is accurate and contractor prices are appropriate. This is to ensure the contractor does not underbid </w:t>
      </w:r>
      <w:r>
        <w:rPr>
          <w:rFonts w:ascii="VIC" w:hAnsi="VIC"/>
        </w:rPr>
        <w:t>or</w:t>
      </w:r>
      <w:r w:rsidRPr="005B52DA">
        <w:rPr>
          <w:rFonts w:ascii="VIC" w:hAnsi="VIC"/>
        </w:rPr>
        <w:t xml:space="preserve"> accept a</w:t>
      </w:r>
      <w:r>
        <w:rPr>
          <w:rFonts w:ascii="VIC" w:hAnsi="VIC"/>
        </w:rPr>
        <w:t>n</w:t>
      </w:r>
      <w:r w:rsidRPr="005B52DA">
        <w:rPr>
          <w:rFonts w:ascii="VIC" w:hAnsi="VIC"/>
        </w:rPr>
        <w:t xml:space="preserve"> </w:t>
      </w:r>
      <w:r>
        <w:rPr>
          <w:rFonts w:ascii="VIC" w:hAnsi="VIC"/>
        </w:rPr>
        <w:t>un</w:t>
      </w:r>
      <w:r w:rsidRPr="005B52DA">
        <w:rPr>
          <w:rFonts w:ascii="VIC" w:hAnsi="VIC"/>
        </w:rPr>
        <w:t xml:space="preserve">sustainable level of risk that </w:t>
      </w:r>
      <w:r>
        <w:rPr>
          <w:rFonts w:ascii="VIC" w:hAnsi="VIC"/>
        </w:rPr>
        <w:t>may result</w:t>
      </w:r>
      <w:r w:rsidRPr="005B52DA">
        <w:rPr>
          <w:rFonts w:ascii="VIC" w:hAnsi="VIC"/>
        </w:rPr>
        <w:t xml:space="preserve"> in the contractor pursing unreasonable claims</w:t>
      </w:r>
    </w:p>
    <w:p w14:paraId="35A40E1D" w14:textId="1B93B4C1" w:rsidR="00273514" w:rsidRPr="00421D37" w:rsidRDefault="00273514" w:rsidP="001D2615">
      <w:pPr>
        <w:pStyle w:val="Bulletindent"/>
      </w:pPr>
      <w:r>
        <w:t>the contractor is typically focused on delivery</w:t>
      </w:r>
      <w:r w:rsidR="00DE32B6">
        <w:t>,</w:t>
      </w:r>
      <w:r>
        <w:t xml:space="preserve"> not whole-of-life cost. The agency may wish to implement </w:t>
      </w:r>
      <w:r w:rsidRPr="30306C04">
        <w:rPr>
          <w:rFonts w:cs="Arial"/>
        </w:rPr>
        <w:t xml:space="preserve">contractual incentives to encourage </w:t>
      </w:r>
      <w:r>
        <w:rPr>
          <w:rFonts w:cs="Arial"/>
        </w:rPr>
        <w:t>better</w:t>
      </w:r>
      <w:r w:rsidRPr="30306C04">
        <w:rPr>
          <w:rFonts w:cs="Arial"/>
        </w:rPr>
        <w:t xml:space="preserve"> whole</w:t>
      </w:r>
      <w:r>
        <w:rPr>
          <w:rFonts w:cs="Arial"/>
        </w:rPr>
        <w:t>-</w:t>
      </w:r>
      <w:r w:rsidRPr="30306C04">
        <w:rPr>
          <w:rFonts w:cs="Arial"/>
        </w:rPr>
        <w:t>of</w:t>
      </w:r>
      <w:r>
        <w:rPr>
          <w:rFonts w:cs="Arial"/>
        </w:rPr>
        <w:t>-</w:t>
      </w:r>
      <w:r w:rsidRPr="30306C04">
        <w:rPr>
          <w:rFonts w:cs="Arial"/>
        </w:rPr>
        <w:t>life and environmentally sustainable desig</w:t>
      </w:r>
      <w:r>
        <w:rPr>
          <w:rFonts w:cs="Arial"/>
        </w:rPr>
        <w:t xml:space="preserve">n </w:t>
      </w:r>
      <w:r w:rsidRPr="30306C04">
        <w:rPr>
          <w:rFonts w:cs="Arial"/>
        </w:rPr>
        <w:t>outcomes.</w:t>
      </w:r>
    </w:p>
    <w:p w14:paraId="0AD3291F" w14:textId="275F1685" w:rsidR="004E1D40" w:rsidRPr="00421D37" w:rsidRDefault="004E1D40" w:rsidP="00834461">
      <w:pPr>
        <w:pStyle w:val="NormalIndent"/>
      </w:pPr>
      <w:r w:rsidRPr="00421D37">
        <w:t xml:space="preserve">It is possible and reasonable for the </w:t>
      </w:r>
      <w:r>
        <w:t>a</w:t>
      </w:r>
      <w:r w:rsidRPr="00421D37">
        <w:t>gency to seek an independent design review at key project milestones to ensure that the</w:t>
      </w:r>
      <w:r w:rsidRPr="00DD4438">
        <w:t xml:space="preserve"> </w:t>
      </w:r>
      <w:r w:rsidR="009651B8">
        <w:t>D&amp;C</w:t>
      </w:r>
      <w:r w:rsidRPr="00421D37">
        <w:t xml:space="preserve"> contractor has met all aspects of the </w:t>
      </w:r>
      <w:r>
        <w:t xml:space="preserve">project </w:t>
      </w:r>
      <w:r w:rsidRPr="00421D37">
        <w:t>brief.</w:t>
      </w:r>
    </w:p>
    <w:p w14:paraId="61DD2EC0" w14:textId="17EC3354" w:rsidR="004E1D40" w:rsidRPr="00421D37" w:rsidRDefault="004E1D40" w:rsidP="001D2615">
      <w:pPr>
        <w:pStyle w:val="Heading4numbered"/>
      </w:pPr>
      <w:r w:rsidRPr="00421D37">
        <w:t>Authorised contracts</w:t>
      </w:r>
      <w:r w:rsidR="00DC350B">
        <w:rPr>
          <w:rFonts w:ascii="ZWAdobeF" w:hAnsi="ZWAdobeF" w:cs="ZWAdobeF"/>
          <w:color w:val="auto"/>
          <w:sz w:val="2"/>
          <w:szCs w:val="2"/>
        </w:rPr>
        <w:t>4F</w:t>
      </w:r>
      <w:r w:rsidRPr="12332228">
        <w:rPr>
          <w:rStyle w:val="FootnoteReference"/>
        </w:rPr>
        <w:footnoteReference w:id="6"/>
      </w:r>
    </w:p>
    <w:p w14:paraId="6DBD52F4" w14:textId="77777777" w:rsidR="004E1D40" w:rsidRPr="00CC643F" w:rsidRDefault="004E1D40" w:rsidP="00834461">
      <w:pPr>
        <w:pStyle w:val="NormalIndent"/>
      </w:pPr>
      <w:r>
        <w:t>Standard form contracts:</w:t>
      </w:r>
    </w:p>
    <w:p w14:paraId="13244CAF" w14:textId="77777777" w:rsidR="004E1D40" w:rsidRPr="00CC643F" w:rsidRDefault="00894832" w:rsidP="001D2615">
      <w:pPr>
        <w:pStyle w:val="Bulletindent"/>
      </w:pPr>
      <w:hyperlink r:id="rId115">
        <w:r w:rsidR="5FF92006" w:rsidRPr="6E4B2343">
          <w:rPr>
            <w:rStyle w:val="Hyperlink"/>
          </w:rPr>
          <w:t>AS 4300-1995 with VPS Special Conditions</w:t>
        </w:r>
      </w:hyperlink>
    </w:p>
    <w:p w14:paraId="2A455F12" w14:textId="77777777" w:rsidR="004E1D40" w:rsidRPr="00421D37" w:rsidRDefault="004E1D40" w:rsidP="001D2615">
      <w:pPr>
        <w:pStyle w:val="Heading4numbered"/>
      </w:pPr>
      <w:r w:rsidRPr="00421D37">
        <w:t>Supporting resources</w:t>
      </w:r>
    </w:p>
    <w:p w14:paraId="5CF18050" w14:textId="07443957" w:rsidR="00CA4F65" w:rsidRDefault="001C0CEE" w:rsidP="00CA4F65">
      <w:pPr>
        <w:pStyle w:val="Bulletindent"/>
        <w:rPr>
          <w:color w:val="auto"/>
        </w:rPr>
      </w:pPr>
      <w:r>
        <w:t xml:space="preserve">The </w:t>
      </w:r>
      <w:r w:rsidRPr="001364FC">
        <w:t xml:space="preserve">DTF </w:t>
      </w:r>
      <w:hyperlink r:id="rId116" w:history="1">
        <w:r w:rsidR="000E765D">
          <w:rPr>
            <w:rStyle w:val="Hyperlink"/>
          </w:rPr>
          <w:t>Lum Sum Procurement Category</w:t>
        </w:r>
      </w:hyperlink>
      <w:r w:rsidRPr="001364FC">
        <w:t xml:space="preserve"> webpage</w:t>
      </w:r>
    </w:p>
    <w:p w14:paraId="190F89A3" w14:textId="13391606" w:rsidR="005F5B70" w:rsidRDefault="00894832" w:rsidP="001D2615">
      <w:pPr>
        <w:pStyle w:val="Bulletindent"/>
        <w:keepLines w:val="0"/>
        <w:spacing w:before="0" w:after="200" w:line="276" w:lineRule="auto"/>
        <w:rPr>
          <w:rFonts w:ascii="VIC" w:eastAsia="VIC" w:hAnsi="VIC" w:cs="VIC"/>
        </w:rPr>
      </w:pPr>
      <w:hyperlink r:id="rId117">
        <w:r w:rsidR="001C0CEE">
          <w:rPr>
            <w:rStyle w:val="Hyperlink"/>
            <w:rFonts w:ascii="VIC" w:eastAsia="VIC" w:hAnsi="VIC" w:cs="VIC"/>
          </w:rPr>
          <w:t>Practitioners Toolkit – Document library | Department of Treasury and Finance Victoria</w:t>
        </w:r>
      </w:hyperlink>
    </w:p>
    <w:p w14:paraId="2D054FA9" w14:textId="05CDB410" w:rsidR="004E1D40" w:rsidRPr="00421D37" w:rsidRDefault="004E1D40" w:rsidP="001D2615">
      <w:pPr>
        <w:pStyle w:val="Heading3numbered"/>
      </w:pPr>
      <w:bookmarkStart w:id="330" w:name="_Toc124245440"/>
      <w:r>
        <w:t xml:space="preserve">Enhanced </w:t>
      </w:r>
      <w:r w:rsidR="00FF5E9A">
        <w:t>d</w:t>
      </w:r>
      <w:r w:rsidRPr="00421D37">
        <w:t>esign</w:t>
      </w:r>
      <w:r w:rsidR="00A6449E">
        <w:t xml:space="preserve"> and </w:t>
      </w:r>
      <w:r w:rsidR="00FF5E9A">
        <w:t>c</w:t>
      </w:r>
      <w:r w:rsidRPr="00421D37">
        <w:t>onstruct</w:t>
      </w:r>
    </w:p>
    <w:p w14:paraId="3FCDCBA1" w14:textId="77777777" w:rsidR="004E1D40" w:rsidRPr="00421D37" w:rsidRDefault="004E1D40" w:rsidP="001D2615">
      <w:pPr>
        <w:pStyle w:val="Heading4numbered"/>
      </w:pPr>
      <w:r w:rsidRPr="00421D37">
        <w:t>Key features</w:t>
      </w:r>
    </w:p>
    <w:p w14:paraId="1DCAE408" w14:textId="69071CCE" w:rsidR="00C60DEA" w:rsidRPr="004E1D40" w:rsidRDefault="00C60DEA" w:rsidP="00834461">
      <w:pPr>
        <w:pStyle w:val="NormalIndent"/>
      </w:pPr>
      <w:r w:rsidRPr="004E1D40">
        <w:t xml:space="preserve">The </w:t>
      </w:r>
      <w:r>
        <w:t>e</w:t>
      </w:r>
      <w:r w:rsidRPr="004E1D40">
        <w:t>nhanced D&amp;C</w:t>
      </w:r>
      <w:r w:rsidRPr="004E1D40" w:rsidDel="008F5F19">
        <w:t xml:space="preserve"> </w:t>
      </w:r>
      <w:r w:rsidRPr="004E1D40">
        <w:t xml:space="preserve">model provides a modern approach to </w:t>
      </w:r>
      <w:r>
        <w:t>lump sum</w:t>
      </w:r>
      <w:r w:rsidRPr="004E1D40">
        <w:t xml:space="preserve"> contracting</w:t>
      </w:r>
      <w:r w:rsidRPr="004E1D40" w:rsidDel="008F5F19">
        <w:t xml:space="preserve"> </w:t>
      </w:r>
      <w:r w:rsidRPr="004E1D40">
        <w:t xml:space="preserve">with the addition of targeted </w:t>
      </w:r>
      <w:r w:rsidR="005071A5">
        <w:t>risk-sharing</w:t>
      </w:r>
      <w:r w:rsidRPr="004E1D40">
        <w:t xml:space="preserve"> elements </w:t>
      </w:r>
      <w:r>
        <w:t>to respond to</w:t>
      </w:r>
      <w:r w:rsidRPr="004E1D40">
        <w:t xml:space="preserve"> specific high</w:t>
      </w:r>
      <w:r>
        <w:t>-</w:t>
      </w:r>
      <w:r w:rsidRPr="004E1D40">
        <w:t>value risks</w:t>
      </w:r>
      <w:r>
        <w:t xml:space="preserve"> and challenges</w:t>
      </w:r>
      <w:r w:rsidRPr="004E1D40">
        <w:t xml:space="preserve">, such as contamination, </w:t>
      </w:r>
      <w:r w:rsidR="00FD2E58">
        <w:t xml:space="preserve">that </w:t>
      </w:r>
      <w:r>
        <w:t xml:space="preserve">are not always appropriately managed </w:t>
      </w:r>
      <w:r w:rsidRPr="004E1D40">
        <w:t>under the traditional D&amp;C risk allocation.</w:t>
      </w:r>
    </w:p>
    <w:p w14:paraId="0B9AD9C8" w14:textId="5A427D28" w:rsidR="004E1D40" w:rsidRPr="00421D37" w:rsidRDefault="004E1D40" w:rsidP="0033748E">
      <w:pPr>
        <w:pStyle w:val="NormalIndent"/>
        <w:keepNext/>
      </w:pPr>
      <w:r w:rsidRPr="00421D37">
        <w:t xml:space="preserve">Key features </w:t>
      </w:r>
      <w:r w:rsidR="00E8689E">
        <w:t xml:space="preserve">can </w:t>
      </w:r>
      <w:r w:rsidRPr="00421D37">
        <w:t>include:</w:t>
      </w:r>
    </w:p>
    <w:p w14:paraId="4EA17D16" w14:textId="2ADA9F81" w:rsidR="00C60DEA" w:rsidRPr="004E1D40" w:rsidRDefault="00C60DEA" w:rsidP="001D2615">
      <w:pPr>
        <w:pStyle w:val="Bulletindent"/>
      </w:pPr>
      <w:r>
        <w:t>a fixed price for the performance of the delivery activities</w:t>
      </w:r>
      <w:r w:rsidR="00FD2E58">
        <w:t>,</w:t>
      </w:r>
      <w:r>
        <w:t xml:space="preserve"> </w:t>
      </w:r>
      <w:r w:rsidR="00E87438">
        <w:t xml:space="preserve">which </w:t>
      </w:r>
      <w:r>
        <w:t xml:space="preserve">allocates certain risks to the contractor </w:t>
      </w:r>
      <w:r w:rsidR="00E87438">
        <w:t xml:space="preserve">that </w:t>
      </w:r>
      <w:r>
        <w:t>they are best placed to manage and are willing to accept</w:t>
      </w:r>
    </w:p>
    <w:p w14:paraId="24488E02" w14:textId="7FF23E71" w:rsidR="00C60DEA" w:rsidRPr="00183725" w:rsidRDefault="00C60DEA" w:rsidP="001D2615">
      <w:pPr>
        <w:pStyle w:val="Bulletindent"/>
      </w:pPr>
      <w:r>
        <w:t>a bespoke contamination regime for agreed types of contamination. This includes a re-baselining mechanism with volume caps</w:t>
      </w:r>
      <w:r w:rsidR="00235645">
        <w:t>,</w:t>
      </w:r>
      <w:r>
        <w:t xml:space="preserve"> which allows for price adjustments after contract award (including options for the re-baselining mechanism to be on a fixed</w:t>
      </w:r>
      <w:r w:rsidR="00230EFF">
        <w:t>-</w:t>
      </w:r>
      <w:r>
        <w:t xml:space="preserve">price or target outturn cost (TOC) basis depending on </w:t>
      </w:r>
      <w:r w:rsidR="00D908C1">
        <w:t xml:space="preserve">the </w:t>
      </w:r>
      <w:r>
        <w:t>project characteristics)</w:t>
      </w:r>
    </w:p>
    <w:p w14:paraId="0E7CB47A" w14:textId="4F48856C" w:rsidR="00C60DEA" w:rsidRPr="00183725" w:rsidRDefault="00C60DEA" w:rsidP="001D2615">
      <w:pPr>
        <w:pStyle w:val="Bulletindent"/>
      </w:pPr>
      <w:r>
        <w:t>a non-binding behavioural framework to support collaboration and incentivise proactive principal engagement</w:t>
      </w:r>
    </w:p>
    <w:p w14:paraId="61246650" w14:textId="17CBFFA2" w:rsidR="00C60DEA" w:rsidRPr="00183725" w:rsidRDefault="00C60DEA" w:rsidP="001D2615">
      <w:pPr>
        <w:pStyle w:val="Bulletindent"/>
      </w:pPr>
      <w:r>
        <w:t xml:space="preserve">a bespoke issue resolution process, </w:t>
      </w:r>
      <w:r w:rsidR="00DE7D74">
        <w:t xml:space="preserve">in </w:t>
      </w:r>
      <w:r>
        <w:t xml:space="preserve">which the parties </w:t>
      </w:r>
      <w:r w:rsidR="00DE7D74">
        <w:t xml:space="preserve">commit </w:t>
      </w:r>
      <w:r>
        <w:t xml:space="preserve">to early identification and collaborative resolution of issues. This contains a provision for developing </w:t>
      </w:r>
      <w:r w:rsidDel="00342B5C">
        <w:t xml:space="preserve">a </w:t>
      </w:r>
      <w:r>
        <w:t>resolution process tailored to the project and the establishment of an issue</w:t>
      </w:r>
      <w:r w:rsidR="000675E3">
        <w:t>s</w:t>
      </w:r>
      <w:r>
        <w:t xml:space="preserve"> resolution team</w:t>
      </w:r>
    </w:p>
    <w:p w14:paraId="4C75FB88" w14:textId="1BC8228A" w:rsidR="00C60DEA" w:rsidRDefault="00C60DEA" w:rsidP="001D2615">
      <w:pPr>
        <w:pStyle w:val="Bulletindent"/>
      </w:pPr>
      <w:r>
        <w:t xml:space="preserve">a </w:t>
      </w:r>
      <w:r w:rsidR="005071A5">
        <w:t>risk-sharing</w:t>
      </w:r>
      <w:r>
        <w:t xml:space="preserve"> regime for principal geotechnical data where the contractor is entitled to time and cost (as a modification) for unknown</w:t>
      </w:r>
      <w:r w:rsidR="003B74C2">
        <w:t xml:space="preserve"> </w:t>
      </w:r>
      <w:r>
        <w:t>inaccurate principal geotechnical data and an option for a geotechnical baseline regime</w:t>
      </w:r>
    </w:p>
    <w:p w14:paraId="52B7102C" w14:textId="06B06A58" w:rsidR="004E1D40" w:rsidRDefault="00932627" w:rsidP="001D2615">
      <w:pPr>
        <w:pStyle w:val="Bulletindent"/>
      </w:pPr>
      <w:r>
        <w:t xml:space="preserve">a </w:t>
      </w:r>
      <w:r w:rsidR="004E1D40">
        <w:t xml:space="preserve">bespoke utilities </w:t>
      </w:r>
      <w:r w:rsidR="005071A5">
        <w:t>risk-sharing</w:t>
      </w:r>
      <w:r w:rsidR="004E1D40">
        <w:t xml:space="preserve"> regime that can be adopted as an option by </w:t>
      </w:r>
      <w:r w:rsidR="00630025">
        <w:t>the Government</w:t>
      </w:r>
      <w:r w:rsidR="004E1D40">
        <w:t xml:space="preserve"> depending on the utilities risk. It provides the </w:t>
      </w:r>
      <w:r w:rsidR="00C60DEA">
        <w:t>contractor</w:t>
      </w:r>
      <w:r w:rsidR="004E1D40">
        <w:t xml:space="preserve"> time and cost relief (as a variation) for unknown utilities and in circumstances where utilities betterment is required during delivery</w:t>
      </w:r>
      <w:r w:rsidR="00C60DEA">
        <w:t>. It can also cover</w:t>
      </w:r>
      <w:r w:rsidR="004E1D40">
        <w:t xml:space="preserve"> time and delay costs for critical non-contestable utilities delay with a further option to treat any critical non-contestable utilities work as a provisional sum</w:t>
      </w:r>
      <w:r w:rsidR="00E87438">
        <w:t>.</w:t>
      </w:r>
    </w:p>
    <w:p w14:paraId="4517A922" w14:textId="3CC54050" w:rsidR="00394D9C" w:rsidRDefault="00394D9C" w:rsidP="00171CF8">
      <w:pPr>
        <w:pStyle w:val="Captionindent"/>
      </w:pPr>
      <w:bookmarkStart w:id="331" w:name="_Toc145621478"/>
      <w:bookmarkStart w:id="332" w:name="_Toc145621607"/>
      <w:bookmarkStart w:id="333" w:name="_Ref147326375"/>
      <w:bookmarkStart w:id="334" w:name="_Toc160457783"/>
      <w:r w:rsidRPr="00421D37">
        <w:t xml:space="preserve">Figure </w:t>
      </w:r>
      <w:r w:rsidRPr="00421D37">
        <w:fldChar w:fldCharType="begin"/>
      </w:r>
      <w:r w:rsidRPr="00421D37">
        <w:instrText>SEQ Figure \* ARABIC</w:instrText>
      </w:r>
      <w:r w:rsidRPr="00421D37">
        <w:fldChar w:fldCharType="separate"/>
      </w:r>
      <w:r w:rsidR="008A4B3E">
        <w:rPr>
          <w:noProof/>
        </w:rPr>
        <w:t>14</w:t>
      </w:r>
      <w:r w:rsidRPr="00421D37">
        <w:fldChar w:fldCharType="end"/>
      </w:r>
      <w:r w:rsidR="005504CB">
        <w:t xml:space="preserve"> – </w:t>
      </w:r>
      <w:r>
        <w:t xml:space="preserve">Enhanced </w:t>
      </w:r>
      <w:r w:rsidR="00FF5E9A">
        <w:t>d</w:t>
      </w:r>
      <w:r w:rsidRPr="00421D37">
        <w:t>esign</w:t>
      </w:r>
      <w:r w:rsidR="00A6449E">
        <w:t xml:space="preserve"> and </w:t>
      </w:r>
      <w:r w:rsidR="00FF5E9A">
        <w:t>c</w:t>
      </w:r>
      <w:r w:rsidRPr="00421D37">
        <w:t>onstruct structure</w:t>
      </w:r>
      <w:bookmarkEnd w:id="331"/>
      <w:bookmarkEnd w:id="332"/>
      <w:bookmarkEnd w:id="333"/>
      <w:bookmarkEnd w:id="334"/>
    </w:p>
    <w:p w14:paraId="1686B9C4" w14:textId="3FC988DC" w:rsidR="00394D9C" w:rsidRPr="004E1D40" w:rsidRDefault="00465FFE" w:rsidP="00834461">
      <w:pPr>
        <w:pStyle w:val="NormalIndent"/>
        <w:rPr>
          <w:rFonts w:eastAsia="MS Mincho"/>
          <w:sz w:val="19"/>
          <w:szCs w:val="19"/>
        </w:rPr>
      </w:pPr>
      <w:r>
        <w:rPr>
          <w:noProof/>
        </w:rPr>
        <w:drawing>
          <wp:inline distT="0" distB="0" distL="0" distR="0" wp14:anchorId="3194333E" wp14:editId="2623DC1E">
            <wp:extent cx="5197288" cy="2869652"/>
            <wp:effectExtent l="0" t="0" r="3810" b="6985"/>
            <wp:docPr id="1910920169" name="Picture 1910920169" descr="The figure relates to section 4.2.3 key features of enhanced design and construct procurement. It is a diagram showing the contractual structure of parties involved in enhanced design and construct procurement over the project timeline from briefing, design (to agreed stage); tender for the design and construct contractor; and Completion of design and construction documentation Construction, commissioning &amp; hand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20169" name="Picture 1910920169" descr="The figure relates to section 4.2.3 key features of enhanced design and construct procurement. It is a diagram showing the contractual structure of parties involved in enhanced design and construct procurement over the project timeline from briefing, design (to agreed stage); tender for the design and construct contractor; and Completion of design and construction documentation Construction, commissioning &amp; handover. "/>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5207785" cy="2875448"/>
                    </a:xfrm>
                    <a:prstGeom prst="rect">
                      <a:avLst/>
                    </a:prstGeom>
                    <a:noFill/>
                  </pic:spPr>
                </pic:pic>
              </a:graphicData>
            </a:graphic>
          </wp:inline>
        </w:drawing>
      </w:r>
    </w:p>
    <w:p w14:paraId="53F44199" w14:textId="288E6AF1" w:rsidR="004E1D40" w:rsidRPr="00421D37" w:rsidRDefault="004E1D40" w:rsidP="001D2615">
      <w:pPr>
        <w:pStyle w:val="Heading4numbered"/>
      </w:pPr>
      <w:r w:rsidRPr="00421D37">
        <w:t xml:space="preserve">When to use </w:t>
      </w:r>
      <w:r w:rsidR="003637DC">
        <w:t>e</w:t>
      </w:r>
      <w:r>
        <w:t xml:space="preserve">nhanced </w:t>
      </w:r>
      <w:r w:rsidR="003637DC">
        <w:t>d</w:t>
      </w:r>
      <w:r w:rsidRPr="00421D37">
        <w:t>esign</w:t>
      </w:r>
      <w:r w:rsidR="00A6449E">
        <w:t xml:space="preserve"> and </w:t>
      </w:r>
      <w:r w:rsidR="003637DC">
        <w:t>c</w:t>
      </w:r>
      <w:r w:rsidRPr="00421D37">
        <w:t>onstruct</w:t>
      </w:r>
    </w:p>
    <w:p w14:paraId="708BA7D7" w14:textId="77777777" w:rsidR="00B60C6F" w:rsidRDefault="00B60C6F" w:rsidP="00834461">
      <w:pPr>
        <w:pStyle w:val="NormalIndent"/>
      </w:pPr>
      <w:r>
        <w:t>The enhanced D&amp;C model combines the benefits of lump sum and cost reimbursable models, facilitating competition at contract award and providing new opportunities to take advantage of lump sum pricing by isolating cost reimbursable components to the most significant risks.</w:t>
      </w:r>
    </w:p>
    <w:p w14:paraId="38B2E1BC" w14:textId="4F4756B3" w:rsidR="00B60C6F" w:rsidRPr="00421D37" w:rsidRDefault="00B60C6F" w:rsidP="00834461">
      <w:pPr>
        <w:pStyle w:val="NormalIndent"/>
      </w:pPr>
      <w:r w:rsidRPr="00421D37">
        <w:t xml:space="preserve">The following </w:t>
      </w:r>
      <w:r w:rsidR="00B739EF">
        <w:t xml:space="preserve">project </w:t>
      </w:r>
      <w:r w:rsidR="00CB5559">
        <w:t xml:space="preserve">characteristics </w:t>
      </w:r>
      <w:r w:rsidR="00D503F9">
        <w:t xml:space="preserve">favour </w:t>
      </w:r>
      <w:r>
        <w:t>enhanced D&amp;C</w:t>
      </w:r>
      <w:r w:rsidR="00E87438">
        <w:t xml:space="preserve"> procurement</w:t>
      </w:r>
      <w:r w:rsidR="00CB5559">
        <w:t>.</w:t>
      </w:r>
    </w:p>
    <w:p w14:paraId="418AC23D" w14:textId="53F066B7" w:rsidR="00B60C6F" w:rsidRDefault="00B60C6F" w:rsidP="00171CF8">
      <w:pPr>
        <w:pStyle w:val="Heading4"/>
      </w:pPr>
      <w:r w:rsidRPr="198CA7B3">
        <w:t>Project value</w:t>
      </w:r>
    </w:p>
    <w:p w14:paraId="034A68F1" w14:textId="67012965" w:rsidR="005D4EE3" w:rsidRPr="00421D37" w:rsidRDefault="00AF0999" w:rsidP="001D2615">
      <w:pPr>
        <w:pStyle w:val="Bulletindent"/>
      </w:pPr>
      <w:r w:rsidRPr="00AF0999">
        <w:t xml:space="preserve">Typically exceeds </w:t>
      </w:r>
      <w:r w:rsidR="00B60C6F" w:rsidRPr="00383397">
        <w:t>$</w:t>
      </w:r>
      <w:r w:rsidRPr="00383397">
        <w:t>100</w:t>
      </w:r>
      <w:r w:rsidR="00606457">
        <w:rPr>
          <w:rFonts w:ascii="Calibri" w:hAnsi="Calibri"/>
        </w:rPr>
        <w:t> </w:t>
      </w:r>
      <w:r w:rsidRPr="00AF0999">
        <w:t>million, to provide sufficient scale to cover the relatively high costs of governance and administration of the re-baselining regime</w:t>
      </w:r>
      <w:r w:rsidR="005D4EE3">
        <w:t>.</w:t>
      </w:r>
    </w:p>
    <w:p w14:paraId="58A8A3AA" w14:textId="55C46932" w:rsidR="005D4EE3" w:rsidRDefault="005D4EE3" w:rsidP="00171CF8">
      <w:pPr>
        <w:pStyle w:val="Heading4"/>
      </w:pPr>
      <w:r w:rsidRPr="198CA7B3">
        <w:t>Scope</w:t>
      </w:r>
      <w:r>
        <w:t>, complexity</w:t>
      </w:r>
      <w:r w:rsidRPr="198CA7B3">
        <w:t xml:space="preserve"> and output certainty</w:t>
      </w:r>
    </w:p>
    <w:p w14:paraId="589BA0DA" w14:textId="05EFA75D" w:rsidR="00CD31A1" w:rsidRDefault="00CD31A1" w:rsidP="001D2615">
      <w:pPr>
        <w:pStyle w:val="Bulletindent"/>
      </w:pPr>
      <w:r>
        <w:t xml:space="preserve">Scope and outputs are unlikely to change during construction and can be defined by the agency prior to tendering in a detailed project brief or </w:t>
      </w:r>
      <w:r w:rsidR="00B60C6F">
        <w:t>principal</w:t>
      </w:r>
      <w:r w:rsidR="00344D3F">
        <w:t>’</w:t>
      </w:r>
      <w:r w:rsidR="00B60C6F">
        <w:t>s performance requirements</w:t>
      </w:r>
      <w:r>
        <w:t xml:space="preserve"> defining the scope, quality and functionality requirements.</w:t>
      </w:r>
    </w:p>
    <w:p w14:paraId="6576B1D8" w14:textId="403BE97B" w:rsidR="005D4EE3" w:rsidRPr="00421D37" w:rsidRDefault="00E87438" w:rsidP="001D2615">
      <w:pPr>
        <w:pStyle w:val="Bulletindent"/>
      </w:pPr>
      <w:r>
        <w:t>More</w:t>
      </w:r>
      <w:r w:rsidR="00CD31A1" w:rsidDel="00E87438">
        <w:t xml:space="preserve"> </w:t>
      </w:r>
      <w:r w:rsidR="00CD31A1">
        <w:t>time is required after contract award to explore and cost specified key risks, including contamination and site conditions</w:t>
      </w:r>
      <w:r w:rsidR="005D4EE3">
        <w:t>.</w:t>
      </w:r>
    </w:p>
    <w:p w14:paraId="1591A5D4" w14:textId="12E99036" w:rsidR="005D4EE3" w:rsidRPr="009B0900" w:rsidRDefault="005D4EE3" w:rsidP="00171CF8">
      <w:pPr>
        <w:pStyle w:val="Heading4"/>
      </w:pPr>
      <w:r w:rsidRPr="198CA7B3">
        <w:t>Risk</w:t>
      </w:r>
      <w:r>
        <w:t xml:space="preserve"> allocation</w:t>
      </w:r>
    </w:p>
    <w:p w14:paraId="0F93813F" w14:textId="7ED5EAA3" w:rsidR="005D4EE3" w:rsidRPr="00421D37" w:rsidRDefault="000E21A9" w:rsidP="001D2615">
      <w:pPr>
        <w:pStyle w:val="Bulletindent"/>
      </w:pPr>
      <w:r w:rsidRPr="000E21A9">
        <w:t xml:space="preserve">Any project where </w:t>
      </w:r>
      <w:r w:rsidR="005071A5">
        <w:t>risk-sharing</w:t>
      </w:r>
      <w:r w:rsidRPr="000E21A9">
        <w:t xml:space="preserve"> mechanisms targeted to key risks would enable competitive lump sum tendering</w:t>
      </w:r>
      <w:r w:rsidR="00B60C6F">
        <w:t>, such as</w:t>
      </w:r>
      <w:r w:rsidRPr="000E21A9">
        <w:t xml:space="preserve"> addressing utilities, contamination or geotechnical risks</w:t>
      </w:r>
      <w:r w:rsidR="005D4EE3">
        <w:t>.</w:t>
      </w:r>
    </w:p>
    <w:p w14:paraId="28D20F73" w14:textId="192EA938" w:rsidR="00E1602C" w:rsidRPr="00EE6205" w:rsidRDefault="00C0286A" w:rsidP="00171CF8">
      <w:pPr>
        <w:pStyle w:val="Heading4"/>
      </w:pPr>
      <w:r>
        <w:t>A</w:t>
      </w:r>
      <w:r w:rsidR="005D4EE3" w:rsidRPr="00421D37">
        <w:t xml:space="preserve">gency </w:t>
      </w:r>
      <w:r w:rsidR="005D4EE3">
        <w:t>role</w:t>
      </w:r>
    </w:p>
    <w:p w14:paraId="4AD94C8C" w14:textId="2E1E970C" w:rsidR="005D4EE3" w:rsidRPr="00421D37" w:rsidRDefault="00F37EB9" w:rsidP="001D2615">
      <w:pPr>
        <w:pStyle w:val="Bulletindent"/>
      </w:pPr>
      <w:r w:rsidRPr="00F37EB9">
        <w:t>The agency requires the capability and expertise to capture project requirements in contractual documentation and the resourcing and capability to administer the re</w:t>
      </w:r>
      <w:r w:rsidR="00140498">
        <w:noBreakHyphen/>
      </w:r>
      <w:r w:rsidRPr="00F37EB9">
        <w:t>baselining regime</w:t>
      </w:r>
      <w:r w:rsidR="005D4EE3" w:rsidRPr="007743BE">
        <w:t>.</w:t>
      </w:r>
    </w:p>
    <w:p w14:paraId="05CEC4E0" w14:textId="77777777" w:rsidR="004E1D40" w:rsidRPr="00421D37" w:rsidRDefault="004E1D40" w:rsidP="001D2615">
      <w:pPr>
        <w:pStyle w:val="Heading4numbered"/>
      </w:pPr>
      <w:r w:rsidRPr="00421D37">
        <w:t>Benefits</w:t>
      </w:r>
    </w:p>
    <w:p w14:paraId="1F925B7B" w14:textId="5786D6DC" w:rsidR="00E86A1C" w:rsidRDefault="00E86A1C" w:rsidP="00834461">
      <w:pPr>
        <w:pStyle w:val="NormalIndent"/>
        <w:rPr>
          <w:rFonts w:cstheme="minorHAnsi"/>
        </w:rPr>
      </w:pPr>
      <w:r w:rsidRPr="009A12A5">
        <w:rPr>
          <w:rFonts w:cstheme="minorHAnsi"/>
        </w:rPr>
        <w:t>The</w:t>
      </w:r>
      <w:r w:rsidDel="00D61FA8">
        <w:rPr>
          <w:rFonts w:cstheme="minorHAnsi"/>
        </w:rPr>
        <w:t xml:space="preserve"> </w:t>
      </w:r>
      <w:r>
        <w:rPr>
          <w:rFonts w:cstheme="minorHAnsi"/>
        </w:rPr>
        <w:t xml:space="preserve">enhanced D&amp;C model </w:t>
      </w:r>
      <w:r w:rsidRPr="009A12A5">
        <w:rPr>
          <w:rFonts w:cstheme="minorHAnsi"/>
        </w:rPr>
        <w:t>seeks to harness competit</w:t>
      </w:r>
      <w:r>
        <w:rPr>
          <w:rFonts w:cstheme="minorHAnsi"/>
        </w:rPr>
        <w:t xml:space="preserve">ive pricing for most </w:t>
      </w:r>
      <w:r w:rsidR="00B0331F">
        <w:rPr>
          <w:rFonts w:cstheme="minorHAnsi"/>
        </w:rPr>
        <w:t xml:space="preserve">of the </w:t>
      </w:r>
      <w:r>
        <w:rPr>
          <w:rFonts w:cstheme="minorHAnsi"/>
        </w:rPr>
        <w:t xml:space="preserve">contract scope at contract </w:t>
      </w:r>
      <w:r w:rsidRPr="6DFE355B">
        <w:t>award</w:t>
      </w:r>
      <w:r>
        <w:rPr>
          <w:rFonts w:cstheme="minorHAnsi"/>
        </w:rPr>
        <w:t xml:space="preserve">, </w:t>
      </w:r>
      <w:r w:rsidRPr="009A12A5">
        <w:rPr>
          <w:rFonts w:cstheme="minorHAnsi"/>
        </w:rPr>
        <w:t>balance</w:t>
      </w:r>
      <w:r>
        <w:rPr>
          <w:rFonts w:cstheme="minorHAnsi"/>
        </w:rPr>
        <w:t>d</w:t>
      </w:r>
      <w:r w:rsidRPr="009A12A5">
        <w:rPr>
          <w:rFonts w:cstheme="minorHAnsi"/>
        </w:rPr>
        <w:t xml:space="preserve"> </w:t>
      </w:r>
      <w:r>
        <w:rPr>
          <w:rFonts w:cstheme="minorHAnsi"/>
        </w:rPr>
        <w:t>with</w:t>
      </w:r>
      <w:r w:rsidRPr="009A12A5">
        <w:rPr>
          <w:rFonts w:cstheme="minorHAnsi"/>
        </w:rPr>
        <w:t xml:space="preserve"> appropriate risk </w:t>
      </w:r>
      <w:r w:rsidRPr="00D61FA8">
        <w:t xml:space="preserve">allocation and </w:t>
      </w:r>
      <w:r w:rsidRPr="009D67C2">
        <w:t>performance</w:t>
      </w:r>
      <w:r w:rsidRPr="00D61FA8">
        <w:t xml:space="preserve"> incentives</w:t>
      </w:r>
      <w:r w:rsidRPr="009A12A5">
        <w:rPr>
          <w:rFonts w:cstheme="minorHAnsi"/>
        </w:rPr>
        <w:t>, with a more collaborative style of contracting</w:t>
      </w:r>
      <w:r>
        <w:rPr>
          <w:rFonts w:cstheme="minorHAnsi"/>
        </w:rPr>
        <w:t xml:space="preserve">. This </w:t>
      </w:r>
      <w:r w:rsidRPr="009A12A5">
        <w:rPr>
          <w:rFonts w:cstheme="minorHAnsi"/>
        </w:rPr>
        <w:t>involv</w:t>
      </w:r>
      <w:r>
        <w:rPr>
          <w:rFonts w:cstheme="minorHAnsi"/>
        </w:rPr>
        <w:t>es</w:t>
      </w:r>
      <w:r w:rsidRPr="009A12A5">
        <w:rPr>
          <w:rFonts w:cstheme="minorHAnsi"/>
        </w:rPr>
        <w:t xml:space="preserve"> a staged approach to scoping, design and pricing risk</w:t>
      </w:r>
      <w:r>
        <w:rPr>
          <w:rFonts w:cstheme="minorHAnsi"/>
        </w:rPr>
        <w:t xml:space="preserve">, while providing </w:t>
      </w:r>
      <w:r w:rsidRPr="009A12A5">
        <w:rPr>
          <w:rFonts w:cstheme="minorHAnsi"/>
        </w:rPr>
        <w:t>cost transparency</w:t>
      </w:r>
      <w:r>
        <w:rPr>
          <w:rFonts w:cstheme="minorHAnsi"/>
        </w:rPr>
        <w:t>.</w:t>
      </w:r>
    </w:p>
    <w:p w14:paraId="4CCC520D" w14:textId="52891ED5" w:rsidR="00E86A1C" w:rsidRDefault="00E86A1C" w:rsidP="00834461">
      <w:pPr>
        <w:pStyle w:val="NormalIndent"/>
        <w:rPr>
          <w:rFonts w:cstheme="minorHAnsi"/>
        </w:rPr>
      </w:pPr>
      <w:r>
        <w:t xml:space="preserve">The enhanced D&amp;C model offers a robust alternative to cost reimbursable contracting models such as project alliances or incentivised target cost (ITC) models where a significant portion of project risks are retained by </w:t>
      </w:r>
      <w:r w:rsidR="00630025">
        <w:t>the Government</w:t>
      </w:r>
      <w:r>
        <w:t>.</w:t>
      </w:r>
    </w:p>
    <w:p w14:paraId="5574AACB" w14:textId="77777777" w:rsidR="004E1D40" w:rsidRPr="001F6C75" w:rsidRDefault="004E1D40" w:rsidP="00834461">
      <w:pPr>
        <w:pStyle w:val="NormalIndent"/>
        <w:rPr>
          <w:rFonts w:cstheme="minorHAnsi"/>
        </w:rPr>
      </w:pPr>
      <w:r w:rsidRPr="009A12A5">
        <w:rPr>
          <w:rFonts w:cstheme="minorHAnsi"/>
        </w:rPr>
        <w:t>Key anticipated benefits include:</w:t>
      </w:r>
    </w:p>
    <w:p w14:paraId="77C90110" w14:textId="77777777" w:rsidR="004E1D40" w:rsidRPr="009A12A5" w:rsidRDefault="004E1D40" w:rsidP="001D2615">
      <w:pPr>
        <w:pStyle w:val="Bulletindent"/>
      </w:pPr>
      <w:r>
        <w:t>a greater and earlier focus on scoping, design, costing and risk assessment</w:t>
      </w:r>
    </w:p>
    <w:p w14:paraId="709AAA18" w14:textId="7170C43E" w:rsidR="004E1D40" w:rsidRPr="00613FF0" w:rsidRDefault="004E1D40" w:rsidP="001D2615">
      <w:pPr>
        <w:pStyle w:val="Bulletindent"/>
      </w:pPr>
      <w:r>
        <w:t xml:space="preserve">a staged procurement approach that </w:t>
      </w:r>
      <w:r w:rsidR="00F355B1">
        <w:t xml:space="preserve">provides </w:t>
      </w:r>
      <w:r>
        <w:t>more time to explore and cost specified key risks (</w:t>
      </w:r>
      <w:r w:rsidR="00E86A1C">
        <w:t>such as</w:t>
      </w:r>
      <w:r w:rsidR="00620E90">
        <w:t xml:space="preserve"> </w:t>
      </w:r>
      <w:r>
        <w:t>contamination</w:t>
      </w:r>
      <w:r w:rsidR="00E86A1C">
        <w:t>).</w:t>
      </w:r>
    </w:p>
    <w:p w14:paraId="51C22F35" w14:textId="77777777" w:rsidR="004E1D40" w:rsidRPr="00421D37" w:rsidRDefault="004E1D40" w:rsidP="001D2615">
      <w:pPr>
        <w:pStyle w:val="Heading4numbered"/>
      </w:pPr>
      <w:r w:rsidRPr="00421D37">
        <w:t>Points to consider</w:t>
      </w:r>
    </w:p>
    <w:p w14:paraId="0E5CB45F" w14:textId="2352265B" w:rsidR="00463B59" w:rsidRPr="007D457B" w:rsidRDefault="00E87438" w:rsidP="00834461">
      <w:pPr>
        <w:pStyle w:val="NormalIndent"/>
      </w:pPr>
      <w:r>
        <w:t xml:space="preserve">The enhanced D&amp;C </w:t>
      </w:r>
      <w:r w:rsidR="00F355B1">
        <w:t xml:space="preserve">model </w:t>
      </w:r>
      <w:r>
        <w:t>is similar to the</w:t>
      </w:r>
      <w:r w:rsidR="00463B59">
        <w:t xml:space="preserve"> D&amp;C</w:t>
      </w:r>
      <w:r w:rsidR="00F355B1">
        <w:t xml:space="preserve"> model</w:t>
      </w:r>
      <w:r>
        <w:t>, but</w:t>
      </w:r>
      <w:r w:rsidR="00463B59">
        <w:t xml:space="preserve"> with the addition of requiring a sophisticated client capable of ensuring VfM outcomes, as they may have to manage a TOC process for the contamination regime.</w:t>
      </w:r>
    </w:p>
    <w:p w14:paraId="287C7E49" w14:textId="3D6E218F" w:rsidR="004E1D40" w:rsidRPr="00421D37" w:rsidRDefault="004E1D40" w:rsidP="001D2615">
      <w:pPr>
        <w:pStyle w:val="Heading4numbered"/>
      </w:pPr>
      <w:r w:rsidRPr="00421D37">
        <w:t>Authorised contracts</w:t>
      </w:r>
      <w:r w:rsidR="00DC350B">
        <w:rPr>
          <w:rFonts w:ascii="ZWAdobeF" w:hAnsi="ZWAdobeF" w:cs="ZWAdobeF"/>
          <w:color w:val="auto"/>
          <w:sz w:val="2"/>
          <w:szCs w:val="2"/>
        </w:rPr>
        <w:t>5F</w:t>
      </w:r>
      <w:r w:rsidRPr="12332228">
        <w:rPr>
          <w:rStyle w:val="FootnoteReference"/>
        </w:rPr>
        <w:footnoteReference w:id="7"/>
      </w:r>
    </w:p>
    <w:p w14:paraId="6D487D6D" w14:textId="77777777" w:rsidR="004E1D40" w:rsidRPr="00D67841" w:rsidRDefault="004E1D40" w:rsidP="00834461">
      <w:pPr>
        <w:pStyle w:val="NormalIndent"/>
      </w:pPr>
      <w:r w:rsidRPr="00D67841">
        <w:t>Standard form contracts:</w:t>
      </w:r>
    </w:p>
    <w:p w14:paraId="2F352E75" w14:textId="5779EEF2" w:rsidR="004E1D40" w:rsidRPr="005678E3" w:rsidRDefault="004E1D40" w:rsidP="001D2615">
      <w:pPr>
        <w:pStyle w:val="Bulletindent"/>
      </w:pPr>
      <w:r w:rsidRPr="005678E3">
        <w:t>DTF Enhanced Design and Construct Deed</w:t>
      </w:r>
      <w:r w:rsidR="00D67841">
        <w:t xml:space="preserve"> (available on</w:t>
      </w:r>
      <w:r w:rsidR="00EA00EA">
        <w:t xml:space="preserve"> </w:t>
      </w:r>
      <w:r w:rsidR="001C0CEE">
        <w:t xml:space="preserve">the </w:t>
      </w:r>
      <w:r w:rsidR="001C0CEE" w:rsidRPr="003E1903">
        <w:t xml:space="preserve">DTF </w:t>
      </w:r>
      <w:hyperlink r:id="rId119" w:history="1">
        <w:r w:rsidR="001C0CEE" w:rsidRPr="001C0CEE">
          <w:rPr>
            <w:rStyle w:val="Hyperlink"/>
          </w:rPr>
          <w:t>Lum Sum Procurement Category</w:t>
        </w:r>
      </w:hyperlink>
      <w:r w:rsidR="001C0CEE" w:rsidRPr="003E1903">
        <w:t xml:space="preserve"> webpage</w:t>
      </w:r>
      <w:r w:rsidR="00D67841">
        <w:t>)</w:t>
      </w:r>
    </w:p>
    <w:p w14:paraId="26440FF4" w14:textId="77777777" w:rsidR="004E1D40" w:rsidRPr="00421D37" w:rsidRDefault="004E1D40" w:rsidP="001D2615">
      <w:pPr>
        <w:pStyle w:val="Heading4numbered"/>
      </w:pPr>
      <w:r w:rsidRPr="00421D37">
        <w:t>Supporting resources</w:t>
      </w:r>
    </w:p>
    <w:p w14:paraId="3B7E9BEE" w14:textId="696B9C99" w:rsidR="004E1D40" w:rsidRPr="005678E3" w:rsidRDefault="6B897D73" w:rsidP="00834461">
      <w:pPr>
        <w:pStyle w:val="NormalIndent"/>
      </w:pPr>
      <w:r w:rsidRPr="005678E3">
        <w:t>Lump Sum Procurement Requirements</w:t>
      </w:r>
    </w:p>
    <w:p w14:paraId="12A76DB9" w14:textId="21D3CD6C" w:rsidR="004E1D40" w:rsidRPr="005678E3" w:rsidRDefault="004E1D40" w:rsidP="001D2615">
      <w:pPr>
        <w:pStyle w:val="Bulletindent"/>
      </w:pPr>
      <w:r w:rsidRPr="005678E3">
        <w:t>DTF Enhanced Design and Construct Deed – Commercial Principles</w:t>
      </w:r>
    </w:p>
    <w:p w14:paraId="78F8C81A" w14:textId="6824F346" w:rsidR="005F5B70" w:rsidRPr="00171CF8" w:rsidRDefault="004E1D40" w:rsidP="001D2615">
      <w:pPr>
        <w:pStyle w:val="Bulletindent"/>
        <w:keepLines w:val="0"/>
        <w:spacing w:before="0" w:after="200" w:line="276" w:lineRule="auto"/>
        <w:rPr>
          <w:rFonts w:eastAsia="Calibri Light"/>
        </w:rPr>
      </w:pPr>
      <w:r>
        <w:t xml:space="preserve">DTF Enhanced Design and Construct Guidance </w:t>
      </w:r>
      <w:r w:rsidR="00724275">
        <w:t>Notes</w:t>
      </w:r>
      <w:r w:rsidR="001C49A6">
        <w:t xml:space="preserve"> </w:t>
      </w:r>
      <w:r w:rsidR="00171928">
        <w:t>(</w:t>
      </w:r>
      <w:r w:rsidR="001C49A6">
        <w:t>available on</w:t>
      </w:r>
      <w:r w:rsidR="0023004E">
        <w:t xml:space="preserve"> the</w:t>
      </w:r>
      <w:r w:rsidR="001C49A6">
        <w:t xml:space="preserve"> </w:t>
      </w:r>
      <w:r w:rsidR="001C0CEE" w:rsidRPr="003E1903">
        <w:t xml:space="preserve">DTF </w:t>
      </w:r>
      <w:hyperlink r:id="rId120" w:history="1">
        <w:r w:rsidR="001C0CEE" w:rsidRPr="001C0CEE">
          <w:rPr>
            <w:rStyle w:val="Hyperlink"/>
          </w:rPr>
          <w:t>Lump Sum Procurement Category</w:t>
        </w:r>
      </w:hyperlink>
      <w:r w:rsidR="001C0CEE" w:rsidRPr="003E1903">
        <w:t xml:space="preserve"> webpage</w:t>
      </w:r>
      <w:r w:rsidR="001C49A6">
        <w:t>)</w:t>
      </w:r>
      <w:r w:rsidR="00865DCB">
        <w:t>.</w:t>
      </w:r>
    </w:p>
    <w:p w14:paraId="642B9A56" w14:textId="5F3A8396" w:rsidR="004E1D40" w:rsidRPr="00421D37" w:rsidRDefault="004E1D40" w:rsidP="001D2615">
      <w:pPr>
        <w:pStyle w:val="Heading2numbered"/>
        <w:rPr>
          <w:rFonts w:eastAsia="Times New Roman"/>
        </w:rPr>
      </w:pPr>
      <w:bookmarkStart w:id="335" w:name="_Toc161321765"/>
      <w:r w:rsidRPr="00421D37">
        <w:rPr>
          <w:rFonts w:eastAsia="Times New Roman"/>
        </w:rPr>
        <w:t xml:space="preserve">Cost </w:t>
      </w:r>
      <w:r w:rsidR="001623B6" w:rsidRPr="00421D37">
        <w:rPr>
          <w:rFonts w:eastAsia="Times New Roman"/>
        </w:rPr>
        <w:t xml:space="preserve">reimbursable </w:t>
      </w:r>
      <w:r w:rsidRPr="00421D37">
        <w:rPr>
          <w:rFonts w:eastAsia="Times New Roman"/>
        </w:rPr>
        <w:t>models</w:t>
      </w:r>
      <w:bookmarkEnd w:id="330"/>
      <w:bookmarkEnd w:id="335"/>
    </w:p>
    <w:p w14:paraId="54BA6EBD" w14:textId="77777777" w:rsidR="004E1D40" w:rsidRPr="00421D37" w:rsidRDefault="004E1D40" w:rsidP="00834461">
      <w:pPr>
        <w:pStyle w:val="NormalIndent"/>
      </w:pPr>
      <w:r>
        <w:t>C</w:t>
      </w:r>
      <w:r w:rsidRPr="00421D37">
        <w:t>ost reimbursable procurement models</w:t>
      </w:r>
      <w:r>
        <w:t xml:space="preserve"> include</w:t>
      </w:r>
      <w:r w:rsidRPr="00421D37">
        <w:t>:</w:t>
      </w:r>
    </w:p>
    <w:p w14:paraId="0F372DBE" w14:textId="53799613" w:rsidR="00FF100D" w:rsidRPr="00421D37" w:rsidRDefault="00FF100D" w:rsidP="001D2615">
      <w:pPr>
        <w:pStyle w:val="Bulletindent"/>
      </w:pPr>
      <w:r>
        <w:t>managing contractor</w:t>
      </w:r>
      <w:r w:rsidR="009C72FA">
        <w:t xml:space="preserve"> (MC)</w:t>
      </w:r>
    </w:p>
    <w:p w14:paraId="52E286C6" w14:textId="0D08260A" w:rsidR="00FF100D" w:rsidRPr="00421D37" w:rsidRDefault="00FF100D" w:rsidP="001D2615">
      <w:pPr>
        <w:pStyle w:val="Bulletindent"/>
      </w:pPr>
      <w:r>
        <w:t>ITC</w:t>
      </w:r>
    </w:p>
    <w:p w14:paraId="57592EF9" w14:textId="77777777" w:rsidR="00FF100D" w:rsidRPr="00421D37" w:rsidRDefault="00FF100D" w:rsidP="001D2615">
      <w:pPr>
        <w:pStyle w:val="Bulletindent"/>
      </w:pPr>
      <w:r>
        <w:t>alliance.</w:t>
      </w:r>
    </w:p>
    <w:p w14:paraId="136BE685" w14:textId="77777777" w:rsidR="004E1D40" w:rsidRPr="00421D37" w:rsidRDefault="004E1D40" w:rsidP="00834461">
      <w:pPr>
        <w:pStyle w:val="NormalIndent"/>
      </w:pPr>
      <w:r w:rsidRPr="00421D37">
        <w:t>Cost reimbursable procurement models typically feature:</w:t>
      </w:r>
    </w:p>
    <w:p w14:paraId="2D772A8C" w14:textId="77777777" w:rsidR="004E1D40" w:rsidRPr="00421D37" w:rsidRDefault="004E1D40" w:rsidP="001D2615">
      <w:pPr>
        <w:pStyle w:val="Bulletindent"/>
      </w:pPr>
      <w:r>
        <w:t>payment by reimbursable cost (in part or in full)</w:t>
      </w:r>
    </w:p>
    <w:p w14:paraId="4FA81978" w14:textId="77777777" w:rsidR="004E1D40" w:rsidRPr="00421D37" w:rsidRDefault="004E1D40" w:rsidP="001D2615">
      <w:pPr>
        <w:pStyle w:val="Bulletindent"/>
      </w:pPr>
      <w:r>
        <w:t>payment of fixed or percentage-based margin for contractor overheads and profit</w:t>
      </w:r>
    </w:p>
    <w:p w14:paraId="7EE5FDE9" w14:textId="669568B2" w:rsidR="004E1D40" w:rsidRPr="00421D37" w:rsidRDefault="004E1D40" w:rsidP="001D2615">
      <w:pPr>
        <w:pStyle w:val="Bulletindent"/>
      </w:pPr>
      <w:r>
        <w:t>commercial frameworks between the agency and contractor to share risks and opportunities in project delivery</w:t>
      </w:r>
    </w:p>
    <w:p w14:paraId="584AD45F" w14:textId="6E9E24B3" w:rsidR="004E1D40" w:rsidRDefault="004E1D40" w:rsidP="001D2615">
      <w:pPr>
        <w:pStyle w:val="Bulletindent"/>
      </w:pPr>
      <w:r>
        <w:t>incentive</w:t>
      </w:r>
      <w:r w:rsidR="00533551">
        <w:t>-</w:t>
      </w:r>
      <w:r>
        <w:t>based performance regimes for selected key performance criteria</w:t>
      </w:r>
    </w:p>
    <w:p w14:paraId="49C21CC0" w14:textId="18292E1F" w:rsidR="00FF100D" w:rsidRPr="000B66D8" w:rsidRDefault="00FF100D" w:rsidP="001D2615">
      <w:pPr>
        <w:pStyle w:val="Bulletindent"/>
      </w:pPr>
      <w:r w:rsidRPr="000B66D8">
        <w:t xml:space="preserve">a competitive tender process to select a suitable contractor based on non-price criteria, fixed or percentage-based contractor corporate overheads and profit and a competitive </w:t>
      </w:r>
      <w:r w:rsidR="00C56F3D">
        <w:t>TOC</w:t>
      </w:r>
      <w:r w:rsidRPr="000B66D8">
        <w:t xml:space="preserve"> development process (where appropriate)</w:t>
      </w:r>
    </w:p>
    <w:p w14:paraId="36D5BC3B" w14:textId="45963CF0" w:rsidR="004E1D40" w:rsidRPr="00421D37" w:rsidRDefault="130002C0" w:rsidP="001D2615">
      <w:pPr>
        <w:pStyle w:val="Bulletindent"/>
      </w:pPr>
      <w:r>
        <w:t xml:space="preserve">elements of </w:t>
      </w:r>
      <w:r w:rsidR="7F08602B">
        <w:t xml:space="preserve">greater </w:t>
      </w:r>
      <w:r>
        <w:t>cost transparency</w:t>
      </w:r>
      <w:r w:rsidR="5DBC936E">
        <w:t xml:space="preserve"> and use of </w:t>
      </w:r>
      <w:r w:rsidR="007234AD">
        <w:t>open-book</w:t>
      </w:r>
      <w:r w:rsidR="5DBC936E">
        <w:t xml:space="preserve"> arrangements</w:t>
      </w:r>
      <w:r>
        <w:t>.</w:t>
      </w:r>
    </w:p>
    <w:p w14:paraId="40A2EC0A" w14:textId="5DEE426E" w:rsidR="004E1D40" w:rsidRPr="00421D37" w:rsidRDefault="130002C0" w:rsidP="00834461">
      <w:pPr>
        <w:pStyle w:val="NormalIndent"/>
      </w:pPr>
      <w:r>
        <w:t xml:space="preserve">Cost reimbursable contracting recognises that there are certain risks </w:t>
      </w:r>
      <w:r w:rsidR="00DB59F1">
        <w:t xml:space="preserve">that </w:t>
      </w:r>
      <w:r>
        <w:t>cannot be effectively priced or programmed on a fixed basis</w:t>
      </w:r>
      <w:r w:rsidR="00FF100D" w:rsidRPr="000B66D8">
        <w:t xml:space="preserve"> and should not be fully allocated to the contractor. </w:t>
      </w:r>
      <w:r w:rsidR="00AF372A">
        <w:t>Remaining r</w:t>
      </w:r>
      <w:r>
        <w:t>isks</w:t>
      </w:r>
      <w:r w:rsidR="00FF100D" w:rsidRPr="000B66D8">
        <w:t xml:space="preserve"> </w:t>
      </w:r>
      <w:r>
        <w:t>can still be effectively allocated to the party best able to manage them</w:t>
      </w:r>
      <w:r w:rsidR="230A3BE7">
        <w:t>.</w:t>
      </w:r>
    </w:p>
    <w:p w14:paraId="454615D9" w14:textId="77777777" w:rsidR="004E1D40" w:rsidRPr="00421D37" w:rsidRDefault="004E1D40" w:rsidP="00171CF8">
      <w:pPr>
        <w:pStyle w:val="NormalIndent"/>
        <w:keepNext/>
      </w:pPr>
      <w:r w:rsidRPr="00421D37">
        <w:t>Cost reimbursable procurement models are well suited to projects where:</w:t>
      </w:r>
    </w:p>
    <w:p w14:paraId="2CC0F3FC" w14:textId="1B0C2C4B" w:rsidR="004E1D40" w:rsidRPr="00421D37" w:rsidRDefault="004E1D40" w:rsidP="001D2615">
      <w:pPr>
        <w:pStyle w:val="Bulletindent"/>
      </w:pPr>
      <w:r>
        <w:t>there are scope and outputs that cannot be reasonably and adequately defined in the business case or during subsequent work before tendering</w:t>
      </w:r>
    </w:p>
    <w:p w14:paraId="015CCF56" w14:textId="72A2CD2D" w:rsidR="004E1D40" w:rsidRDefault="004E1D40" w:rsidP="001D2615">
      <w:pPr>
        <w:pStyle w:val="Bulletindent"/>
      </w:pPr>
      <w:r>
        <w:t>there is a need for flexibility, for example</w:t>
      </w:r>
      <w:r w:rsidR="002D2C83">
        <w:t>,</w:t>
      </w:r>
      <w:r>
        <w:t xml:space="preserve"> in scheduling or programming</w:t>
      </w:r>
    </w:p>
    <w:p w14:paraId="608ABFFA" w14:textId="03E20C8D" w:rsidR="00FF100D" w:rsidRDefault="00FF100D" w:rsidP="001D2615">
      <w:pPr>
        <w:pStyle w:val="Bulletindent"/>
      </w:pPr>
      <w:r>
        <w:t xml:space="preserve">delivery agencies have or </w:t>
      </w:r>
      <w:r w:rsidRPr="00B903DD">
        <w:t xml:space="preserve">can access </w:t>
      </w:r>
      <w:r w:rsidR="002D2C83">
        <w:t xml:space="preserve">the </w:t>
      </w:r>
      <w:r w:rsidRPr="00B903DD">
        <w:t>necessary expertise and resources to effectively manage and deliver these projects</w:t>
      </w:r>
    </w:p>
    <w:p w14:paraId="3B4E8323" w14:textId="63C6777A" w:rsidR="005F5B70" w:rsidRDefault="00FF100D" w:rsidP="001D2615">
      <w:pPr>
        <w:pStyle w:val="Bulletindent"/>
        <w:keepLines w:val="0"/>
        <w:spacing w:before="0" w:after="200" w:line="276" w:lineRule="auto"/>
        <w:rPr>
          <w:rFonts w:eastAsia="Calibri Light" w:cs="Tahoma"/>
        </w:rPr>
      </w:pPr>
      <w:r>
        <w:t>increased input and collaboration of key stakeholders is required throughout the project.</w:t>
      </w:r>
    </w:p>
    <w:p w14:paraId="2E604FDD" w14:textId="5FDF7464" w:rsidR="004E1D40" w:rsidRPr="00421D37" w:rsidRDefault="130002C0" w:rsidP="001D2615">
      <w:pPr>
        <w:pStyle w:val="Heading3numbered"/>
      </w:pPr>
      <w:bookmarkStart w:id="336" w:name="_Toc124245441"/>
      <w:r w:rsidRPr="00421D37">
        <w:t xml:space="preserve">Managing </w:t>
      </w:r>
      <w:r w:rsidR="003637DC">
        <w:t>c</w:t>
      </w:r>
      <w:r w:rsidRPr="00421D37">
        <w:t>ontractor</w:t>
      </w:r>
      <w:r w:rsidR="00DC350B">
        <w:rPr>
          <w:rFonts w:ascii="ZWAdobeF" w:hAnsi="ZWAdobeF" w:cs="ZWAdobeF"/>
          <w:color w:val="auto"/>
          <w:sz w:val="2"/>
          <w:szCs w:val="2"/>
        </w:rPr>
        <w:t>6F</w:t>
      </w:r>
      <w:r w:rsidR="004E1D40">
        <w:rPr>
          <w:rStyle w:val="FootnoteReference"/>
        </w:rPr>
        <w:footnoteReference w:id="8"/>
      </w:r>
      <w:bookmarkEnd w:id="336"/>
    </w:p>
    <w:p w14:paraId="3FE4A13C" w14:textId="57AD904F" w:rsidR="004E1D40" w:rsidRPr="00421D37" w:rsidRDefault="004E1D40" w:rsidP="001D2615">
      <w:pPr>
        <w:pStyle w:val="Heading4numbered"/>
      </w:pPr>
      <w:bookmarkStart w:id="337" w:name="_Toc124245442"/>
      <w:r w:rsidRPr="00421D37">
        <w:t>Key features</w:t>
      </w:r>
      <w:bookmarkEnd w:id="337"/>
    </w:p>
    <w:p w14:paraId="0FA2A0A1" w14:textId="0CDE5D7E" w:rsidR="00E011CD" w:rsidRPr="00CE6AF1" w:rsidRDefault="00E65918" w:rsidP="00834461">
      <w:pPr>
        <w:pStyle w:val="NormalIndent"/>
        <w:rPr>
          <w:rFonts w:eastAsia="MS Mincho"/>
        </w:rPr>
      </w:pPr>
      <w:bookmarkStart w:id="338" w:name="_Hlk131510343"/>
      <w:r>
        <w:t>In</w:t>
      </w:r>
      <w:r w:rsidRPr="00CE6AF1">
        <w:t xml:space="preserve"> </w:t>
      </w:r>
      <w:r w:rsidR="00E011CD" w:rsidRPr="00CE6AF1">
        <w:t xml:space="preserve">the </w:t>
      </w:r>
      <w:r w:rsidR="00182FD8">
        <w:t xml:space="preserve">MC </w:t>
      </w:r>
      <w:r w:rsidR="00E011CD" w:rsidRPr="00CE6AF1">
        <w:t>procurement model the agency engages a</w:t>
      </w:r>
      <w:r w:rsidR="009C72FA">
        <w:t xml:space="preserve">n MC </w:t>
      </w:r>
      <w:r w:rsidR="00E011CD" w:rsidRPr="00CE6AF1">
        <w:t>who is responsible for all aspects of project delivery, including managing the completion of design and construction documentation and tendering and awarding trade packages.</w:t>
      </w:r>
    </w:p>
    <w:p w14:paraId="6CF8FDDA" w14:textId="49B562AB" w:rsidR="00E011CD" w:rsidRPr="00257C16" w:rsidRDefault="00E011CD" w:rsidP="00834461">
      <w:pPr>
        <w:pStyle w:val="NormalIndent"/>
      </w:pPr>
      <w:r>
        <w:t>Prior to engaging the MC, t</w:t>
      </w:r>
      <w:r w:rsidRPr="00257C16">
        <w:t xml:space="preserve">he agency develops a project brief, preliminary design, </w:t>
      </w:r>
      <w:r>
        <w:t>t</w:t>
      </w:r>
      <w:r w:rsidRPr="00257C16">
        <w:t xml:space="preserve">arget </w:t>
      </w:r>
      <w:r>
        <w:t>c</w:t>
      </w:r>
      <w:r w:rsidRPr="00257C16">
        <w:t xml:space="preserve">onstruction </w:t>
      </w:r>
      <w:r>
        <w:t>c</w:t>
      </w:r>
      <w:r w:rsidRPr="00257C16">
        <w:t xml:space="preserve">ost (TCC) and </w:t>
      </w:r>
      <w:r>
        <w:t>t</w:t>
      </w:r>
      <w:r w:rsidRPr="00257C16">
        <w:t xml:space="preserve">arget </w:t>
      </w:r>
      <w:r>
        <w:t>d</w:t>
      </w:r>
      <w:r w:rsidRPr="00257C16">
        <w:t xml:space="preserve">ate(s) for completion. The project is competitively tendered, </w:t>
      </w:r>
      <w:r w:rsidR="00405624">
        <w:t>and</w:t>
      </w:r>
      <w:r w:rsidR="00405624" w:rsidRPr="00257C16">
        <w:t xml:space="preserve"> </w:t>
      </w:r>
      <w:r w:rsidRPr="00257C16">
        <w:t xml:space="preserve">the </w:t>
      </w:r>
      <w:r w:rsidR="00405624">
        <w:t xml:space="preserve">MC is </w:t>
      </w:r>
      <w:r w:rsidRPr="00257C16">
        <w:t>appointed based on relevant experience, key project team members, management fees, overhead</w:t>
      </w:r>
      <w:r>
        <w:t xml:space="preserve"> and </w:t>
      </w:r>
      <w:r w:rsidRPr="00257C16">
        <w:t>profit and</w:t>
      </w:r>
      <w:r w:rsidR="00E87438">
        <w:t>,</w:t>
      </w:r>
      <w:r w:rsidRPr="00257C16">
        <w:t xml:space="preserve"> in some instances</w:t>
      </w:r>
      <w:r>
        <w:t>,</w:t>
      </w:r>
      <w:r w:rsidRPr="00257C16">
        <w:t xml:space="preserve"> risk pricing.</w:t>
      </w:r>
    </w:p>
    <w:bookmarkEnd w:id="338"/>
    <w:p w14:paraId="272F8B55" w14:textId="10D3D475" w:rsidR="004E1D40" w:rsidRPr="00257C16" w:rsidRDefault="004E1D40" w:rsidP="00834461">
      <w:pPr>
        <w:pStyle w:val="NormalIndent"/>
      </w:pPr>
      <w:r w:rsidRPr="00257C16">
        <w:t xml:space="preserve">The </w:t>
      </w:r>
      <w:r>
        <w:t>MC</w:t>
      </w:r>
      <w:r w:rsidRPr="00257C16">
        <w:t xml:space="preserve"> is </w:t>
      </w:r>
      <w:r w:rsidR="00E011CD">
        <w:t>typically</w:t>
      </w:r>
      <w:r w:rsidR="00E011CD" w:rsidRPr="00257C16">
        <w:t xml:space="preserve"> </w:t>
      </w:r>
      <w:r w:rsidRPr="00257C16">
        <w:t xml:space="preserve">responsible for procuring subcontractors to facilitate project works </w:t>
      </w:r>
      <w:r w:rsidR="00FE64BE">
        <w:t>for</w:t>
      </w:r>
      <w:r w:rsidR="00FE64BE" w:rsidRPr="00257C16">
        <w:t xml:space="preserve"> </w:t>
      </w:r>
      <w:r w:rsidRPr="00257C16">
        <w:t xml:space="preserve">a </w:t>
      </w:r>
      <w:r w:rsidR="00E011CD">
        <w:t>g</w:t>
      </w:r>
      <w:r w:rsidR="00E011CD" w:rsidRPr="00257C16">
        <w:t xml:space="preserve">uaranteed </w:t>
      </w:r>
      <w:r w:rsidR="00E011CD">
        <w:t>c</w:t>
      </w:r>
      <w:r w:rsidR="00E011CD" w:rsidRPr="00257C16">
        <w:t xml:space="preserve">onstruction </w:t>
      </w:r>
      <w:r w:rsidR="00E011CD">
        <w:t>s</w:t>
      </w:r>
      <w:r w:rsidR="00E011CD" w:rsidRPr="00257C16">
        <w:t>um</w:t>
      </w:r>
      <w:r w:rsidRPr="00257C16">
        <w:t xml:space="preserve"> (GCS) with an agreed date for practical completion</w:t>
      </w:r>
      <w:r>
        <w:t>. The</w:t>
      </w:r>
      <w:r w:rsidR="00A908F4">
        <w:t>re are</w:t>
      </w:r>
      <w:r>
        <w:t xml:space="preserve"> two stages</w:t>
      </w:r>
      <w:r w:rsidR="00A908F4">
        <w:t>.</w:t>
      </w:r>
    </w:p>
    <w:p w14:paraId="66010E86" w14:textId="4E97274B" w:rsidR="004E1D40" w:rsidRPr="00257C16" w:rsidRDefault="004E1D40" w:rsidP="001D2615">
      <w:pPr>
        <w:pStyle w:val="Bulletindent"/>
      </w:pPr>
      <w:r w:rsidRPr="30306C04">
        <w:rPr>
          <w:b/>
          <w:bCs/>
          <w:color w:val="auto"/>
        </w:rPr>
        <w:t>Development phase (Stage One)</w:t>
      </w:r>
      <w:r w:rsidRPr="30306C04">
        <w:rPr>
          <w:color w:val="auto"/>
        </w:rPr>
        <w:t xml:space="preserve"> involves the MC progressing design (with </w:t>
      </w:r>
      <w:r w:rsidR="00982F01">
        <w:rPr>
          <w:color w:val="auto"/>
        </w:rPr>
        <w:t xml:space="preserve">the </w:t>
      </w:r>
      <w:r w:rsidRPr="30306C04">
        <w:rPr>
          <w:color w:val="auto"/>
        </w:rPr>
        <w:t xml:space="preserve">design team novated from the agency), preparing construction documentation, identifying and commencing early works and submitting an offer to </w:t>
      </w:r>
      <w:r w:rsidR="00630025">
        <w:rPr>
          <w:color w:val="auto"/>
        </w:rPr>
        <w:t>the Government</w:t>
      </w:r>
      <w:r w:rsidR="00E011CD" w:rsidRPr="30306C04">
        <w:rPr>
          <w:color w:val="auto"/>
        </w:rPr>
        <w:t xml:space="preserve"> for construction of the works. The </w:t>
      </w:r>
      <w:r w:rsidR="00E011CD">
        <w:t>offer</w:t>
      </w:r>
      <w:r w:rsidR="00E011CD" w:rsidRPr="30306C04">
        <w:rPr>
          <w:color w:val="auto"/>
        </w:rPr>
        <w:t xml:space="preserve"> typically includes a schedule with completion dates and a GCS</w:t>
      </w:r>
      <w:r w:rsidR="00DE2AD2">
        <w:rPr>
          <w:color w:val="auto"/>
        </w:rPr>
        <w:t xml:space="preserve"> (</w:t>
      </w:r>
      <w:r w:rsidR="00E011CD" w:rsidRPr="30306C04">
        <w:rPr>
          <w:color w:val="auto"/>
        </w:rPr>
        <w:t>the estimated cost of delivering the works</w:t>
      </w:r>
      <w:r w:rsidR="00AA517D">
        <w:rPr>
          <w:color w:val="auto"/>
        </w:rPr>
        <w:t>)</w:t>
      </w:r>
      <w:r w:rsidR="00E011CD">
        <w:rPr>
          <w:color w:val="auto"/>
        </w:rPr>
        <w:t>.</w:t>
      </w:r>
    </w:p>
    <w:p w14:paraId="519711EE" w14:textId="4BE7E519" w:rsidR="00E011CD" w:rsidRPr="00257C16" w:rsidRDefault="00E011CD" w:rsidP="001D2615">
      <w:pPr>
        <w:pStyle w:val="Bulletindent"/>
      </w:pPr>
      <w:r w:rsidRPr="30306C04">
        <w:rPr>
          <w:b/>
          <w:bCs/>
        </w:rPr>
        <w:t>Delivery phase (Stage Two)</w:t>
      </w:r>
      <w:r w:rsidR="00AA517D">
        <w:t xml:space="preserve"> proceeds from development phase</w:t>
      </w:r>
      <w:r w:rsidRPr="30306C04">
        <w:t xml:space="preserve">, where subject to acceptance of the GCS and program by </w:t>
      </w:r>
      <w:r w:rsidR="005B524B">
        <w:t>the Government</w:t>
      </w:r>
      <w:r w:rsidR="00AA517D">
        <w:t>.</w:t>
      </w:r>
      <w:r w:rsidRPr="30306C04">
        <w:t xml:space="preserve"> </w:t>
      </w:r>
      <w:r w:rsidR="00AA517D">
        <w:t>T</w:t>
      </w:r>
      <w:r w:rsidR="00AA517D" w:rsidRPr="30306C04">
        <w:t xml:space="preserve">he </w:t>
      </w:r>
      <w:r w:rsidRPr="30306C04">
        <w:t>contractor manag</w:t>
      </w:r>
      <w:r w:rsidR="00AA517D">
        <w:t>es</w:t>
      </w:r>
      <w:r w:rsidRPr="30306C04">
        <w:t xml:space="preserve"> delivery of the works including control, coordination, administration and direction of all activities on site through to completion </w:t>
      </w:r>
      <w:r w:rsidR="00CC7356">
        <w:t>and</w:t>
      </w:r>
      <w:r w:rsidRPr="30306C04">
        <w:t xml:space="preserve"> handover, including defect liability work</w:t>
      </w:r>
      <w:r>
        <w:t>/</w:t>
      </w:r>
      <w:r w:rsidRPr="30306C04">
        <w:t>rectification and commissioning on behalf of the project owner.</w:t>
      </w:r>
    </w:p>
    <w:p w14:paraId="2B97BCD7" w14:textId="1F911F2F" w:rsidR="004E1D40" w:rsidRPr="00257C16" w:rsidRDefault="00D75B01" w:rsidP="00171CF8">
      <w:pPr>
        <w:pStyle w:val="NormalIndent"/>
        <w:keepNext/>
      </w:pPr>
      <w:r>
        <w:t>T</w:t>
      </w:r>
      <w:r w:rsidRPr="00CE6AF1">
        <w:t xml:space="preserve">he </w:t>
      </w:r>
      <w:r>
        <w:t xml:space="preserve">MC </w:t>
      </w:r>
      <w:r w:rsidRPr="00CE6AF1">
        <w:t xml:space="preserve">procurement model </w:t>
      </w:r>
      <w:r>
        <w:t>has the following k</w:t>
      </w:r>
      <w:r w:rsidRPr="00257C16">
        <w:t xml:space="preserve">ey </w:t>
      </w:r>
      <w:r w:rsidR="004E1D40" w:rsidRPr="00257C16">
        <w:t>features:</w:t>
      </w:r>
    </w:p>
    <w:p w14:paraId="773454BA" w14:textId="5C5D8524" w:rsidR="00E011CD" w:rsidRPr="00E011CD" w:rsidRDefault="00E011CD" w:rsidP="001D2615">
      <w:pPr>
        <w:pStyle w:val="Bulletindent"/>
      </w:pPr>
      <w:r>
        <w:t xml:space="preserve">reimbursement for actual costs on an </w:t>
      </w:r>
      <w:r w:rsidR="007C7BD5">
        <w:t>open-book basis</w:t>
      </w:r>
      <w:r>
        <w:t xml:space="preserve"> plus fixed fees or a percentage </w:t>
      </w:r>
      <w:r w:rsidRPr="00E011CD">
        <w:t>amount for preliminaries, overheads and profit. The</w:t>
      </w:r>
      <w:r w:rsidR="00697FC1">
        <w:t xml:space="preserve"> </w:t>
      </w:r>
      <w:r w:rsidR="00300C2B">
        <w:t>MC</w:t>
      </w:r>
      <w:r w:rsidR="00697FC1" w:rsidRPr="00E011CD">
        <w:t xml:space="preserve"> </w:t>
      </w:r>
      <w:r w:rsidRPr="00E011CD">
        <w:t>may also receive additional incentivised payments though contract mechanisms that reward performance or achievement of specific key results areas (KRAs), for example, cost savings or innovation</w:t>
      </w:r>
    </w:p>
    <w:p w14:paraId="2DA34E7F" w14:textId="31A5FA17" w:rsidR="00E011CD" w:rsidRPr="00E011CD" w:rsidRDefault="00E011CD" w:rsidP="001D2615">
      <w:pPr>
        <w:pStyle w:val="Bulletindent"/>
      </w:pPr>
      <w:r w:rsidRPr="00E011CD">
        <w:t xml:space="preserve">management of design and construction risks, including program, by the MC, while their financial exposure is limited to the fee. The </w:t>
      </w:r>
      <w:r w:rsidR="00300C2B">
        <w:t>Government’</w:t>
      </w:r>
      <w:r w:rsidR="00300C2B" w:rsidRPr="00E011CD">
        <w:t xml:space="preserve">s </w:t>
      </w:r>
      <w:r w:rsidRPr="00E011CD">
        <w:t>financial exposure is uncapped due to the cost reimbursable nature of the model. However, once the GCS is agreed, a fixed price for most scope items can be confirmed. Contractor liability caps can vary from project</w:t>
      </w:r>
      <w:r w:rsidR="005D2383">
        <w:t xml:space="preserve"> </w:t>
      </w:r>
      <w:r w:rsidRPr="00E011CD">
        <w:t>to</w:t>
      </w:r>
      <w:r w:rsidR="005D2383">
        <w:t xml:space="preserve"> </w:t>
      </w:r>
      <w:r w:rsidRPr="00E011CD">
        <w:t>project</w:t>
      </w:r>
    </w:p>
    <w:p w14:paraId="6D071967" w14:textId="77777777" w:rsidR="00E011CD" w:rsidRPr="00183725" w:rsidRDefault="00E011CD" w:rsidP="001D2615">
      <w:pPr>
        <w:pStyle w:val="Bulletindent"/>
      </w:pPr>
      <w:r w:rsidRPr="00E011CD">
        <w:t>provision for liquidated damages to apply</w:t>
      </w:r>
      <w:r>
        <w:t xml:space="preserve"> if the contractor fails to meet the agreed completion date(s)</w:t>
      </w:r>
    </w:p>
    <w:p w14:paraId="697FDBC6" w14:textId="17CB34AD" w:rsidR="004E1D40" w:rsidRPr="003D3A29" w:rsidRDefault="004E1D40" w:rsidP="001D2615">
      <w:pPr>
        <w:pStyle w:val="Bulletindent"/>
      </w:pPr>
      <w:bookmarkStart w:id="339" w:name="_Hlk131585448"/>
      <w:r>
        <w:t>authority to approve subcontractor tenderers</w:t>
      </w:r>
      <w:r w:rsidR="00E011CD">
        <w:t xml:space="preserve"> </w:t>
      </w:r>
      <w:r w:rsidR="00E87438">
        <w:t xml:space="preserve">is </w:t>
      </w:r>
      <w:r w:rsidR="00E011CD">
        <w:t>retained by the agency. This ensures</w:t>
      </w:r>
      <w:r>
        <w:t xml:space="preserve"> a level of consultation and </w:t>
      </w:r>
      <w:r w:rsidR="00E011CD">
        <w:t>provides</w:t>
      </w:r>
      <w:r>
        <w:t xml:space="preserve"> reasonable</w:t>
      </w:r>
      <w:r w:rsidRPr="30306C04">
        <w:rPr>
          <w:color w:val="auto"/>
        </w:rPr>
        <w:t xml:space="preserve"> control over the design process</w:t>
      </w:r>
      <w:r w:rsidR="00E011CD" w:rsidRPr="30306C04">
        <w:rPr>
          <w:color w:val="auto"/>
        </w:rPr>
        <w:t xml:space="preserve"> and construction</w:t>
      </w:r>
      <w:r w:rsidR="00E011CD">
        <w:rPr>
          <w:color w:val="auto"/>
        </w:rPr>
        <w:t>,</w:t>
      </w:r>
      <w:r w:rsidRPr="30306C04">
        <w:rPr>
          <w:color w:val="auto"/>
        </w:rPr>
        <w:t xml:space="preserve"> where appropriate</w:t>
      </w:r>
      <w:r w:rsidR="00E011CD" w:rsidRPr="30306C04">
        <w:rPr>
          <w:color w:val="auto"/>
        </w:rPr>
        <w:t>.</w:t>
      </w:r>
      <w:bookmarkStart w:id="340" w:name="_Hlk131512216"/>
      <w:bookmarkEnd w:id="339"/>
    </w:p>
    <w:p w14:paraId="691F312A" w14:textId="2B9248D3" w:rsidR="004E1D40" w:rsidRDefault="004E1D40" w:rsidP="00171CF8">
      <w:pPr>
        <w:pStyle w:val="Captionindent"/>
      </w:pPr>
      <w:bookmarkStart w:id="341" w:name="_Toc145621479"/>
      <w:bookmarkStart w:id="342" w:name="_Toc145621608"/>
      <w:bookmarkStart w:id="343" w:name="_Toc160457784"/>
      <w:bookmarkStart w:id="344" w:name="_Ref120631407"/>
      <w:bookmarkEnd w:id="340"/>
      <w:r w:rsidRPr="00421D37">
        <w:t xml:space="preserve">Figure </w:t>
      </w:r>
      <w:r w:rsidRPr="00421D37">
        <w:fldChar w:fldCharType="begin"/>
      </w:r>
      <w:r w:rsidRPr="00421D37">
        <w:instrText>SEQ Figure \* ARABIC</w:instrText>
      </w:r>
      <w:r w:rsidRPr="00421D37">
        <w:fldChar w:fldCharType="separate"/>
      </w:r>
      <w:r w:rsidR="008A4B3E">
        <w:rPr>
          <w:noProof/>
        </w:rPr>
        <w:t>15</w:t>
      </w:r>
      <w:r w:rsidRPr="00421D37">
        <w:fldChar w:fldCharType="end"/>
      </w:r>
      <w:r w:rsidR="005504CB">
        <w:t xml:space="preserve"> – </w:t>
      </w:r>
      <w:r>
        <w:t xml:space="preserve">Managing </w:t>
      </w:r>
      <w:r w:rsidR="003637DC">
        <w:t>c</w:t>
      </w:r>
      <w:r>
        <w:t>ontractor</w:t>
      </w:r>
      <w:r w:rsidRPr="00421D37">
        <w:t xml:space="preserve"> structure</w:t>
      </w:r>
      <w:bookmarkEnd w:id="341"/>
      <w:bookmarkEnd w:id="342"/>
      <w:bookmarkEnd w:id="343"/>
    </w:p>
    <w:p w14:paraId="15CE240F" w14:textId="6623783C" w:rsidR="00766345" w:rsidRDefault="002E3FCF" w:rsidP="00834461">
      <w:pPr>
        <w:pStyle w:val="NormalIndent"/>
      </w:pPr>
      <w:r w:rsidRPr="002E3FCF">
        <w:rPr>
          <w:noProof/>
        </w:rPr>
        <w:drawing>
          <wp:inline distT="0" distB="0" distL="0" distR="0" wp14:anchorId="79C87EEB" wp14:editId="152FF369">
            <wp:extent cx="5190564" cy="2909844"/>
            <wp:effectExtent l="0" t="0" r="0" b="5080"/>
            <wp:docPr id="2107814488" name="Graphic 2107814488" descr="The figure relates to section 4.3.1 key features of managing contractor procurement (DTF’s preferred two stage model). It is a diagram showing the contractual structure of parties involved in managing contractor procurement over the project timeline from briefing, design (to agreed stage); tender for the managing contractor; stage 1: development; Guaranteed construction sum offer and acceptance; stage 2 deli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14488" name="Picture 2107814488" descr="The figure relates to section 4.3.1 key features of managing contractor procurement (DTF’s preferred two stage model). It is a diagram showing the contractual structure of parties involved in managing contractor procurement over the project timeline from briefing, design (to agreed stage); tender for the managing contractor; stage 1: development; Guaranteed construction sum offer and acceptance; stage 2 delivery. "/>
                    <pic:cNvPicPr/>
                  </pic:nvPicPr>
                  <pic:blipFill>
                    <a:blip r:embed="rId121" cstate="screen">
                      <a:extLst>
                        <a:ext uri="{28A0092B-C50C-407E-A947-70E740481C1C}">
                          <a14:useLocalDpi xmlns:a14="http://schemas.microsoft.com/office/drawing/2010/main"/>
                        </a:ext>
                        <a:ext uri="{96DAC541-7B7A-43D3-8B79-37D633B846F1}">
                          <asvg:svgBlip xmlns:asvg="http://schemas.microsoft.com/office/drawing/2016/SVG/main" r:embed="rId122"/>
                        </a:ext>
                      </a:extLst>
                    </a:blip>
                    <a:stretch>
                      <a:fillRect/>
                    </a:stretch>
                  </pic:blipFill>
                  <pic:spPr>
                    <a:xfrm>
                      <a:off x="0" y="0"/>
                      <a:ext cx="5202586" cy="2916584"/>
                    </a:xfrm>
                    <a:prstGeom prst="rect">
                      <a:avLst/>
                    </a:prstGeom>
                  </pic:spPr>
                </pic:pic>
              </a:graphicData>
            </a:graphic>
          </wp:inline>
        </w:drawing>
      </w:r>
    </w:p>
    <w:p w14:paraId="3255D72B" w14:textId="77777777" w:rsidR="00D8216C" w:rsidRPr="00421D37" w:rsidRDefault="00D8216C" w:rsidP="001D2615">
      <w:pPr>
        <w:pStyle w:val="Heading4numbered"/>
      </w:pPr>
      <w:r w:rsidRPr="00C802DF">
        <w:rPr>
          <w:rStyle w:val="Heading4Char"/>
        </w:rPr>
        <w:t>Model</w:t>
      </w:r>
      <w:r w:rsidRPr="00421D37">
        <w:t xml:space="preserve"> variants</w:t>
      </w:r>
    </w:p>
    <w:p w14:paraId="222C5C7F" w14:textId="7CD86475" w:rsidR="00D8216C" w:rsidRDefault="00D8216C" w:rsidP="00834461">
      <w:pPr>
        <w:pStyle w:val="NormalIndent"/>
      </w:pPr>
      <w:r w:rsidRPr="00947563">
        <w:t xml:space="preserve">The </w:t>
      </w:r>
      <w:r w:rsidR="00A8673A">
        <w:t>MC</w:t>
      </w:r>
      <w:r w:rsidRPr="00947563">
        <w:t xml:space="preserve"> procurement model is increasingly used for public construction in Victoria</w:t>
      </w:r>
      <w:r>
        <w:t>. However, it</w:t>
      </w:r>
      <w:r w:rsidRPr="00947563">
        <w:t xml:space="preserve"> has taken various forms across </w:t>
      </w:r>
      <w:r>
        <w:t xml:space="preserve">different </w:t>
      </w:r>
      <w:r w:rsidRPr="00947563">
        <w:t>delivery agencies.</w:t>
      </w:r>
      <w:r w:rsidRPr="00DA294A">
        <w:t xml:space="preserve"> </w:t>
      </w:r>
      <w:r w:rsidRPr="00947563">
        <w:t>DTF</w:t>
      </w:r>
      <w:r w:rsidR="00344D3F">
        <w:t>’</w:t>
      </w:r>
      <w:r w:rsidRPr="00947563">
        <w:t xml:space="preserve">s preferred two-stage </w:t>
      </w:r>
      <w:r w:rsidR="00C07892">
        <w:t>MC</w:t>
      </w:r>
      <w:r w:rsidRPr="00947563">
        <w:t xml:space="preserve"> approach</w:t>
      </w:r>
      <w:r>
        <w:t xml:space="preserve"> is outlined in </w:t>
      </w:r>
      <w:r w:rsidR="00CD69B5">
        <w:fldChar w:fldCharType="begin"/>
      </w:r>
      <w:r w:rsidR="00CD69B5">
        <w:instrText xml:space="preserve"> REF _Ref160461869 \n \h </w:instrText>
      </w:r>
      <w:r w:rsidR="00CD69B5">
        <w:fldChar w:fldCharType="separate"/>
      </w:r>
      <w:r w:rsidR="008A4B3E">
        <w:t>Appendix C</w:t>
      </w:r>
      <w:r w:rsidR="00CD69B5">
        <w:fldChar w:fldCharType="end"/>
      </w:r>
      <w:r w:rsidRPr="005F0145">
        <w:t>.</w:t>
      </w:r>
    </w:p>
    <w:bookmarkEnd w:id="344"/>
    <w:p w14:paraId="6CAE0A39" w14:textId="76DB4629" w:rsidR="004E1D40" w:rsidRPr="00421D37" w:rsidRDefault="004E1D40" w:rsidP="001D2615">
      <w:pPr>
        <w:pStyle w:val="Heading4numbered"/>
      </w:pPr>
      <w:r w:rsidRPr="00421D37">
        <w:t xml:space="preserve">When to use </w:t>
      </w:r>
      <w:r w:rsidR="003637DC">
        <w:t>m</w:t>
      </w:r>
      <w:r w:rsidRPr="00421D37">
        <w:t xml:space="preserve">anaging </w:t>
      </w:r>
      <w:r w:rsidR="003637DC">
        <w:t>c</w:t>
      </w:r>
      <w:r w:rsidRPr="00421D37">
        <w:t>ontractor</w:t>
      </w:r>
    </w:p>
    <w:p w14:paraId="3CB8BB1E" w14:textId="72344880" w:rsidR="00FF037E" w:rsidRPr="00D858FB" w:rsidRDefault="00CB5559" w:rsidP="00171CF8">
      <w:pPr>
        <w:pStyle w:val="NormalIndent"/>
        <w:keepNext/>
        <w:rPr>
          <w:color w:val="auto"/>
        </w:rPr>
      </w:pPr>
      <w:r>
        <w:t xml:space="preserve">The following characteristics favour </w:t>
      </w:r>
      <w:r w:rsidR="004D14FC">
        <w:t>MC</w:t>
      </w:r>
      <w:r w:rsidR="00C04A19">
        <w:t xml:space="preserve"> </w:t>
      </w:r>
      <w:r w:rsidR="00FF16F5">
        <w:t>procurement</w:t>
      </w:r>
      <w:r>
        <w:t>.</w:t>
      </w:r>
    </w:p>
    <w:p w14:paraId="15EF3EE6" w14:textId="58E7BEBD" w:rsidR="00FF037E" w:rsidRDefault="00FF037E" w:rsidP="00171CF8">
      <w:pPr>
        <w:pStyle w:val="Heading4"/>
      </w:pPr>
      <w:r w:rsidRPr="004E1D40">
        <w:t>Project value</w:t>
      </w:r>
    </w:p>
    <w:p w14:paraId="164CBE98" w14:textId="4A5ACB5D" w:rsidR="004E1D40" w:rsidRPr="004E1D40" w:rsidRDefault="00595061" w:rsidP="001D2615">
      <w:pPr>
        <w:pStyle w:val="Bulletindent"/>
      </w:pPr>
      <w:r>
        <w:t>Typically exceeds $100</w:t>
      </w:r>
      <w:r w:rsidR="00606457">
        <w:rPr>
          <w:rFonts w:ascii="Calibri" w:hAnsi="Calibri"/>
        </w:rPr>
        <w:t> </w:t>
      </w:r>
      <w:r>
        <w:t>million to provide sufficient scale to cover the high</w:t>
      </w:r>
      <w:r w:rsidR="00A61BCE">
        <w:t>er</w:t>
      </w:r>
      <w:r>
        <w:t xml:space="preserve"> costs of establishment, governance and administration</w:t>
      </w:r>
      <w:r w:rsidR="004E1D40">
        <w:t>.</w:t>
      </w:r>
    </w:p>
    <w:p w14:paraId="19389A2C" w14:textId="5AF3EDAB" w:rsidR="00D33DFD" w:rsidRPr="00EE6205" w:rsidRDefault="004E1D40" w:rsidP="00171CF8">
      <w:pPr>
        <w:pStyle w:val="Heading4"/>
      </w:pPr>
      <w:r w:rsidRPr="30306C04">
        <w:t>Scope</w:t>
      </w:r>
      <w:r w:rsidR="3903FC45" w:rsidRPr="30306C04">
        <w:t>, complexity</w:t>
      </w:r>
      <w:r w:rsidRPr="30306C04">
        <w:t xml:space="preserve"> and output certainty</w:t>
      </w:r>
    </w:p>
    <w:p w14:paraId="3CC635C0" w14:textId="77777777" w:rsidR="00452F23" w:rsidRPr="00421D37" w:rsidRDefault="00452F23" w:rsidP="001D2615">
      <w:pPr>
        <w:pStyle w:val="Bulletindent"/>
      </w:pPr>
      <w:r>
        <w:t>The project would benefit from the expertise of contractors, and possibly key subcontractors, during the early phase of a project, for cost management, buildability input and whole-of-life considerations.</w:t>
      </w:r>
    </w:p>
    <w:p w14:paraId="2B7F525E" w14:textId="77777777" w:rsidR="001675E4" w:rsidRDefault="00BB1A2E" w:rsidP="001D2615">
      <w:pPr>
        <w:pStyle w:val="Bulletindent"/>
      </w:pPr>
      <w:r w:rsidRPr="00BB1A2E">
        <w:t>Scope and outputs are not fully defined.</w:t>
      </w:r>
    </w:p>
    <w:p w14:paraId="4E87A575" w14:textId="51A6EAE1" w:rsidR="00BB1A2E" w:rsidRPr="00BB1A2E" w:rsidRDefault="5C82653B" w:rsidP="001D2615">
      <w:pPr>
        <w:pStyle w:val="Bulletindent"/>
      </w:pPr>
      <w:r w:rsidRPr="00BB1A2E">
        <w:t>The project is evolving and cannot be reasonably and adequately defined before tendering</w:t>
      </w:r>
      <w:r w:rsidR="00FF037E">
        <w:t xml:space="preserve">. </w:t>
      </w:r>
      <w:r w:rsidR="004D14FC">
        <w:t xml:space="preserve">An </w:t>
      </w:r>
      <w:r w:rsidR="00FF037E">
        <w:t>example</w:t>
      </w:r>
      <w:r w:rsidR="004D14FC">
        <w:t xml:space="preserve"> is</w:t>
      </w:r>
      <w:r w:rsidR="00FF037E">
        <w:t xml:space="preserve"> </w:t>
      </w:r>
      <w:r w:rsidR="00FF037E" w:rsidRPr="00BB1A2E">
        <w:t>complex brownfield sites where it is difficult to define the project scope or interface with operational services</w:t>
      </w:r>
      <w:r w:rsidR="00FF037E">
        <w:t>.</w:t>
      </w:r>
      <w:r w:rsidR="0022036C">
        <w:rPr>
          <w:rFonts w:ascii="ZWAdobeF" w:hAnsi="ZWAdobeF" w:cs="ZWAdobeF"/>
          <w:color w:val="auto"/>
          <w:sz w:val="2"/>
          <w:szCs w:val="2"/>
        </w:rPr>
        <w:t xml:space="preserve"> </w:t>
      </w:r>
      <w:r w:rsidR="00DC350B">
        <w:rPr>
          <w:rFonts w:ascii="ZWAdobeF" w:hAnsi="ZWAdobeF" w:cs="ZWAdobeF"/>
          <w:color w:val="auto"/>
          <w:sz w:val="2"/>
          <w:szCs w:val="2"/>
        </w:rPr>
        <w:t>F</w:t>
      </w:r>
      <w:r w:rsidR="00CD6306">
        <w:rPr>
          <w:rStyle w:val="FootnoteReference"/>
        </w:rPr>
        <w:footnoteReference w:id="9"/>
      </w:r>
    </w:p>
    <w:p w14:paraId="44E35404" w14:textId="4A8CA1BC" w:rsidR="00FF037E" w:rsidRDefault="00FF037E" w:rsidP="001D2615">
      <w:pPr>
        <w:pStyle w:val="Bulletindent"/>
      </w:pPr>
      <w:r>
        <w:t>T</w:t>
      </w:r>
      <w:r w:rsidRPr="00BB1A2E">
        <w:t>he agency requires design flexibility</w:t>
      </w:r>
      <w:r w:rsidR="00CB5CA0">
        <w:t>,</w:t>
      </w:r>
      <w:r w:rsidRPr="00BB1A2E">
        <w:t xml:space="preserve"> to continue develop</w:t>
      </w:r>
      <w:r w:rsidR="00CB5CA0">
        <w:t>ing</w:t>
      </w:r>
      <w:r w:rsidRPr="00BB1A2E">
        <w:t xml:space="preserve">, </w:t>
      </w:r>
      <w:r w:rsidR="00CB5CA0" w:rsidRPr="00BB1A2E">
        <w:t>refin</w:t>
      </w:r>
      <w:r w:rsidR="00CB5CA0">
        <w:t>ing</w:t>
      </w:r>
      <w:r w:rsidR="00CB5CA0" w:rsidRPr="00BB1A2E">
        <w:t xml:space="preserve"> </w:t>
      </w:r>
      <w:r>
        <w:t>or</w:t>
      </w:r>
      <w:r w:rsidRPr="00BB1A2E">
        <w:t xml:space="preserve"> </w:t>
      </w:r>
      <w:r w:rsidR="00CB5CA0" w:rsidRPr="00BB1A2E">
        <w:t>resolv</w:t>
      </w:r>
      <w:r w:rsidR="00CB5CA0">
        <w:t>ing</w:t>
      </w:r>
      <w:r w:rsidR="00CB5CA0" w:rsidRPr="00BB1A2E">
        <w:t xml:space="preserve"> </w:t>
      </w:r>
      <w:r w:rsidRPr="00BB1A2E">
        <w:t xml:space="preserve">the requirements </w:t>
      </w:r>
      <w:r w:rsidR="00573D72">
        <w:t>(</w:t>
      </w:r>
      <w:r w:rsidRPr="00BB1A2E">
        <w:t>including scope</w:t>
      </w:r>
      <w:r w:rsidR="00573D72">
        <w:t>)</w:t>
      </w:r>
      <w:r>
        <w:t>,</w:t>
      </w:r>
      <w:r w:rsidRPr="00BB1A2E">
        <w:t xml:space="preserve"> </w:t>
      </w:r>
      <w:r w:rsidR="00573D72">
        <w:t>for example,</w:t>
      </w:r>
      <w:r w:rsidRPr="00BB1A2E">
        <w:t xml:space="preserve"> to incorporate rapidly changing technology</w:t>
      </w:r>
      <w:r>
        <w:t>.</w:t>
      </w:r>
    </w:p>
    <w:p w14:paraId="601B077A" w14:textId="1025859D" w:rsidR="00FF037E" w:rsidRDefault="00FF037E" w:rsidP="001D2615">
      <w:pPr>
        <w:pStyle w:val="Bulletindent"/>
      </w:pPr>
      <w:r>
        <w:t xml:space="preserve">The agency requires flexibility to deliver early works, </w:t>
      </w:r>
      <w:r w:rsidR="00573D72">
        <w:t>for example,</w:t>
      </w:r>
      <w:r>
        <w:t xml:space="preserve"> utilities works, while </w:t>
      </w:r>
      <w:r w:rsidR="00573D72">
        <w:t xml:space="preserve">the </w:t>
      </w:r>
      <w:r>
        <w:t>project scope continues to be refined.</w:t>
      </w:r>
    </w:p>
    <w:p w14:paraId="36F16E25" w14:textId="6EC4DEFB" w:rsidR="00C05806" w:rsidRDefault="004E1D40" w:rsidP="00171CF8">
      <w:pPr>
        <w:pStyle w:val="Heading4"/>
      </w:pPr>
      <w:r w:rsidRPr="004E1D40">
        <w:t>Risk</w:t>
      </w:r>
      <w:r w:rsidR="00C05806">
        <w:t xml:space="preserve"> allocation</w:t>
      </w:r>
    </w:p>
    <w:p w14:paraId="671B53DC" w14:textId="462C7496" w:rsidR="004E1D40" w:rsidRPr="0081590F" w:rsidRDefault="00B077F3" w:rsidP="001D2615">
      <w:pPr>
        <w:pStyle w:val="Bulletindent"/>
      </w:pPr>
      <w:r>
        <w:t>S</w:t>
      </w:r>
      <w:r w:rsidR="7F2A1DBE" w:rsidRPr="00D858FB">
        <w:t xml:space="preserve">ite risks and operational requirements are difficult to enumerate (due to </w:t>
      </w:r>
      <w:r w:rsidR="00FF037E">
        <w:t xml:space="preserve">their </w:t>
      </w:r>
      <w:r w:rsidR="7F2A1DBE" w:rsidRPr="00D858FB">
        <w:t>changing nature) and ongoing coordination is required between the delivery agency and the operational environment.</w:t>
      </w:r>
    </w:p>
    <w:p w14:paraId="1E6D17A2" w14:textId="724A00BE" w:rsidR="0081590F" w:rsidRPr="00D858FB" w:rsidRDefault="009973C0" w:rsidP="00171CF8">
      <w:pPr>
        <w:pStyle w:val="Heading4"/>
      </w:pPr>
      <w:r>
        <w:t>A</w:t>
      </w:r>
      <w:r w:rsidR="004E1D40" w:rsidRPr="004E1D40">
        <w:rPr>
          <w:color w:val="auto"/>
        </w:rPr>
        <w:t>gency</w:t>
      </w:r>
      <w:r w:rsidR="004E1D40" w:rsidRPr="004E1D40">
        <w:t xml:space="preserve"> </w:t>
      </w:r>
      <w:r w:rsidR="0081590F">
        <w:t>role</w:t>
      </w:r>
    </w:p>
    <w:p w14:paraId="5A306D3A" w14:textId="1C0B79FA" w:rsidR="00FF037E" w:rsidRDefault="00FF037E" w:rsidP="001D2615">
      <w:pPr>
        <w:pStyle w:val="Bulletindent"/>
      </w:pPr>
      <w:r>
        <w:t xml:space="preserve">The agency </w:t>
      </w:r>
      <w:r w:rsidR="006168C2">
        <w:t>work</w:t>
      </w:r>
      <w:r w:rsidR="00B077F3">
        <w:t>s</w:t>
      </w:r>
      <w:r w:rsidR="006168C2">
        <w:t xml:space="preserve"> closely with the contractor to drive performance against budget and program and </w:t>
      </w:r>
      <w:r>
        <w:t>requires capability to actively interrogate costs.</w:t>
      </w:r>
    </w:p>
    <w:p w14:paraId="1CD695F5" w14:textId="7F533685" w:rsidR="008D7464" w:rsidRDefault="00FF037E" w:rsidP="001D2615">
      <w:pPr>
        <w:pStyle w:val="Bulletindent"/>
      </w:pPr>
      <w:r>
        <w:t xml:space="preserve">The agency or </w:t>
      </w:r>
      <w:r w:rsidDel="009F4CF0">
        <w:t>s</w:t>
      </w:r>
      <w:r>
        <w:t>takeholders have specialist operational or technical knowledge integral to project delivery</w:t>
      </w:r>
      <w:r w:rsidR="00C04A19">
        <w:t>, f</w:t>
      </w:r>
      <w:r>
        <w:t xml:space="preserve">or example, for specification of requirements </w:t>
      </w:r>
      <w:r w:rsidR="003F75BE">
        <w:t xml:space="preserve">or </w:t>
      </w:r>
      <w:r>
        <w:t xml:space="preserve">selection of </w:t>
      </w:r>
      <w:r w:rsidR="00CE2BE2">
        <w:t xml:space="preserve">a </w:t>
      </w:r>
      <w:r>
        <w:t>specialist subcontractor</w:t>
      </w:r>
      <w:r w:rsidR="00C04A19">
        <w:t>.</w:t>
      </w:r>
    </w:p>
    <w:p w14:paraId="272B5445" w14:textId="0B4774B3" w:rsidR="004E1D40" w:rsidRPr="00421D37" w:rsidRDefault="004E1D40" w:rsidP="001D2615">
      <w:pPr>
        <w:pStyle w:val="Heading4numbered"/>
      </w:pPr>
      <w:r w:rsidRPr="00421D37">
        <w:t>Benefits</w:t>
      </w:r>
    </w:p>
    <w:p w14:paraId="6E649812" w14:textId="365F9031" w:rsidR="007960BF" w:rsidRPr="00421D37" w:rsidRDefault="00CE2BE2" w:rsidP="001D2615">
      <w:pPr>
        <w:pStyle w:val="Bulletindent"/>
        <w:keepNext/>
      </w:pPr>
      <w:r>
        <w:t xml:space="preserve">The </w:t>
      </w:r>
      <w:r w:rsidR="007960BF">
        <w:t xml:space="preserve">agency </w:t>
      </w:r>
      <w:r w:rsidR="00F85B54">
        <w:t xml:space="preserve">can </w:t>
      </w:r>
      <w:r w:rsidR="007960BF">
        <w:t xml:space="preserve">retain a higher degree of control </w:t>
      </w:r>
      <w:r>
        <w:t>over the</w:t>
      </w:r>
      <w:r w:rsidR="007960BF">
        <w:t xml:space="preserve"> choice of subcontractors, while design, documentation and construction risks, including fitness for purpose, rest with a single party.</w:t>
      </w:r>
    </w:p>
    <w:p w14:paraId="242AD3AA" w14:textId="77777777" w:rsidR="007960BF" w:rsidRPr="00421D37" w:rsidRDefault="007960BF" w:rsidP="001D2615">
      <w:pPr>
        <w:pStyle w:val="Bulletindent"/>
        <w:keepNext/>
      </w:pPr>
      <w:r>
        <w:t>Design development can be integrated with construction planning at the earliest possible stage of the project.</w:t>
      </w:r>
    </w:p>
    <w:p w14:paraId="1A06F49B" w14:textId="142DCF8E" w:rsidR="007960BF" w:rsidRPr="00421D37" w:rsidRDefault="00460EE4" w:rsidP="001D2615">
      <w:pPr>
        <w:pStyle w:val="Bulletindent"/>
      </w:pPr>
      <w:r>
        <w:t>E</w:t>
      </w:r>
      <w:r w:rsidR="007960BF">
        <w:t>arly works (</w:t>
      </w:r>
      <w:r w:rsidR="00C04A19">
        <w:t>such as</w:t>
      </w:r>
      <w:r w:rsidR="007960BF">
        <w:t xml:space="preserve"> utilities works) and more thorough site investigations </w:t>
      </w:r>
      <w:r>
        <w:t xml:space="preserve">can be undertaken </w:t>
      </w:r>
      <w:r w:rsidR="007960BF">
        <w:t>during Stage One to help de</w:t>
      </w:r>
      <w:r w:rsidR="00A40F35">
        <w:t>-</w:t>
      </w:r>
      <w:r w:rsidR="007960BF">
        <w:t>risk the project.</w:t>
      </w:r>
    </w:p>
    <w:p w14:paraId="17E29B9A" w14:textId="0B2B75A8" w:rsidR="007960BF" w:rsidRPr="00421D37" w:rsidRDefault="007960BF" w:rsidP="001D2615">
      <w:pPr>
        <w:pStyle w:val="Bulletindent"/>
      </w:pPr>
      <w:r>
        <w:t>The agency has greater transparency of subcontractor prices and earlier identification of trade price risks.</w:t>
      </w:r>
    </w:p>
    <w:p w14:paraId="7C59985D" w14:textId="1D4D56F2" w:rsidR="007960BF" w:rsidRPr="00421D37" w:rsidRDefault="00D92118" w:rsidP="001D2615">
      <w:pPr>
        <w:pStyle w:val="Bulletindent"/>
      </w:pPr>
      <w:r>
        <w:t xml:space="preserve">The </w:t>
      </w:r>
      <w:r w:rsidR="007960BF">
        <w:t xml:space="preserve">agency </w:t>
      </w:r>
      <w:r>
        <w:t xml:space="preserve">has more </w:t>
      </w:r>
      <w:r w:rsidR="00C04A19">
        <w:t xml:space="preserve">input </w:t>
      </w:r>
      <w:r w:rsidR="007960BF">
        <w:t>into areas that have key quality requirements.</w:t>
      </w:r>
    </w:p>
    <w:p w14:paraId="3B4805AB" w14:textId="6E4D9B66" w:rsidR="004E1D40" w:rsidRPr="00421D37" w:rsidRDefault="004E1D40" w:rsidP="001D2615">
      <w:pPr>
        <w:pStyle w:val="Heading4numbered"/>
      </w:pPr>
      <w:r w:rsidRPr="00421D37">
        <w:t xml:space="preserve">Points to </w:t>
      </w:r>
      <w:r w:rsidR="00D33DFD" w:rsidRPr="00421D37">
        <w:t>consider</w:t>
      </w:r>
    </w:p>
    <w:p w14:paraId="747EF00C" w14:textId="3B0D3C22" w:rsidR="00984449" w:rsidRPr="00421D37" w:rsidRDefault="00984449" w:rsidP="00834461">
      <w:pPr>
        <w:pStyle w:val="NormalIndent"/>
      </w:pPr>
      <w:r w:rsidRPr="00421D37">
        <w:t xml:space="preserve">The </w:t>
      </w:r>
      <w:r w:rsidR="00C352C5">
        <w:t>MC</w:t>
      </w:r>
      <w:r w:rsidRPr="00421D37">
        <w:t xml:space="preserve"> </w:t>
      </w:r>
      <w:r>
        <w:t xml:space="preserve">procurement </w:t>
      </w:r>
      <w:r w:rsidRPr="00421D37">
        <w:t>model requires a high level of skill</w:t>
      </w:r>
      <w:r>
        <w:t>, resources</w:t>
      </w:r>
      <w:r w:rsidRPr="00421D37">
        <w:t xml:space="preserve"> and sophistication from all parties to work </w:t>
      </w:r>
      <w:r>
        <w:t>effectively</w:t>
      </w:r>
      <w:r w:rsidRPr="00421D37">
        <w:t xml:space="preserve">. </w:t>
      </w:r>
      <w:r>
        <w:t>The</w:t>
      </w:r>
      <w:r w:rsidRPr="00421D37">
        <w:t xml:space="preserve"> agency team </w:t>
      </w:r>
      <w:r>
        <w:t xml:space="preserve">needs to be well resourced </w:t>
      </w:r>
      <w:r w:rsidRPr="00421D37">
        <w:t xml:space="preserve">to review the </w:t>
      </w:r>
      <w:r w:rsidR="007234AD">
        <w:t>open-book</w:t>
      </w:r>
      <w:r w:rsidRPr="00421D37">
        <w:t xml:space="preserve"> pricing, including variations</w:t>
      </w:r>
      <w:r w:rsidR="00C352C5">
        <w:t>,</w:t>
      </w:r>
      <w:r w:rsidRPr="00421D37">
        <w:t xml:space="preserve"> and ultimately agree with the award of subcontracts.</w:t>
      </w:r>
    </w:p>
    <w:p w14:paraId="44CBF691" w14:textId="5677000A" w:rsidR="00984449" w:rsidRPr="00421D37" w:rsidRDefault="00984449" w:rsidP="00834461">
      <w:pPr>
        <w:pStyle w:val="NormalIndent"/>
      </w:pPr>
      <w:r>
        <w:t xml:space="preserve">For the </w:t>
      </w:r>
      <w:r w:rsidR="00C352C5">
        <w:t>MC</w:t>
      </w:r>
      <w:r w:rsidRPr="00421D37">
        <w:t xml:space="preserve"> </w:t>
      </w:r>
      <w:r>
        <w:t xml:space="preserve">procurement </w:t>
      </w:r>
      <w:r w:rsidRPr="00421D37">
        <w:t>model</w:t>
      </w:r>
      <w:r>
        <w:t xml:space="preserve"> to provide</w:t>
      </w:r>
      <w:r w:rsidRPr="00421D37">
        <w:t xml:space="preserve"> value</w:t>
      </w:r>
      <w:r>
        <w:t>-</w:t>
      </w:r>
      <w:r w:rsidRPr="00421D37">
        <w:t>for</w:t>
      </w:r>
      <w:r>
        <w:t>-</w:t>
      </w:r>
      <w:r w:rsidRPr="00421D37">
        <w:t xml:space="preserve">money </w:t>
      </w:r>
      <w:r>
        <w:t>it is important to consider the following</w:t>
      </w:r>
      <w:r w:rsidRPr="00421D37">
        <w:t>:</w:t>
      </w:r>
    </w:p>
    <w:p w14:paraId="5FBEFC67" w14:textId="05C8C35D" w:rsidR="00984449" w:rsidRPr="00421D37" w:rsidRDefault="00984449" w:rsidP="001D2615">
      <w:pPr>
        <w:pStyle w:val="Bulletindent"/>
      </w:pPr>
      <w:r>
        <w:t>The agency TCC estimate sets the benchmark for the MC</w:t>
      </w:r>
      <w:r w:rsidR="00344D3F">
        <w:t>’</w:t>
      </w:r>
      <w:r>
        <w:t>s GCS offer but is based on limited design documentation.</w:t>
      </w:r>
    </w:p>
    <w:p w14:paraId="3CE5F28E" w14:textId="77777777" w:rsidR="00984449" w:rsidRPr="00421D37" w:rsidRDefault="00984449" w:rsidP="001D2615">
      <w:pPr>
        <w:pStyle w:val="Bulletindent"/>
      </w:pPr>
      <w:r>
        <w:t>The level of design completed in Stage One will impact the extent of risk premium included in the GCS offer.</w:t>
      </w:r>
    </w:p>
    <w:p w14:paraId="5C970415" w14:textId="01FB868E" w:rsidR="00984449" w:rsidRPr="00421D37" w:rsidRDefault="000B5A1B" w:rsidP="001D2615">
      <w:pPr>
        <w:pStyle w:val="Bulletindent"/>
      </w:pPr>
      <w:r>
        <w:t xml:space="preserve">The </w:t>
      </w:r>
      <w:r w:rsidR="00984449">
        <w:t xml:space="preserve">GCS is negotiated at the end of Stage One, without competition. This incumbency status and </w:t>
      </w:r>
      <w:r w:rsidR="00FE1124">
        <w:t>the prospect of</w:t>
      </w:r>
      <w:r w:rsidR="00984449">
        <w:t xml:space="preserve"> </w:t>
      </w:r>
      <w:r w:rsidR="00F460DE">
        <w:t>delays</w:t>
      </w:r>
      <w:r w:rsidR="00984449">
        <w:t xml:space="preserve"> associated with re</w:t>
      </w:r>
      <w:r w:rsidR="00F44FD3">
        <w:t>-</w:t>
      </w:r>
      <w:r w:rsidR="00984449">
        <w:t xml:space="preserve">tendering work may </w:t>
      </w:r>
      <w:r w:rsidR="00FE1124">
        <w:t>discourage</w:t>
      </w:r>
      <w:r w:rsidR="00984449">
        <w:t xml:space="preserve"> the agency </w:t>
      </w:r>
      <w:r w:rsidR="00FE1124">
        <w:t xml:space="preserve">from </w:t>
      </w:r>
      <w:r w:rsidR="00984449">
        <w:t>not exercis</w:t>
      </w:r>
      <w:r w:rsidR="00FE1124">
        <w:t>ing</w:t>
      </w:r>
      <w:r w:rsidR="00984449">
        <w:t xml:space="preserve"> the Stage Two option.</w:t>
      </w:r>
    </w:p>
    <w:p w14:paraId="288472F2" w14:textId="11BB0410" w:rsidR="00984449" w:rsidRPr="00421D37" w:rsidRDefault="00D47CA9" w:rsidP="001D2615">
      <w:pPr>
        <w:pStyle w:val="Bulletindent"/>
      </w:pPr>
      <w:r>
        <w:t>P</w:t>
      </w:r>
      <w:r w:rsidR="00984449">
        <w:t xml:space="preserve">erformance of construction work by the MC eliminates competitive tendering and subcontracting. </w:t>
      </w:r>
      <w:r w:rsidR="00470F49">
        <w:t>L</w:t>
      </w:r>
      <w:r w:rsidR="00984449">
        <w:t>imits to</w:t>
      </w:r>
      <w:r w:rsidR="00470F49">
        <w:t>,</w:t>
      </w:r>
      <w:r w:rsidR="00984449">
        <w:t xml:space="preserve"> or exclusion of</w:t>
      </w:r>
      <w:r w:rsidR="00470F49">
        <w:t>,</w:t>
      </w:r>
      <w:r w:rsidR="00984449">
        <w:t xml:space="preserve"> </w:t>
      </w:r>
      <w:r w:rsidR="004E1A2C">
        <w:t>work performed directly by the MC</w:t>
      </w:r>
      <w:r w:rsidR="00984449">
        <w:t xml:space="preserve"> should be considered.</w:t>
      </w:r>
    </w:p>
    <w:p w14:paraId="7C3A752B" w14:textId="4E979DFF" w:rsidR="00984449" w:rsidRPr="00421D37" w:rsidRDefault="00984449" w:rsidP="001D2615">
      <w:pPr>
        <w:pStyle w:val="Bulletindent"/>
      </w:pPr>
      <w:r>
        <w:t xml:space="preserve">There can be a lack of focus on lifecycle costs and considerations, similar to </w:t>
      </w:r>
      <w:r w:rsidR="001B2B63">
        <w:t>fixed-price</w:t>
      </w:r>
      <w:r>
        <w:t xml:space="preserve"> forms of procurement.</w:t>
      </w:r>
    </w:p>
    <w:p w14:paraId="69ADE8DB" w14:textId="08FEFA94" w:rsidR="00984449" w:rsidRPr="00421D37" w:rsidRDefault="00984449" w:rsidP="001D2615">
      <w:pPr>
        <w:pStyle w:val="Bulletindent"/>
      </w:pPr>
      <w:r>
        <w:t xml:space="preserve">Negotiation of </w:t>
      </w:r>
      <w:r w:rsidR="006D1736">
        <w:t xml:space="preserve">the </w:t>
      </w:r>
      <w:r>
        <w:t>GCS based on developed design can be protracted. This can lead to the possibility of project delays or disagreement about the extent of scope that is actually delivered.</w:t>
      </w:r>
    </w:p>
    <w:p w14:paraId="4FCB0BAC" w14:textId="77777777" w:rsidR="00984449" w:rsidRPr="00421D37" w:rsidRDefault="00984449" w:rsidP="001D2615">
      <w:pPr>
        <w:pStyle w:val="Bulletindent"/>
      </w:pPr>
      <w:r>
        <w:t>Obligations on the MC to undertake extensive consultation to verify the cost and program in Stage One may incentivise additional work that adds to cost and duration.</w:t>
      </w:r>
    </w:p>
    <w:p w14:paraId="5F86EDC6" w14:textId="296598CE" w:rsidR="004E1D40" w:rsidRPr="00421D37" w:rsidRDefault="00984449" w:rsidP="001D2615">
      <w:pPr>
        <w:pStyle w:val="Bulletindent"/>
      </w:pPr>
      <w:r>
        <w:t xml:space="preserve">The </w:t>
      </w:r>
      <w:r w:rsidR="004E1D40">
        <w:t>agency assumes time and cost risk until the GCS is agreed</w:t>
      </w:r>
      <w:r>
        <w:t>.</w:t>
      </w:r>
    </w:p>
    <w:p w14:paraId="565CBE03" w14:textId="4F7CFCE3" w:rsidR="004E1D40" w:rsidRPr="00421D37" w:rsidRDefault="004E1D40" w:rsidP="001D2615">
      <w:pPr>
        <w:pStyle w:val="Heading4numbered"/>
      </w:pPr>
      <w:r w:rsidRPr="00421D37">
        <w:t>Authorised contracts</w:t>
      </w:r>
      <w:r w:rsidR="00DC350B">
        <w:rPr>
          <w:rFonts w:ascii="ZWAdobeF" w:hAnsi="ZWAdobeF" w:cs="ZWAdobeF"/>
          <w:color w:val="auto"/>
          <w:sz w:val="2"/>
          <w:szCs w:val="2"/>
        </w:rPr>
        <w:t>8F</w:t>
      </w:r>
      <w:r w:rsidRPr="12332228">
        <w:rPr>
          <w:rStyle w:val="FootnoteReference"/>
        </w:rPr>
        <w:footnoteReference w:id="10"/>
      </w:r>
    </w:p>
    <w:p w14:paraId="421A1B91" w14:textId="3F54CE9B" w:rsidR="00EA79C7" w:rsidRPr="00EA79C7" w:rsidRDefault="00EA79C7" w:rsidP="00834461">
      <w:pPr>
        <w:pStyle w:val="NormalIndent"/>
      </w:pPr>
      <w:r w:rsidRPr="00EA79C7">
        <w:t xml:space="preserve">Currently there is no DTF standard form </w:t>
      </w:r>
      <w:r w:rsidR="0013445E">
        <w:t>MC</w:t>
      </w:r>
      <w:r w:rsidRPr="00EA79C7">
        <w:t xml:space="preserve"> contract</w:t>
      </w:r>
      <w:r w:rsidR="00377DCC">
        <w:t xml:space="preserve"> available</w:t>
      </w:r>
      <w:r w:rsidRPr="00EA79C7">
        <w:t>.</w:t>
      </w:r>
    </w:p>
    <w:p w14:paraId="7EA05F3E" w14:textId="24B74776" w:rsidR="00EA79C7" w:rsidRPr="00EA79C7" w:rsidRDefault="00EA79C7" w:rsidP="00834461">
      <w:pPr>
        <w:pStyle w:val="NormalIndent"/>
      </w:pPr>
      <w:r w:rsidRPr="00EA79C7">
        <w:t>Development Victoria use</w:t>
      </w:r>
      <w:r w:rsidR="004B6ED6">
        <w:t>s</w:t>
      </w:r>
      <w:r w:rsidRPr="00EA79C7">
        <w:t xml:space="preserve"> an agency</w:t>
      </w:r>
      <w:r w:rsidR="004B6ED6">
        <w:t>-</w:t>
      </w:r>
      <w:r w:rsidRPr="00EA79C7">
        <w:t xml:space="preserve">approved form of contract under </w:t>
      </w:r>
      <w:r w:rsidR="00D8530E">
        <w:t>MD</w:t>
      </w:r>
      <w:r w:rsidRPr="00EA79C7">
        <w:t xml:space="preserve"> 7.1.</w:t>
      </w:r>
    </w:p>
    <w:p w14:paraId="59B3E200" w14:textId="17BE8F94" w:rsidR="004E1D40" w:rsidRPr="003D3A29" w:rsidRDefault="004E1D40" w:rsidP="00834461">
      <w:pPr>
        <w:pStyle w:val="NormalIndent"/>
      </w:pPr>
      <w:r w:rsidRPr="003D3A29">
        <w:t>The Victorian Health Building Authority use</w:t>
      </w:r>
      <w:r w:rsidR="004B6ED6">
        <w:t>s</w:t>
      </w:r>
      <w:r w:rsidRPr="003D3A29">
        <w:t xml:space="preserve"> bespoke contracts similar to Queensland</w:t>
      </w:r>
      <w:r w:rsidR="00344D3F">
        <w:t>’</w:t>
      </w:r>
      <w:r w:rsidRPr="003D3A29">
        <w:t xml:space="preserve">s </w:t>
      </w:r>
      <w:r w:rsidR="004B6ED6">
        <w:t>MC</w:t>
      </w:r>
      <w:r w:rsidRPr="003D3A29">
        <w:t xml:space="preserve"> two</w:t>
      </w:r>
      <w:r w:rsidR="00EA79C7" w:rsidRPr="00EA79C7">
        <w:t>-</w:t>
      </w:r>
      <w:r w:rsidRPr="003D3A29">
        <w:t xml:space="preserve">stage </w:t>
      </w:r>
      <w:r w:rsidR="004B6ED6">
        <w:t>D&amp;C</w:t>
      </w:r>
      <w:r w:rsidRPr="003D3A29">
        <w:t xml:space="preserve"> management contract (negotiated </w:t>
      </w:r>
      <w:r w:rsidR="00EA79C7" w:rsidRPr="00EA79C7">
        <w:t>GCS</w:t>
      </w:r>
      <w:r w:rsidRPr="003D3A29">
        <w:t>).</w:t>
      </w:r>
    </w:p>
    <w:p w14:paraId="64F20179" w14:textId="77777777" w:rsidR="004E1D40" w:rsidRPr="00797AC0" w:rsidRDefault="004E1D40" w:rsidP="001D2615">
      <w:pPr>
        <w:pStyle w:val="Heading4numbered"/>
      </w:pPr>
      <w:r w:rsidRPr="00797AC0">
        <w:t>Supporting resources</w:t>
      </w:r>
    </w:p>
    <w:p w14:paraId="00B225C4" w14:textId="1A481857" w:rsidR="007B1363" w:rsidRPr="00171CF8" w:rsidRDefault="00894832" w:rsidP="001D2615">
      <w:pPr>
        <w:pStyle w:val="Bulletindent"/>
        <w:rPr>
          <w:color w:val="auto"/>
        </w:rPr>
      </w:pPr>
      <w:hyperlink r:id="rId123" w:history="1">
        <w:r w:rsidR="007B1363">
          <w:rPr>
            <w:rStyle w:val="Hyperlink"/>
          </w:rPr>
          <w:t>Cost Reimbursable Procurement Requirements</w:t>
        </w:r>
      </w:hyperlink>
    </w:p>
    <w:p w14:paraId="3F4B03C9" w14:textId="5FC12CA6" w:rsidR="004E1D40" w:rsidRPr="003D3A29" w:rsidRDefault="004E1D40" w:rsidP="001D2615">
      <w:pPr>
        <w:pStyle w:val="Heading3numbered"/>
      </w:pPr>
      <w:bookmarkStart w:id="345" w:name="_Toc124245443"/>
      <w:r w:rsidRPr="003D3A29">
        <w:t xml:space="preserve">Incentivised </w:t>
      </w:r>
      <w:bookmarkEnd w:id="345"/>
      <w:r w:rsidR="003637DC">
        <w:t>t</w:t>
      </w:r>
      <w:r w:rsidRPr="003D3A29">
        <w:t xml:space="preserve">arget </w:t>
      </w:r>
      <w:r w:rsidR="003637DC">
        <w:t>c</w:t>
      </w:r>
      <w:r w:rsidRPr="003D3A29">
        <w:t>ost</w:t>
      </w:r>
    </w:p>
    <w:p w14:paraId="3BDCFBB4" w14:textId="77777777" w:rsidR="004E1D40" w:rsidRPr="00421D37" w:rsidRDefault="004E1D40" w:rsidP="001D2615">
      <w:pPr>
        <w:pStyle w:val="Heading4numbered"/>
      </w:pPr>
      <w:r w:rsidRPr="00421D37">
        <w:t>Key features</w:t>
      </w:r>
    </w:p>
    <w:p w14:paraId="264628BA" w14:textId="39A3D88D" w:rsidR="00C6439D" w:rsidRPr="00421D37" w:rsidRDefault="00C6439D" w:rsidP="00834461">
      <w:pPr>
        <w:pStyle w:val="NormalIndent"/>
      </w:pPr>
      <w:r w:rsidRPr="00421D37">
        <w:rPr>
          <w:color w:val="212529"/>
        </w:rPr>
        <w:t xml:space="preserve">In </w:t>
      </w:r>
      <w:r w:rsidRPr="00421D37" w:rsidDel="00CC2CB0">
        <w:rPr>
          <w:color w:val="212529"/>
        </w:rPr>
        <w:t>ITC</w:t>
      </w:r>
      <w:r w:rsidRPr="00421D37">
        <w:rPr>
          <w:color w:val="212529"/>
        </w:rPr>
        <w:t xml:space="preserve"> procurement the agency </w:t>
      </w:r>
      <w:r w:rsidRPr="00421D37">
        <w:t xml:space="preserve">develops a preliminary design and defines the scope, quality and functionality requirements. The contractor completes the project design, prepares construction documentation and constructs the project on a </w:t>
      </w:r>
      <w:r>
        <w:rPr>
          <w:color w:val="212529"/>
        </w:rPr>
        <w:t>TOC</w:t>
      </w:r>
      <w:r w:rsidRPr="00421D37">
        <w:t xml:space="preserve"> basis with an agreed date for practical completion.</w:t>
      </w:r>
    </w:p>
    <w:p w14:paraId="6C952B4E" w14:textId="57375451" w:rsidR="00C6439D" w:rsidRDefault="00C6439D" w:rsidP="00834461">
      <w:pPr>
        <w:pStyle w:val="NormalIndent"/>
      </w:pPr>
      <w:r w:rsidRPr="00421D37">
        <w:t xml:space="preserve">The ITC model allows for risks to be shared, </w:t>
      </w:r>
      <w:r>
        <w:t xml:space="preserve">while allocating </w:t>
      </w:r>
      <w:r w:rsidRPr="00421D37">
        <w:t>some risks</w:t>
      </w:r>
      <w:r>
        <w:t xml:space="preserve"> (such as</w:t>
      </w:r>
      <w:r w:rsidRPr="00421D37">
        <w:t xml:space="preserve"> time and quality risks</w:t>
      </w:r>
      <w:r>
        <w:t>)</w:t>
      </w:r>
      <w:r w:rsidRPr="00421D37">
        <w:t xml:space="preserve"> to the contractor as the party best able to manage those risks.</w:t>
      </w:r>
    </w:p>
    <w:p w14:paraId="31AB30F8" w14:textId="77777777" w:rsidR="00C6439D" w:rsidRDefault="00C6439D" w:rsidP="00171CF8">
      <w:pPr>
        <w:pStyle w:val="NormalIndent"/>
        <w:keepNext/>
      </w:pPr>
      <w:r>
        <w:t>The contractor:</w:t>
      </w:r>
    </w:p>
    <w:p w14:paraId="0F8267A6" w14:textId="651492F1" w:rsidR="00C6439D" w:rsidRPr="00421D37" w:rsidRDefault="00C6439D" w:rsidP="001D2615">
      <w:pPr>
        <w:pStyle w:val="Bulletindent"/>
      </w:pPr>
      <w:r>
        <w:t xml:space="preserve">manages design and construction risks, including program, but their financial exposure is capped. </w:t>
      </w:r>
      <w:r w:rsidR="00C04A19">
        <w:t xml:space="preserve">The </w:t>
      </w:r>
      <w:r w:rsidR="002B5626">
        <w:t xml:space="preserve">Government’s </w:t>
      </w:r>
      <w:r>
        <w:t>financial exposure is uncapped due to the cost reimbursable nature of the model</w:t>
      </w:r>
    </w:p>
    <w:p w14:paraId="18CEFEB5" w14:textId="746DDF02" w:rsidR="00C6439D" w:rsidRDefault="00C6439D" w:rsidP="001D2615">
      <w:pPr>
        <w:pStyle w:val="Bulletindent"/>
      </w:pPr>
      <w:r>
        <w:t xml:space="preserve">is commercially incentivised under </w:t>
      </w:r>
      <w:r w:rsidR="00C04A19">
        <w:t xml:space="preserve">a </w:t>
      </w:r>
      <w:r>
        <w:t>cost painshare</w:t>
      </w:r>
      <w:r w:rsidR="00C04A19">
        <w:t>/</w:t>
      </w:r>
      <w:r>
        <w:t>gainshare regime, where costs below and above the TOC are shared between the parties using a pre-agreed percentage split</w:t>
      </w:r>
      <w:r w:rsidR="00A46610">
        <w:t xml:space="preserve">. </w:t>
      </w:r>
      <w:r w:rsidR="00BE4528">
        <w:t>The</w:t>
      </w:r>
      <w:r>
        <w:t xml:space="preserve"> performance regime includes reward payments</w:t>
      </w:r>
      <w:r>
        <w:rPr>
          <w:rStyle w:val="CommentReference"/>
        </w:rPr>
        <w:t xml:space="preserve"> </w:t>
      </w:r>
      <w:r>
        <w:t>for</w:t>
      </w:r>
      <w:r w:rsidR="00C04A19">
        <w:t xml:space="preserve"> achieving</w:t>
      </w:r>
      <w:r>
        <w:t xml:space="preserve"> specific </w:t>
      </w:r>
      <w:r w:rsidR="0018146A">
        <w:t>key result areas and key performance indicators (KRA</w:t>
      </w:r>
      <w:r w:rsidR="00BB56CD">
        <w:t>/KPI)</w:t>
      </w:r>
      <w:r>
        <w:t>.</w:t>
      </w:r>
    </w:p>
    <w:p w14:paraId="580E3075" w14:textId="5DB76F2A" w:rsidR="00C6439D" w:rsidRDefault="00C6439D" w:rsidP="00834461">
      <w:pPr>
        <w:pStyle w:val="NormalIndent"/>
      </w:pPr>
      <w:r>
        <w:t>The agency:</w:t>
      </w:r>
    </w:p>
    <w:p w14:paraId="3365D604" w14:textId="36113987" w:rsidR="00C6439D" w:rsidRDefault="00C6439D" w:rsidP="001D2615">
      <w:pPr>
        <w:pStyle w:val="Bulletindent"/>
      </w:pPr>
      <w:r>
        <w:t xml:space="preserve">reimburses the contractor on an </w:t>
      </w:r>
      <w:r w:rsidR="007C7BD5">
        <w:t>open-book basis</w:t>
      </w:r>
      <w:r>
        <w:t xml:space="preserve"> including agreed overheads and profit margins.</w:t>
      </w:r>
    </w:p>
    <w:p w14:paraId="457EAA23" w14:textId="61308535" w:rsidR="004E1D40" w:rsidRPr="00421D37" w:rsidRDefault="004E1D40" w:rsidP="00834461">
      <w:pPr>
        <w:pStyle w:val="NormalIndent"/>
      </w:pPr>
      <w:r w:rsidRPr="00421D37">
        <w:rPr>
          <w:rFonts w:eastAsia="MS Mincho"/>
        </w:rPr>
        <w:t>The standard Victorian ITC model typically includes a two</w:t>
      </w:r>
      <w:r w:rsidR="00515123">
        <w:rPr>
          <w:rFonts w:eastAsia="MS Mincho"/>
        </w:rPr>
        <w:t xml:space="preserve"> </w:t>
      </w:r>
      <w:r w:rsidRPr="00421D37">
        <w:rPr>
          <w:rFonts w:eastAsia="MS Mincho"/>
        </w:rPr>
        <w:t>stage</w:t>
      </w:r>
      <w:r w:rsidR="009F76F7">
        <w:rPr>
          <w:rFonts w:eastAsia="MS Mincho"/>
        </w:rPr>
        <w:t xml:space="preserve"> approach</w:t>
      </w:r>
      <w:r w:rsidR="00C6439D">
        <w:rPr>
          <w:rFonts w:eastAsia="MS Mincho"/>
        </w:rPr>
        <w:t xml:space="preserve">. </w:t>
      </w:r>
      <w:r w:rsidR="00114235">
        <w:rPr>
          <w:rFonts w:eastAsia="MS Mincho"/>
        </w:rPr>
        <w:t xml:space="preserve">The first stage </w:t>
      </w:r>
      <w:r w:rsidR="00C6439D">
        <w:rPr>
          <w:rFonts w:eastAsia="MS Mincho"/>
        </w:rPr>
        <w:t>comprises</w:t>
      </w:r>
      <w:r>
        <w:rPr>
          <w:rFonts w:eastAsia="MS Mincho"/>
        </w:rPr>
        <w:t xml:space="preserve"> </w:t>
      </w:r>
      <w:r w:rsidRPr="00421D37">
        <w:t>execution of a development phase deed, where</w:t>
      </w:r>
      <w:r w:rsidR="001A7A61">
        <w:t>by</w:t>
      </w:r>
      <w:r w:rsidRPr="00421D37">
        <w:t xml:space="preserve"> </w:t>
      </w:r>
      <w:r w:rsidR="00C6439D">
        <w:t xml:space="preserve">a </w:t>
      </w:r>
      <w:r w:rsidRPr="00421D37">
        <w:t>shortlisted respondent</w:t>
      </w:r>
      <w:r w:rsidR="00C6439D" w:rsidRPr="00421D37">
        <w:t xml:space="preserve"> </w:t>
      </w:r>
      <w:r w:rsidR="00C6439D">
        <w:t>or respondents</w:t>
      </w:r>
      <w:r w:rsidRPr="00421D37">
        <w:t xml:space="preserve"> are engaged to perform early work</w:t>
      </w:r>
      <w:r w:rsidR="00114235">
        <w:t xml:space="preserve"> (</w:t>
      </w:r>
      <w:r w:rsidRPr="00421D37">
        <w:t>including design work</w:t>
      </w:r>
      <w:r w:rsidR="00114235">
        <w:t>)</w:t>
      </w:r>
      <w:r w:rsidRPr="00421D37">
        <w:t xml:space="preserve"> and </w:t>
      </w:r>
      <w:r w:rsidR="00C6439D" w:rsidRPr="00421D37">
        <w:t>develop</w:t>
      </w:r>
      <w:r w:rsidRPr="00421D37">
        <w:t xml:space="preserve"> a project proposal (including a </w:t>
      </w:r>
      <w:r>
        <w:t>TOC</w:t>
      </w:r>
      <w:r w:rsidR="00C6439D" w:rsidRPr="00421D37">
        <w:t>)</w:t>
      </w:r>
      <w:r w:rsidR="00C6439D">
        <w:t xml:space="preserve">. </w:t>
      </w:r>
      <w:r w:rsidR="00415331">
        <w:t>If the project proposal is accepted by the agency, the</w:t>
      </w:r>
      <w:r w:rsidR="00C6439D">
        <w:t xml:space="preserve"> development phase is</w:t>
      </w:r>
      <w:r>
        <w:t xml:space="preserve"> followed by a</w:t>
      </w:r>
      <w:r w:rsidRPr="00421D37">
        <w:t xml:space="preserve"> delivery phase</w:t>
      </w:r>
      <w:r>
        <w:t xml:space="preserve">. Payment occurs by reimbursing contractors on an </w:t>
      </w:r>
      <w:r w:rsidR="007C7BD5">
        <w:t>open-book basis</w:t>
      </w:r>
      <w:r>
        <w:t xml:space="preserve"> and </w:t>
      </w:r>
      <w:r w:rsidRPr="00421D37">
        <w:t>a percentage for corporate overhead and profit.</w:t>
      </w:r>
    </w:p>
    <w:p w14:paraId="2751E62B" w14:textId="4298D7E5" w:rsidR="004E1D40" w:rsidRDefault="004E1D40" w:rsidP="00171CF8">
      <w:pPr>
        <w:pStyle w:val="Captionindent"/>
      </w:pPr>
      <w:bookmarkStart w:id="346" w:name="_Toc145621480"/>
      <w:bookmarkStart w:id="347" w:name="_Toc145621609"/>
      <w:bookmarkStart w:id="348" w:name="_Toc160457785"/>
      <w:r w:rsidRPr="00421D37">
        <w:t xml:space="preserve">Figure </w:t>
      </w:r>
      <w:r w:rsidRPr="00421D37">
        <w:fldChar w:fldCharType="begin"/>
      </w:r>
      <w:r w:rsidRPr="00421D37">
        <w:instrText>SEQ Figure \* ARABIC</w:instrText>
      </w:r>
      <w:r w:rsidRPr="00421D37">
        <w:fldChar w:fldCharType="separate"/>
      </w:r>
      <w:r w:rsidR="008A4B3E">
        <w:rPr>
          <w:noProof/>
        </w:rPr>
        <w:t>16</w:t>
      </w:r>
      <w:r w:rsidRPr="00421D37">
        <w:fldChar w:fldCharType="end"/>
      </w:r>
      <w:r w:rsidR="005504CB">
        <w:t xml:space="preserve"> – </w:t>
      </w:r>
      <w:r w:rsidR="00C23C70" w:rsidRPr="00C23C70">
        <w:t xml:space="preserve">Incentivised </w:t>
      </w:r>
      <w:r w:rsidR="003637DC">
        <w:t>t</w:t>
      </w:r>
      <w:r w:rsidR="00C23C70" w:rsidRPr="00C23C70">
        <w:t xml:space="preserve">arget </w:t>
      </w:r>
      <w:r w:rsidR="003637DC">
        <w:t>c</w:t>
      </w:r>
      <w:r w:rsidR="00C23C70" w:rsidRPr="00C23C70">
        <w:t>ost</w:t>
      </w:r>
      <w:r w:rsidR="00C23C70">
        <w:t xml:space="preserve"> </w:t>
      </w:r>
      <w:r w:rsidRPr="00421D37">
        <w:t>structure</w:t>
      </w:r>
      <w:bookmarkEnd w:id="346"/>
      <w:bookmarkEnd w:id="347"/>
      <w:bookmarkEnd w:id="348"/>
    </w:p>
    <w:p w14:paraId="3576A9AB" w14:textId="127229E7" w:rsidR="00B5737D" w:rsidRDefault="00CB5CB4" w:rsidP="00834461">
      <w:pPr>
        <w:pStyle w:val="NormalIndent"/>
      </w:pPr>
      <w:r w:rsidRPr="00CB5CB4">
        <w:rPr>
          <w:noProof/>
        </w:rPr>
        <w:drawing>
          <wp:inline distT="0" distB="0" distL="0" distR="0" wp14:anchorId="51CC8789" wp14:editId="28D2478E">
            <wp:extent cx="5190564" cy="2909844"/>
            <wp:effectExtent l="0" t="0" r="0" b="5080"/>
            <wp:docPr id="2107814498" name="Graphic 2107814498" descr="The figure relates to section 4.3.2 key features of incentivised target cost procurement. It is a diagram showing the contractual structure of parties involved in incentivised target cost procurement over the project timeline from development stage; tender for the contractor; and delivery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14498" name="Picture 2107814498" descr="The figure relates to section 4.3.2 key features of incentivised target cost procurement. It is a diagram showing the contractual structure of parties involved in incentivised target cost procurement over the project timeline from development stage; tender for the contractor; and delivery stage. "/>
                    <pic:cNvPicPr/>
                  </pic:nvPicPr>
                  <pic:blipFill>
                    <a:blip r:embed="rId124" cstate="screen">
                      <a:extLst>
                        <a:ext uri="{28A0092B-C50C-407E-A947-70E740481C1C}">
                          <a14:useLocalDpi xmlns:a14="http://schemas.microsoft.com/office/drawing/2010/main"/>
                        </a:ext>
                        <a:ext uri="{96DAC541-7B7A-43D3-8B79-37D633B846F1}">
                          <asvg:svgBlip xmlns:asvg="http://schemas.microsoft.com/office/drawing/2016/SVG/main" r:embed="rId125"/>
                        </a:ext>
                      </a:extLst>
                    </a:blip>
                    <a:stretch>
                      <a:fillRect/>
                    </a:stretch>
                  </pic:blipFill>
                  <pic:spPr>
                    <a:xfrm>
                      <a:off x="0" y="0"/>
                      <a:ext cx="5202925" cy="2916774"/>
                    </a:xfrm>
                    <a:prstGeom prst="rect">
                      <a:avLst/>
                    </a:prstGeom>
                  </pic:spPr>
                </pic:pic>
              </a:graphicData>
            </a:graphic>
          </wp:inline>
        </w:drawing>
      </w:r>
    </w:p>
    <w:p w14:paraId="0BF7D737" w14:textId="11EFBEC8" w:rsidR="004E1D40" w:rsidRPr="00421D37" w:rsidRDefault="004E1D40" w:rsidP="001D2615">
      <w:pPr>
        <w:pStyle w:val="Heading4numbered"/>
      </w:pPr>
      <w:r w:rsidRPr="00421D37">
        <w:t>Model variants</w:t>
      </w:r>
    </w:p>
    <w:p w14:paraId="3E08196B" w14:textId="1D733220" w:rsidR="004E1D40" w:rsidRPr="00421D37" w:rsidRDefault="004E1D40" w:rsidP="00834461">
      <w:pPr>
        <w:pStyle w:val="NormalIndent"/>
      </w:pPr>
      <w:r w:rsidRPr="00421D37">
        <w:t xml:space="preserve">The ITC model can be adapted to allow for an extended </w:t>
      </w:r>
      <w:r w:rsidR="007C5F2A">
        <w:t>r</w:t>
      </w:r>
      <w:r w:rsidR="007C5F2A" w:rsidRPr="00421D37">
        <w:t>equest</w:t>
      </w:r>
      <w:r w:rsidRPr="00421D37">
        <w:t xml:space="preserve"> for </w:t>
      </w:r>
      <w:r w:rsidR="007C5F2A">
        <w:t>p</w:t>
      </w:r>
      <w:r w:rsidR="007C5F2A" w:rsidRPr="00421D37">
        <w:t xml:space="preserve">roposal </w:t>
      </w:r>
      <w:r w:rsidR="007C5F2A">
        <w:t>(RFP)</w:t>
      </w:r>
      <w:r w:rsidRPr="00421D37">
        <w:t xml:space="preserve"> phase (rather than a formal </w:t>
      </w:r>
      <w:r w:rsidR="007C5F2A">
        <w:t>d</w:t>
      </w:r>
      <w:r w:rsidR="007C5F2A" w:rsidRPr="00421D37">
        <w:t>evelopment</w:t>
      </w:r>
      <w:r w:rsidRPr="00421D37">
        <w:t xml:space="preserve"> phase), which allows multiple contractors to prepare a TOC and delivery phase offer as part of competitive process </w:t>
      </w:r>
      <w:r w:rsidR="007C5F2A">
        <w:t xml:space="preserve">within the tender period. </w:t>
      </w:r>
      <w:r w:rsidRPr="00421D37">
        <w:t xml:space="preserve">The ITC model can also be adapted to include a lump sum component for </w:t>
      </w:r>
      <w:r w:rsidR="0098047A" w:rsidRPr="0098047A">
        <w:t xml:space="preserve">certain scope </w:t>
      </w:r>
      <w:r w:rsidRPr="00421D37">
        <w:t>elements of the work that can be competitively bid at contract award</w:t>
      </w:r>
      <w:r w:rsidR="008F3A40">
        <w:t>.</w:t>
      </w:r>
      <w:r w:rsidR="0098047A" w:rsidRPr="0098047A">
        <w:t xml:space="preserve"> </w:t>
      </w:r>
      <w:r w:rsidR="008F3A40">
        <w:t>H</w:t>
      </w:r>
      <w:r w:rsidR="008F3A40" w:rsidRPr="0098047A">
        <w:t>owever</w:t>
      </w:r>
      <w:r w:rsidR="0098047A" w:rsidRPr="0098047A">
        <w:t xml:space="preserve">, in this case the agency will lose transparency of lump sum </w:t>
      </w:r>
      <w:r w:rsidR="0098047A">
        <w:t>costings</w:t>
      </w:r>
      <w:r w:rsidR="00620E90">
        <w:t>.</w:t>
      </w:r>
    </w:p>
    <w:p w14:paraId="57C3FFCD" w14:textId="6A519098" w:rsidR="004E1D40" w:rsidRPr="00421D37" w:rsidRDefault="004E1D40" w:rsidP="001D2615">
      <w:pPr>
        <w:pStyle w:val="Heading4numbered"/>
      </w:pPr>
      <w:r w:rsidRPr="00421D37">
        <w:t xml:space="preserve">When to use </w:t>
      </w:r>
      <w:r w:rsidR="003637DC">
        <w:t>i</w:t>
      </w:r>
      <w:r w:rsidR="003637DC" w:rsidRPr="003637DC">
        <w:t>ncentivised target cost</w:t>
      </w:r>
    </w:p>
    <w:p w14:paraId="3A7ED3E1" w14:textId="57870C79" w:rsidR="004E1D40" w:rsidRPr="00583606" w:rsidRDefault="004E1D40" w:rsidP="00834461">
      <w:pPr>
        <w:pStyle w:val="NormalIndent"/>
      </w:pPr>
      <w:r w:rsidRPr="00421D37">
        <w:t xml:space="preserve">The ITC model </w:t>
      </w:r>
      <w:r w:rsidR="001D7C5E">
        <w:t>provides a</w:t>
      </w:r>
      <w:r w:rsidR="001D7C5E" w:rsidRPr="001D7C5E">
        <w:t xml:space="preserve"> balanced approach</w:t>
      </w:r>
      <w:r w:rsidR="005508FB">
        <w:t>, by</w:t>
      </w:r>
      <w:r w:rsidR="001D7C5E" w:rsidRPr="001D7C5E">
        <w:t xml:space="preserve"> </w:t>
      </w:r>
      <w:r w:rsidR="00DE25C6" w:rsidRPr="001D7C5E">
        <w:t>comb</w:t>
      </w:r>
      <w:r w:rsidR="00DE25C6">
        <w:t>ining</w:t>
      </w:r>
      <w:r w:rsidR="001D7C5E" w:rsidRPr="001D7C5E">
        <w:t xml:space="preserve"> risk sharing and </w:t>
      </w:r>
      <w:r w:rsidR="00DE25C6" w:rsidRPr="001D7C5E">
        <w:t>risk</w:t>
      </w:r>
      <w:r w:rsidR="001D7C5E" w:rsidRPr="001D7C5E">
        <w:t xml:space="preserve"> allocation to the contractor as the party best placed to manage them with a standard legal relationship</w:t>
      </w:r>
      <w:r w:rsidRPr="00421D37">
        <w:rPr>
          <w:rFonts w:eastAsia="Arial"/>
        </w:rPr>
        <w:t xml:space="preserve">. </w:t>
      </w:r>
      <w:r w:rsidR="00CB5559">
        <w:t xml:space="preserve">The following characteristics favour </w:t>
      </w:r>
      <w:r w:rsidR="00FE6A79">
        <w:t>ITC</w:t>
      </w:r>
      <w:r w:rsidR="00D77C03">
        <w:t xml:space="preserve"> procurement</w:t>
      </w:r>
      <w:r w:rsidR="00CB5559">
        <w:rPr>
          <w:rFonts w:eastAsia="Arial"/>
        </w:rPr>
        <w:t>.</w:t>
      </w:r>
    </w:p>
    <w:p w14:paraId="2E93234D" w14:textId="7C33E50D" w:rsidR="00FE6A79" w:rsidRDefault="004E1D40" w:rsidP="00F00271">
      <w:pPr>
        <w:pStyle w:val="Heading4"/>
      </w:pPr>
      <w:r w:rsidRPr="00421D37">
        <w:t>Project value</w:t>
      </w:r>
    </w:p>
    <w:p w14:paraId="5DBDFC2A" w14:textId="769C850C" w:rsidR="00DE25C6" w:rsidRPr="00421D37" w:rsidRDefault="00DE25C6" w:rsidP="001D2615">
      <w:pPr>
        <w:pStyle w:val="Bulletindent"/>
      </w:pPr>
      <w:r w:rsidRPr="00760968">
        <w:t>Typically exceeds $</w:t>
      </w:r>
      <w:r w:rsidR="005413B8">
        <w:t>5</w:t>
      </w:r>
      <w:r>
        <w:t>0</w:t>
      </w:r>
      <w:r w:rsidR="00606457">
        <w:rPr>
          <w:rFonts w:ascii="Calibri" w:hAnsi="Calibri"/>
        </w:rPr>
        <w:t> </w:t>
      </w:r>
      <w:r w:rsidRPr="00760968">
        <w:t xml:space="preserve">million </w:t>
      </w:r>
      <w:r>
        <w:t>(unless done through a programmatic approach)</w:t>
      </w:r>
      <w:r w:rsidRPr="00760968">
        <w:t xml:space="preserve"> to provide sufficient scale to cover the high</w:t>
      </w:r>
      <w:r w:rsidR="006B401A">
        <w:t>er</w:t>
      </w:r>
      <w:r w:rsidRPr="00760968">
        <w:t xml:space="preserve"> costs of establishment, governance and administration</w:t>
      </w:r>
      <w:r>
        <w:t>.</w:t>
      </w:r>
    </w:p>
    <w:p w14:paraId="5C7FC421" w14:textId="16E4134C" w:rsidR="00DE25C6" w:rsidRDefault="00DE25C6" w:rsidP="00F00271">
      <w:pPr>
        <w:pStyle w:val="Heading4"/>
      </w:pPr>
      <w:r w:rsidRPr="00421D37">
        <w:t>Scope</w:t>
      </w:r>
      <w:r>
        <w:t>, complexity</w:t>
      </w:r>
      <w:r w:rsidRPr="00421D37">
        <w:t xml:space="preserve"> and output certainty</w:t>
      </w:r>
    </w:p>
    <w:p w14:paraId="2C93FCE8" w14:textId="36D7B545" w:rsidR="00DE25C6" w:rsidRPr="009F0DF8" w:rsidRDefault="005B4492" w:rsidP="001D2615">
      <w:pPr>
        <w:pStyle w:val="Bulletindent"/>
      </w:pPr>
      <w:r w:rsidRPr="005B4492">
        <w:t>The nature, scope and output cannot be reasonably and adequately defined before tendering to enable efficient pricing and risk allocation to the contractor for significant project components</w:t>
      </w:r>
      <w:r w:rsidR="55B3D97B">
        <w:t>, or there are other factors</w:t>
      </w:r>
      <w:r w:rsidR="005508FB">
        <w:t xml:space="preserve"> that</w:t>
      </w:r>
      <w:r w:rsidRPr="005B4492">
        <w:t xml:space="preserve"> necessitat</w:t>
      </w:r>
      <w:r w:rsidR="005508FB">
        <w:t>e</w:t>
      </w:r>
      <w:r w:rsidRPr="005B4492">
        <w:t xml:space="preserve"> close engagement with the contractor</w:t>
      </w:r>
      <w:r w:rsidR="00DE25C6">
        <w:t>.</w:t>
      </w:r>
      <w:r w:rsidR="00DC350B">
        <w:rPr>
          <w:rFonts w:ascii="ZWAdobeF" w:hAnsi="ZWAdobeF" w:cs="ZWAdobeF"/>
          <w:color w:val="auto"/>
          <w:sz w:val="2"/>
          <w:szCs w:val="2"/>
        </w:rPr>
        <w:t>9F</w:t>
      </w:r>
      <w:r w:rsidR="00DE25C6">
        <w:rPr>
          <w:rStyle w:val="FootnoteReference"/>
        </w:rPr>
        <w:footnoteReference w:id="11"/>
      </w:r>
    </w:p>
    <w:p w14:paraId="445A1EBB" w14:textId="77777777" w:rsidR="00DE25C6" w:rsidRPr="009F0DF8" w:rsidRDefault="00DE25C6" w:rsidP="001D2615">
      <w:pPr>
        <w:pStyle w:val="Bulletindent"/>
      </w:pPr>
      <w:r w:rsidRPr="009F0DF8">
        <w:t>There is some uncertainty or non</w:t>
      </w:r>
      <w:r>
        <w:t>-</w:t>
      </w:r>
      <w:r w:rsidRPr="009F0DF8">
        <w:t>standard deliverables.</w:t>
      </w:r>
    </w:p>
    <w:p w14:paraId="200AA2D6" w14:textId="39BF3EEC" w:rsidR="009F0DF8" w:rsidRDefault="004E1D40" w:rsidP="00F00271">
      <w:pPr>
        <w:pStyle w:val="Heading4"/>
      </w:pPr>
      <w:r w:rsidRPr="006A01CD">
        <w:t>Risk</w:t>
      </w:r>
      <w:r w:rsidR="009F0DF8">
        <w:t xml:space="preserve"> allocation</w:t>
      </w:r>
    </w:p>
    <w:p w14:paraId="5315A762" w14:textId="729B80C5" w:rsidR="004E1D40" w:rsidRPr="006A01CD" w:rsidRDefault="00066E61" w:rsidP="001D2615">
      <w:pPr>
        <w:pStyle w:val="Bulletindent"/>
      </w:pPr>
      <w:r>
        <w:t>P</w:t>
      </w:r>
      <w:r w:rsidR="7A0520F3">
        <w:t xml:space="preserve">revailing market conditions and risk appetite would add considerable </w:t>
      </w:r>
      <w:r w:rsidR="00DE25C6">
        <w:t>(</w:t>
      </w:r>
      <w:r w:rsidR="7A0520F3">
        <w:t>and potentially excessive</w:t>
      </w:r>
      <w:r w:rsidR="00DE25C6">
        <w:t>)</w:t>
      </w:r>
      <w:r w:rsidR="7A0520F3">
        <w:t xml:space="preserve"> risk premiums to a lump sum price, but the contractor is still best placed to manage time (workforce productivity) and quality risks</w:t>
      </w:r>
      <w:r w:rsidR="004E1D40">
        <w:t>.</w:t>
      </w:r>
    </w:p>
    <w:p w14:paraId="00C34AEC" w14:textId="03B8EF94" w:rsidR="007004D3" w:rsidRDefault="00F8368B" w:rsidP="00F00271">
      <w:pPr>
        <w:pStyle w:val="Heading4"/>
      </w:pPr>
      <w:r>
        <w:t>A</w:t>
      </w:r>
      <w:r w:rsidR="004E1D40" w:rsidRPr="006A01CD">
        <w:t xml:space="preserve">gency </w:t>
      </w:r>
      <w:r w:rsidR="007004D3">
        <w:t>role</w:t>
      </w:r>
    </w:p>
    <w:p w14:paraId="68C2100C" w14:textId="68CBA3AE" w:rsidR="004E1D40" w:rsidRPr="00421D37" w:rsidRDefault="7245B1EF" w:rsidP="001D2615">
      <w:pPr>
        <w:pStyle w:val="Bulletindent"/>
      </w:pPr>
      <w:r>
        <w:t>The agency requires extensive capacity</w:t>
      </w:r>
      <w:r w:rsidR="00DE25C6">
        <w:t xml:space="preserve"> or </w:t>
      </w:r>
      <w:r>
        <w:t>expertise in cost benchmarking</w:t>
      </w:r>
      <w:r w:rsidR="00DE25C6">
        <w:t xml:space="preserve"> as well as the</w:t>
      </w:r>
      <w:r>
        <w:t xml:space="preserve"> capability to actively interrogate costs</w:t>
      </w:r>
      <w:r w:rsidR="004E1D40">
        <w:t>.</w:t>
      </w:r>
    </w:p>
    <w:p w14:paraId="77EE9BE2" w14:textId="65487A38" w:rsidR="004E1D40" w:rsidRPr="00421D37" w:rsidRDefault="004E1D40" w:rsidP="001D2615">
      <w:pPr>
        <w:pStyle w:val="Heading4numbered"/>
      </w:pPr>
      <w:r w:rsidRPr="00421D37">
        <w:t>Benefits</w:t>
      </w:r>
    </w:p>
    <w:p w14:paraId="5F97C6FA" w14:textId="77777777" w:rsidR="004E1D40" w:rsidRPr="00421D37" w:rsidRDefault="00857AB4" w:rsidP="00834461">
      <w:pPr>
        <w:pStyle w:val="NormalIndent"/>
      </w:pPr>
      <w:r>
        <w:t xml:space="preserve">The </w:t>
      </w:r>
      <w:r w:rsidR="004E1D40" w:rsidRPr="00421D37">
        <w:t xml:space="preserve">ITC </w:t>
      </w:r>
      <w:r w:rsidR="004E1D40" w:rsidRPr="00421D37">
        <w:rPr>
          <w:iCs/>
        </w:rPr>
        <w:t xml:space="preserve">model provides a greater and earlier focus on scoping and risk management </w:t>
      </w:r>
      <w:r w:rsidR="004E1D40" w:rsidRPr="00421D37">
        <w:t xml:space="preserve">through early investment in collaborative design and </w:t>
      </w:r>
      <w:r>
        <w:t>project development.</w:t>
      </w:r>
      <w:r w:rsidR="004E1D40" w:rsidRPr="00421D37">
        <w:t xml:space="preserve"> It also shares risk and aligns goals between the parties, providing:</w:t>
      </w:r>
    </w:p>
    <w:p w14:paraId="5CB9457A" w14:textId="77777777" w:rsidR="004E1D40" w:rsidRPr="00421D37" w:rsidRDefault="004E1D40" w:rsidP="001D2615">
      <w:pPr>
        <w:pStyle w:val="Bulletindent"/>
      </w:pPr>
      <w:r>
        <w:t xml:space="preserve">a staged approach that enables scope and design to be collaboratively developed and costed while ensuring competitive tension </w:t>
      </w:r>
      <w:r w:rsidR="00857AB4">
        <w:t>in the development</w:t>
      </w:r>
      <w:r>
        <w:t xml:space="preserve"> phase</w:t>
      </w:r>
    </w:p>
    <w:p w14:paraId="4AAB3F4C" w14:textId="1BC9A8FE" w:rsidR="004E1D40" w:rsidRPr="00421D37" w:rsidRDefault="004E1D40" w:rsidP="001D2615">
      <w:pPr>
        <w:pStyle w:val="Bulletindent"/>
      </w:pPr>
      <w:r>
        <w:t xml:space="preserve">transparency on actual cost through an </w:t>
      </w:r>
      <w:r w:rsidR="007234AD">
        <w:t>open-book</w:t>
      </w:r>
      <w:r>
        <w:t xml:space="preserve"> approach</w:t>
      </w:r>
    </w:p>
    <w:p w14:paraId="26A8289E" w14:textId="5E77A85C" w:rsidR="00857AB4" w:rsidRPr="00421D37" w:rsidRDefault="00857AB4" w:rsidP="001D2615">
      <w:pPr>
        <w:pStyle w:val="Bulletindent"/>
      </w:pPr>
      <w:r>
        <w:t>robust KRA</w:t>
      </w:r>
      <w:r w:rsidR="00BB56CD">
        <w:t>/</w:t>
      </w:r>
      <w:r>
        <w:t>KPI (such as time, quality, stakeholder, disruption, safety and sustainability) structured as positive financial incentives to drive desired behaviours</w:t>
      </w:r>
    </w:p>
    <w:p w14:paraId="11D09C5D" w14:textId="2F82B561" w:rsidR="004E1D40" w:rsidRPr="00421D37" w:rsidRDefault="00857AB4" w:rsidP="001D2615">
      <w:pPr>
        <w:pStyle w:val="Bulletindent"/>
      </w:pPr>
      <w:r>
        <w:t xml:space="preserve">a </w:t>
      </w:r>
      <w:r w:rsidR="004E1D40">
        <w:t>mix of reimbursement and</w:t>
      </w:r>
      <w:r>
        <w:t xml:space="preserve"> a</w:t>
      </w:r>
      <w:r w:rsidR="004E1D40">
        <w:t xml:space="preserve"> performance</w:t>
      </w:r>
      <w:r w:rsidR="00A24CFE">
        <w:t>-</w:t>
      </w:r>
      <w:r w:rsidR="004E1D40">
        <w:t xml:space="preserve">based commercial model with a single point of accountability for design and construction </w:t>
      </w:r>
      <w:r>
        <w:t>as well as</w:t>
      </w:r>
      <w:r w:rsidR="004E1D40">
        <w:t xml:space="preserve"> contractor warranties for design and fitness for purpose</w:t>
      </w:r>
      <w:r>
        <w:t>.</w:t>
      </w:r>
    </w:p>
    <w:p w14:paraId="0B0B684A" w14:textId="77777777" w:rsidR="004E1D40" w:rsidRPr="00421D37" w:rsidRDefault="004E1D40" w:rsidP="001D2615">
      <w:pPr>
        <w:pStyle w:val="Heading4numbered"/>
      </w:pPr>
      <w:r w:rsidRPr="00421D37">
        <w:t>Points to consider</w:t>
      </w:r>
    </w:p>
    <w:p w14:paraId="01B6D713" w14:textId="67533CC6" w:rsidR="00F83458" w:rsidRPr="00421D37" w:rsidRDefault="00F83458" w:rsidP="00834461">
      <w:pPr>
        <w:pStyle w:val="NormalIndent"/>
      </w:pPr>
      <w:r w:rsidRPr="00421D37">
        <w:t>ITC procurement require</w:t>
      </w:r>
      <w:r>
        <w:t>s</w:t>
      </w:r>
      <w:r w:rsidRPr="00421D37">
        <w:t xml:space="preserve"> a high level of investment and preparation by delivery agencies. The agency must have or be able to build the internal systems, culture and expertise to effectively participate, manage and support the ITC process. This capability is integral </w:t>
      </w:r>
      <w:r>
        <w:t>in this model</w:t>
      </w:r>
      <w:r w:rsidR="00A24CFE">
        <w:t>,</w:t>
      </w:r>
      <w:r>
        <w:t xml:space="preserve"> </w:t>
      </w:r>
      <w:r w:rsidR="00A24CFE">
        <w:t>because</w:t>
      </w:r>
      <w:r w:rsidRPr="00421D37">
        <w:t>:</w:t>
      </w:r>
    </w:p>
    <w:p w14:paraId="5E65A8BA" w14:textId="7F4F6DB7" w:rsidR="004E1D40" w:rsidRPr="00421D37" w:rsidRDefault="004E1D40" w:rsidP="001D2615">
      <w:pPr>
        <w:pStyle w:val="Bulletindent"/>
      </w:pPr>
      <w:r>
        <w:t xml:space="preserve">success of the </w:t>
      </w:r>
      <w:r w:rsidR="0020604A">
        <w:t>risk-sharing</w:t>
      </w:r>
      <w:r>
        <w:t xml:space="preserve"> contract elements </w:t>
      </w:r>
      <w:r w:rsidR="00F83458">
        <w:t>is</w:t>
      </w:r>
      <w:r>
        <w:t xml:space="preserve"> contingent on the agency having the necessary capability and capacity to provide robust interrogation of proponent costs, both during the procurement process and into service delivery</w:t>
      </w:r>
    </w:p>
    <w:p w14:paraId="7D06C395" w14:textId="2530F400" w:rsidR="004E1D40" w:rsidRDefault="004E1D40" w:rsidP="001D2615">
      <w:pPr>
        <w:pStyle w:val="Bulletindent"/>
      </w:pPr>
      <w:r w:rsidRPr="00421D37">
        <w:t xml:space="preserve">the </w:t>
      </w:r>
      <w:r>
        <w:t>agency is exposed</w:t>
      </w:r>
      <w:r w:rsidRPr="00421D37">
        <w:t xml:space="preserve"> to time and cost overruns under the risk and reward regime</w:t>
      </w:r>
    </w:p>
    <w:p w14:paraId="3CFED4C9" w14:textId="53B7C23B" w:rsidR="004E1D40" w:rsidRPr="00421D37" w:rsidDel="00AC34BA" w:rsidRDefault="461EAFCC" w:rsidP="001D2615">
      <w:pPr>
        <w:pStyle w:val="Bulletindent"/>
      </w:pPr>
      <w:r>
        <w:t xml:space="preserve">there can be a lack of focus on lifecycle costs and considerations, similar to </w:t>
      </w:r>
      <w:r w:rsidR="001B2B63">
        <w:t>fixed-price</w:t>
      </w:r>
      <w:r>
        <w:t xml:space="preserve"> forms of procurement.</w:t>
      </w:r>
    </w:p>
    <w:p w14:paraId="1735E961" w14:textId="1D2A85EF" w:rsidR="004E1D40" w:rsidRPr="00421D37" w:rsidRDefault="004E1D40" w:rsidP="001D2615">
      <w:pPr>
        <w:pStyle w:val="Heading4numbered"/>
      </w:pPr>
      <w:r w:rsidRPr="00421D37">
        <w:t>Authorised contracts</w:t>
      </w:r>
      <w:r w:rsidR="00DC350B">
        <w:rPr>
          <w:rFonts w:ascii="ZWAdobeF" w:hAnsi="ZWAdobeF" w:cs="ZWAdobeF"/>
          <w:color w:val="auto"/>
          <w:sz w:val="2"/>
          <w:szCs w:val="2"/>
        </w:rPr>
        <w:t>10F</w:t>
      </w:r>
      <w:r w:rsidRPr="12332228">
        <w:rPr>
          <w:rStyle w:val="FootnoteReference"/>
        </w:rPr>
        <w:footnoteReference w:id="12"/>
      </w:r>
    </w:p>
    <w:p w14:paraId="5E6E8C9C" w14:textId="707DA366" w:rsidR="004E1D40" w:rsidRPr="009C5D8F" w:rsidRDefault="461EAFCC" w:rsidP="0033748E">
      <w:pPr>
        <w:pStyle w:val="Bulletindent"/>
        <w:keepNext/>
      </w:pPr>
      <w:r w:rsidRPr="009C5D8F">
        <w:t>ITC Development deed</w:t>
      </w:r>
    </w:p>
    <w:p w14:paraId="5F86F609" w14:textId="69CC2400" w:rsidR="004E1D40" w:rsidRPr="00421D37" w:rsidRDefault="461EAFCC" w:rsidP="001D2615">
      <w:pPr>
        <w:pStyle w:val="Bulletindent"/>
      </w:pPr>
      <w:r w:rsidRPr="009C5D8F">
        <w:t>ITC Delivery deed</w:t>
      </w:r>
      <w:r w:rsidR="001C0CEE">
        <w:t xml:space="preserve"> </w:t>
      </w:r>
      <w:r w:rsidR="00865DCB">
        <w:t xml:space="preserve">(available on </w:t>
      </w:r>
      <w:r w:rsidR="001C0CEE">
        <w:t xml:space="preserve">the </w:t>
      </w:r>
      <w:r w:rsidR="00865DCB">
        <w:t>DTF</w:t>
      </w:r>
      <w:r w:rsidR="005D7666">
        <w:t xml:space="preserve"> </w:t>
      </w:r>
      <w:hyperlink r:id="rId126" w:history="1">
        <w:r w:rsidR="00D51535" w:rsidRPr="00D51535">
          <w:rPr>
            <w:rStyle w:val="Hyperlink"/>
          </w:rPr>
          <w:t>Cost Reimbursable Procurement Category</w:t>
        </w:r>
      </w:hyperlink>
      <w:r w:rsidR="001C0CEE" w:rsidRPr="00EC17A1">
        <w:t xml:space="preserve"> webpage</w:t>
      </w:r>
      <w:r w:rsidR="00EF24FC">
        <w:t>)</w:t>
      </w:r>
    </w:p>
    <w:p w14:paraId="5799972D" w14:textId="77777777" w:rsidR="004E1D40" w:rsidRPr="003D0768" w:rsidRDefault="004E1D40" w:rsidP="001D2615">
      <w:pPr>
        <w:pStyle w:val="Heading4numbered"/>
      </w:pPr>
      <w:r w:rsidRPr="00421D37">
        <w:t>Supporting resources</w:t>
      </w:r>
    </w:p>
    <w:p w14:paraId="39C821FD" w14:textId="341F5752" w:rsidR="005D7666" w:rsidRPr="00171CF8" w:rsidRDefault="00894832" w:rsidP="001D2615">
      <w:pPr>
        <w:pStyle w:val="Bulletindent"/>
      </w:pPr>
      <w:hyperlink r:id="rId127" w:history="1">
        <w:r w:rsidR="005D7666">
          <w:rPr>
            <w:rStyle w:val="Hyperlink"/>
          </w:rPr>
          <w:t>Cost Reimbursable Procurement Requirements</w:t>
        </w:r>
      </w:hyperlink>
    </w:p>
    <w:p w14:paraId="31B4A901" w14:textId="77777777" w:rsidR="004E1D40" w:rsidRPr="00421D37" w:rsidRDefault="004E1D40" w:rsidP="001D2615">
      <w:pPr>
        <w:pStyle w:val="Heading3numbered"/>
      </w:pPr>
      <w:r w:rsidRPr="00421D37">
        <w:t>Alliance</w:t>
      </w:r>
    </w:p>
    <w:p w14:paraId="7AC45191" w14:textId="77777777" w:rsidR="004E1D40" w:rsidRPr="00421D37" w:rsidRDefault="004E1D40" w:rsidP="001D2615">
      <w:pPr>
        <w:pStyle w:val="Heading4numbered"/>
      </w:pPr>
      <w:r w:rsidRPr="00421D37">
        <w:t>Key features</w:t>
      </w:r>
    </w:p>
    <w:p w14:paraId="65CE7BFD" w14:textId="620D7AD7" w:rsidR="00AC64FB" w:rsidRPr="00421D37" w:rsidRDefault="00AC64FB" w:rsidP="00834461">
      <w:pPr>
        <w:pStyle w:val="NormalIndent"/>
        <w:rPr>
          <w:rFonts w:eastAsia="MS Mincho"/>
        </w:rPr>
      </w:pPr>
      <w:r w:rsidRPr="00421D37">
        <w:rPr>
          <w:rFonts w:eastAsia="MS Mincho"/>
        </w:rPr>
        <w:t xml:space="preserve">An </w:t>
      </w:r>
      <w:r>
        <w:rPr>
          <w:rFonts w:eastAsia="MS Mincho"/>
        </w:rPr>
        <w:t>a</w:t>
      </w:r>
      <w:r w:rsidRPr="00421D37">
        <w:rPr>
          <w:rFonts w:eastAsia="MS Mincho"/>
        </w:rPr>
        <w:t>lliance is formed between the agency and non-owner participants (NOP) (the contractor, designer and other private parties)</w:t>
      </w:r>
      <w:r>
        <w:rPr>
          <w:rFonts w:eastAsia="MS Mincho"/>
        </w:rPr>
        <w:t xml:space="preserve"> to </w:t>
      </w:r>
      <w:r w:rsidRPr="00421D37">
        <w:rPr>
          <w:rFonts w:eastAsia="MS Mincho"/>
        </w:rPr>
        <w:t>design and construct a project.</w:t>
      </w:r>
    </w:p>
    <w:p w14:paraId="3D7786D5" w14:textId="39160BAF" w:rsidR="00AC64FB" w:rsidRPr="00421D37" w:rsidRDefault="00AC64FB" w:rsidP="00834461">
      <w:pPr>
        <w:pStyle w:val="NormalIndent"/>
        <w:rPr>
          <w:rFonts w:eastAsia="MS Mincho"/>
        </w:rPr>
      </w:pPr>
      <w:r w:rsidRPr="00421D37">
        <w:rPr>
          <w:rFonts w:eastAsia="MS Mincho"/>
        </w:rPr>
        <w:t xml:space="preserve">The </w:t>
      </w:r>
      <w:r>
        <w:rPr>
          <w:rFonts w:eastAsia="MS Mincho"/>
        </w:rPr>
        <w:t>a</w:t>
      </w:r>
      <w:r w:rsidRPr="00421D37">
        <w:rPr>
          <w:rFonts w:eastAsia="MS Mincho"/>
        </w:rPr>
        <w:t>lliance participants work together in good faith</w:t>
      </w:r>
      <w:r w:rsidRPr="00421D37" w:rsidDel="00DF1582">
        <w:rPr>
          <w:rFonts w:eastAsia="MS Mincho"/>
        </w:rPr>
        <w:t xml:space="preserve"> </w:t>
      </w:r>
      <w:r w:rsidRPr="00421D37">
        <w:rPr>
          <w:rFonts w:eastAsia="MS Mincho"/>
        </w:rPr>
        <w:t>as an integrated team to deal with key project matters on a best</w:t>
      </w:r>
      <w:r w:rsidR="007457C0">
        <w:rPr>
          <w:rFonts w:eastAsia="MS Mincho"/>
        </w:rPr>
        <w:t>-</w:t>
      </w:r>
      <w:r w:rsidRPr="00421D37">
        <w:rPr>
          <w:rFonts w:eastAsia="MS Mincho"/>
        </w:rPr>
        <w:t>for</w:t>
      </w:r>
      <w:r w:rsidR="007457C0">
        <w:rPr>
          <w:rFonts w:eastAsia="MS Mincho"/>
        </w:rPr>
        <w:t>-</w:t>
      </w:r>
      <w:r w:rsidRPr="00421D37">
        <w:rPr>
          <w:rFonts w:eastAsia="MS Mincho"/>
        </w:rPr>
        <w:t>project basis. The parties share risk, responsibilities and rewards in delivering the project.</w:t>
      </w:r>
    </w:p>
    <w:p w14:paraId="2D7C5EC4" w14:textId="0C129D19" w:rsidR="004E1D40" w:rsidRPr="00421D37" w:rsidRDefault="00501E49" w:rsidP="00F00271">
      <w:pPr>
        <w:pStyle w:val="NormalIndent"/>
      </w:pPr>
      <w:r>
        <w:t>An alliance model has the following k</w:t>
      </w:r>
      <w:r w:rsidRPr="00421D37">
        <w:t xml:space="preserve">ey </w:t>
      </w:r>
      <w:r w:rsidR="004E1D40" w:rsidRPr="00421D37">
        <w:t>features</w:t>
      </w:r>
      <w:r>
        <w:t>.</w:t>
      </w:r>
    </w:p>
    <w:p w14:paraId="174C4053" w14:textId="3A2E77F3" w:rsidR="00AC64FB" w:rsidRPr="00421D37" w:rsidRDefault="00AC64FB" w:rsidP="001D2615">
      <w:pPr>
        <w:pStyle w:val="Bulletindent"/>
      </w:pPr>
      <w:r>
        <w:t>The</w:t>
      </w:r>
      <w:r w:rsidDel="00DF1582">
        <w:t xml:space="preserve"> </w:t>
      </w:r>
      <w:r>
        <w:t xml:space="preserve">total cost of the project delivery is paid for by </w:t>
      </w:r>
      <w:r w:rsidR="005B524B">
        <w:t>the Government</w:t>
      </w:r>
      <w:r>
        <w:t>. Typically, only the corporate overhead and profit are at risk for NOPs. The agency takes 100</w:t>
      </w:r>
      <w:r w:rsidR="00C04A19">
        <w:rPr>
          <w:rFonts w:ascii="Calibri" w:hAnsi="Calibri"/>
        </w:rPr>
        <w:t> </w:t>
      </w:r>
      <w:r w:rsidR="00C04A19">
        <w:t>per cent</w:t>
      </w:r>
      <w:r>
        <w:t xml:space="preserve"> of cost overrun risk beyond that point.</w:t>
      </w:r>
    </w:p>
    <w:p w14:paraId="634C6FB1" w14:textId="76591FE4" w:rsidR="00AC64FB" w:rsidRPr="00421D37" w:rsidRDefault="00AC64FB" w:rsidP="001D2615">
      <w:pPr>
        <w:pStyle w:val="Bulletindent"/>
      </w:pPr>
      <w:r>
        <w:t>T</w:t>
      </w:r>
      <w:r w:rsidRPr="00421D37">
        <w:t xml:space="preserve">he </w:t>
      </w:r>
      <w:r>
        <w:t>a</w:t>
      </w:r>
      <w:r w:rsidRPr="00421D37">
        <w:t>lliance team jointly develop</w:t>
      </w:r>
      <w:r>
        <w:t>s</w:t>
      </w:r>
      <w:r w:rsidRPr="00421D37">
        <w:t xml:space="preserve"> a TOC</w:t>
      </w:r>
      <w:r>
        <w:t>.</w:t>
      </w:r>
      <w:r w:rsidR="00DC350B">
        <w:rPr>
          <w:rFonts w:ascii="ZWAdobeF" w:hAnsi="ZWAdobeF" w:cs="ZWAdobeF"/>
          <w:color w:val="auto"/>
          <w:sz w:val="2"/>
          <w:szCs w:val="2"/>
        </w:rPr>
        <w:t>11F</w:t>
      </w:r>
      <w:r w:rsidRPr="008011EA">
        <w:rPr>
          <w:vertAlign w:val="superscript"/>
        </w:rPr>
        <w:footnoteReference w:id="13"/>
      </w:r>
    </w:p>
    <w:p w14:paraId="0665B458" w14:textId="23BC8A0F" w:rsidR="00AC64FB" w:rsidRPr="00421D37" w:rsidRDefault="00AC64FB" w:rsidP="001D2615">
      <w:pPr>
        <w:pStyle w:val="Bulletindent"/>
      </w:pPr>
      <w:r>
        <w:t xml:space="preserve">The agency reimburses the NOPs on an </w:t>
      </w:r>
      <w:r w:rsidR="007C7BD5">
        <w:t>open-book basis</w:t>
      </w:r>
      <w:r>
        <w:t>, including agreed corporate overheads and profit amounts.</w:t>
      </w:r>
    </w:p>
    <w:p w14:paraId="06C43BAF" w14:textId="11437DCA" w:rsidR="00AC64FB" w:rsidRPr="00421D37" w:rsidRDefault="00AC64FB" w:rsidP="001D2615">
      <w:pPr>
        <w:pStyle w:val="Bulletindent"/>
      </w:pPr>
      <w:r>
        <w:t xml:space="preserve">NOPs are commercially incentivised under </w:t>
      </w:r>
      <w:r w:rsidR="00C04A19">
        <w:t xml:space="preserve">a </w:t>
      </w:r>
      <w:r>
        <w:t>cost painshare</w:t>
      </w:r>
      <w:r w:rsidR="00C04A19">
        <w:t>/</w:t>
      </w:r>
      <w:r>
        <w:t>gainshare regime, where costs below and above the TOC are shared between the parties using a pre-agreed percentage split, and a performance regime which includes reward payments</w:t>
      </w:r>
      <w:r w:rsidRPr="001531AE">
        <w:t xml:space="preserve"> </w:t>
      </w:r>
      <w:r w:rsidRPr="00421D37">
        <w:t xml:space="preserve">or penalties </w:t>
      </w:r>
      <w:r>
        <w:t>for specific KRA/KPI</w:t>
      </w:r>
      <w:r w:rsidDel="00DF1582">
        <w:t>.</w:t>
      </w:r>
    </w:p>
    <w:p w14:paraId="31326664" w14:textId="55AFDABC" w:rsidR="00AC64FB" w:rsidRPr="00421D37" w:rsidRDefault="00AC64FB" w:rsidP="001D2615">
      <w:pPr>
        <w:pStyle w:val="Bulletindent"/>
      </w:pPr>
      <w:r>
        <w:t xml:space="preserve">Legal rights to litigate against breach of contract, mistakes and negligence are contractually limited with a </w:t>
      </w:r>
      <w:r w:rsidR="00344D3F">
        <w:t>‘</w:t>
      </w:r>
      <w:r>
        <w:t>no blame, no disputes</w:t>
      </w:r>
      <w:r w:rsidR="00344D3F">
        <w:t>’</w:t>
      </w:r>
      <w:r>
        <w:t xml:space="preserve"> </w:t>
      </w:r>
      <w:r w:rsidR="006A7247">
        <w:t>approach</w:t>
      </w:r>
      <w:r>
        <w:t>.</w:t>
      </w:r>
    </w:p>
    <w:p w14:paraId="5D635A82" w14:textId="6037E577" w:rsidR="004E1D40" w:rsidRDefault="004E1D40" w:rsidP="00834461">
      <w:pPr>
        <w:pStyle w:val="NormalIndent"/>
      </w:pPr>
      <w:r w:rsidRPr="00421D37">
        <w:t xml:space="preserve">A key feature of the </w:t>
      </w:r>
      <w:r w:rsidR="00AC64FB">
        <w:t>a</w:t>
      </w:r>
      <w:r w:rsidR="00AC64FB" w:rsidRPr="00421D37">
        <w:t>lliance</w:t>
      </w:r>
      <w:r w:rsidRPr="00421D37">
        <w:t xml:space="preserve"> structure is joint decision</w:t>
      </w:r>
      <w:r w:rsidR="00AC64FB">
        <w:t>-</w:t>
      </w:r>
      <w:r w:rsidRPr="00421D37">
        <w:t xml:space="preserve">making by an </w:t>
      </w:r>
      <w:r w:rsidR="00AC64FB">
        <w:t>a</w:t>
      </w:r>
      <w:r w:rsidR="00AC64FB" w:rsidRPr="00421D37">
        <w:t xml:space="preserve">lliance </w:t>
      </w:r>
      <w:r w:rsidR="00AC64FB">
        <w:t>l</w:t>
      </w:r>
      <w:r w:rsidR="00AC64FB" w:rsidRPr="00421D37">
        <w:t xml:space="preserve">eadership </w:t>
      </w:r>
      <w:r w:rsidR="00AC64FB">
        <w:t>t</w:t>
      </w:r>
      <w:r w:rsidR="00AC64FB" w:rsidRPr="00421D37">
        <w:t>eam</w:t>
      </w:r>
      <w:r w:rsidRPr="00421D37">
        <w:t xml:space="preserve"> incorporating participants from the agency and NOPs. However, certain important decisions are always reserved for the agency, with </w:t>
      </w:r>
      <w:r w:rsidR="005B524B">
        <w:t>the Government</w:t>
      </w:r>
      <w:r w:rsidRPr="00421D37">
        <w:t xml:space="preserve"> ultimately paying for the asset.</w:t>
      </w:r>
    </w:p>
    <w:p w14:paraId="4794118E" w14:textId="4D662A33" w:rsidR="004E1D40" w:rsidRDefault="004E1D40" w:rsidP="00171CF8">
      <w:pPr>
        <w:pStyle w:val="Captionindent"/>
      </w:pPr>
      <w:bookmarkStart w:id="349" w:name="_Toc145621481"/>
      <w:bookmarkStart w:id="350" w:name="_Toc145621610"/>
      <w:bookmarkStart w:id="351" w:name="_Toc160457786"/>
      <w:r w:rsidRPr="00421D37">
        <w:t xml:space="preserve">Figure </w:t>
      </w:r>
      <w:r w:rsidRPr="00421D37">
        <w:fldChar w:fldCharType="begin"/>
      </w:r>
      <w:r w:rsidRPr="00421D37">
        <w:instrText>SEQ Figure \* ARABIC</w:instrText>
      </w:r>
      <w:r w:rsidRPr="00421D37">
        <w:fldChar w:fldCharType="separate"/>
      </w:r>
      <w:r w:rsidR="008A4B3E">
        <w:rPr>
          <w:noProof/>
        </w:rPr>
        <w:t>17</w:t>
      </w:r>
      <w:r w:rsidRPr="00421D37">
        <w:fldChar w:fldCharType="end"/>
      </w:r>
      <w:r w:rsidR="005504CB">
        <w:t xml:space="preserve"> – </w:t>
      </w:r>
      <w:r>
        <w:t xml:space="preserve">Alliance </w:t>
      </w:r>
      <w:r w:rsidR="00116735">
        <w:t>structure</w:t>
      </w:r>
      <w:bookmarkEnd w:id="349"/>
      <w:bookmarkEnd w:id="350"/>
      <w:bookmarkEnd w:id="351"/>
    </w:p>
    <w:p w14:paraId="21B93CA1" w14:textId="72576C23" w:rsidR="006066BF" w:rsidRPr="00394D9C" w:rsidRDefault="00116735" w:rsidP="00171CF8">
      <w:pPr>
        <w:pStyle w:val="NormalIndent"/>
      </w:pPr>
      <w:r>
        <w:rPr>
          <w:noProof/>
        </w:rPr>
        <w:drawing>
          <wp:inline distT="0" distB="0" distL="0" distR="0" wp14:anchorId="5C85D78D" wp14:editId="338C3D99">
            <wp:extent cx="5224182" cy="2853254"/>
            <wp:effectExtent l="0" t="0" r="0" b="4445"/>
            <wp:docPr id="99" name="Picture 99" descr="The figure relates to section 4.3.3 key features of Alliance procurement. It is a diagram showing the contractual structure of parties involved in Alliance procurement over the project timeline from EOI and Shortlist; Proposal Development; Preferred NOP selected and delivery stag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he figure relates to section 4.3.3 key features of Alliance procurement. It is a diagram showing the contractual structure of parties involved in Alliance procurement over the project timeline from EOI and Shortlist; Proposal Development; Preferred NOP selected and delivery stage . "/>
                    <pic:cNvPicPr>
                      <a:picLocks noChangeAspect="1" noChangeArrowheads="1"/>
                    </pic:cNvPicPr>
                  </pic:nvPicPr>
                  <pic:blipFill>
                    <a:blip r:embed="rId128" cstate="screen">
                      <a:extLst>
                        <a:ext uri="{28A0092B-C50C-407E-A947-70E740481C1C}">
                          <a14:useLocalDpi xmlns:a14="http://schemas.microsoft.com/office/drawing/2010/main"/>
                        </a:ext>
                      </a:extLst>
                    </a:blip>
                    <a:srcRect/>
                    <a:stretch>
                      <a:fillRect/>
                    </a:stretch>
                  </pic:blipFill>
                  <pic:spPr bwMode="auto">
                    <a:xfrm>
                      <a:off x="0" y="0"/>
                      <a:ext cx="5229527" cy="2856173"/>
                    </a:xfrm>
                    <a:prstGeom prst="rect">
                      <a:avLst/>
                    </a:prstGeom>
                    <a:noFill/>
                  </pic:spPr>
                </pic:pic>
              </a:graphicData>
            </a:graphic>
          </wp:inline>
        </w:drawing>
      </w:r>
    </w:p>
    <w:p w14:paraId="167256BF" w14:textId="5212B3E0" w:rsidR="004E1D40" w:rsidRPr="00421D37" w:rsidRDefault="004E1D40" w:rsidP="001D2615">
      <w:pPr>
        <w:pStyle w:val="Heading4numbered"/>
      </w:pPr>
      <w:r w:rsidRPr="00421D37">
        <w:t xml:space="preserve">When to use </w:t>
      </w:r>
      <w:r w:rsidR="007E590A">
        <w:t>an a</w:t>
      </w:r>
      <w:r w:rsidRPr="00421D37">
        <w:t>lliance</w:t>
      </w:r>
    </w:p>
    <w:p w14:paraId="3B768EEA" w14:textId="5568ED90" w:rsidR="004E1D40" w:rsidRPr="00421D37" w:rsidRDefault="004E1D40" w:rsidP="00834461">
      <w:pPr>
        <w:pStyle w:val="NormalIndent"/>
      </w:pPr>
      <w:r>
        <w:t xml:space="preserve">Alliances </w:t>
      </w:r>
      <w:r w:rsidR="38786BFC">
        <w:t xml:space="preserve">are </w:t>
      </w:r>
      <w:r w:rsidR="00AC0A72">
        <w:t>m</w:t>
      </w:r>
      <w:r w:rsidR="00AC0A72" w:rsidRPr="00F25C9E">
        <w:t>ost</w:t>
      </w:r>
      <w:r w:rsidR="00F25C9E">
        <w:t xml:space="preserve"> suited to larger and complex projects with high</w:t>
      </w:r>
      <w:r w:rsidR="00AC0A72">
        <w:t>-</w:t>
      </w:r>
      <w:r w:rsidR="00F25C9E">
        <w:t>level stakeholder influence or uncertainty</w:t>
      </w:r>
      <w:r w:rsidR="00AC0A72">
        <w:t xml:space="preserve">. </w:t>
      </w:r>
      <w:r w:rsidR="00C04A19">
        <w:t>W</w:t>
      </w:r>
      <w:r w:rsidR="00AC0A72">
        <w:t>here suited to the individual</w:t>
      </w:r>
      <w:r w:rsidR="00AC0A72" w:rsidRPr="00830CEC">
        <w:t xml:space="preserve"> </w:t>
      </w:r>
      <w:r w:rsidR="00AC0A72">
        <w:t xml:space="preserve">project characteristics, </w:t>
      </w:r>
      <w:r w:rsidR="00C04A19">
        <w:t xml:space="preserve">alliances </w:t>
      </w:r>
      <w:r w:rsidR="00AC0A72">
        <w:t>can benefit from a programmatic</w:t>
      </w:r>
      <w:r w:rsidR="00AC0A72" w:rsidRPr="00F25C9E">
        <w:t xml:space="preserve"> </w:t>
      </w:r>
      <w:r w:rsidR="00AC0A72">
        <w:t>approach</w:t>
      </w:r>
      <w:r w:rsidR="00F25C9E">
        <w:t xml:space="preserve"> </w:t>
      </w:r>
      <w:r w:rsidR="00C04A19">
        <w:t xml:space="preserve">as </w:t>
      </w:r>
      <w:r w:rsidR="00F25C9E">
        <w:t>the opportunity for future work provides an even greater incentive for contractor performance</w:t>
      </w:r>
      <w:r>
        <w:t xml:space="preserve">. </w:t>
      </w:r>
      <w:r w:rsidR="00CB5559">
        <w:t xml:space="preserve">The following characteristics favour </w:t>
      </w:r>
      <w:r w:rsidR="00C04A19">
        <w:t>a</w:t>
      </w:r>
      <w:r w:rsidR="00764995">
        <w:t>lliance</w:t>
      </w:r>
      <w:r w:rsidR="00D77C03">
        <w:t xml:space="preserve"> procurement</w:t>
      </w:r>
      <w:r w:rsidR="00CB5559">
        <w:t>.</w:t>
      </w:r>
    </w:p>
    <w:p w14:paraId="683D07CD" w14:textId="31F036EC" w:rsidR="00D172B6" w:rsidRDefault="00D172B6" w:rsidP="00171CF8">
      <w:pPr>
        <w:pStyle w:val="Heading4"/>
      </w:pPr>
      <w:r w:rsidRPr="198CA7B3">
        <w:t>Project value</w:t>
      </w:r>
    </w:p>
    <w:p w14:paraId="08612AF4" w14:textId="4F8D3B6D" w:rsidR="00D172B6" w:rsidRPr="00421D37" w:rsidRDefault="00D172B6" w:rsidP="001D2615">
      <w:pPr>
        <w:pStyle w:val="Bulletindent"/>
      </w:pPr>
      <w:r w:rsidRPr="00086ABA">
        <w:t xml:space="preserve">Typically exceeds </w:t>
      </w:r>
      <w:r w:rsidRPr="00332655">
        <w:t>$</w:t>
      </w:r>
      <w:r w:rsidR="00C56F45">
        <w:t>10</w:t>
      </w:r>
      <w:r w:rsidRPr="00332655">
        <w:t>0</w:t>
      </w:r>
      <w:r w:rsidR="00606457">
        <w:rPr>
          <w:rFonts w:ascii="Calibri" w:hAnsi="Calibri"/>
        </w:rPr>
        <w:t> </w:t>
      </w:r>
      <w:r w:rsidRPr="00086ABA">
        <w:t>million</w:t>
      </w:r>
      <w:r w:rsidR="00C04A19">
        <w:t>, providing sufficient scale to cover the high</w:t>
      </w:r>
      <w:r w:rsidR="001A10DB">
        <w:t>er</w:t>
      </w:r>
      <w:r w:rsidR="00C04A19">
        <w:t xml:space="preserve"> costs of establishment, governance and administration.</w:t>
      </w:r>
      <w:r w:rsidR="00DC350B">
        <w:rPr>
          <w:rFonts w:ascii="ZWAdobeF" w:hAnsi="ZWAdobeF" w:cs="ZWAdobeF"/>
          <w:color w:val="auto"/>
          <w:sz w:val="2"/>
          <w:szCs w:val="2"/>
        </w:rPr>
        <w:t>12F</w:t>
      </w:r>
      <w:r>
        <w:rPr>
          <w:rStyle w:val="FootnoteReference"/>
        </w:rPr>
        <w:footnoteReference w:id="14"/>
      </w:r>
    </w:p>
    <w:p w14:paraId="12B98033" w14:textId="05C2EC76" w:rsidR="00D172B6" w:rsidRDefault="00D172B6" w:rsidP="00171CF8">
      <w:pPr>
        <w:pStyle w:val="Heading4"/>
      </w:pPr>
      <w:r w:rsidRPr="30306C04">
        <w:t>Scope, complexity and output certainty</w:t>
      </w:r>
    </w:p>
    <w:p w14:paraId="7177E8C9" w14:textId="699315AB" w:rsidR="00D172B6" w:rsidRDefault="00C56F45" w:rsidP="001D2615">
      <w:pPr>
        <w:pStyle w:val="Bulletindent"/>
      </w:pPr>
      <w:r w:rsidRPr="00C56F45">
        <w:t>The nature, scope and output cannot be reasonably and adequately defined before tendering to enable efficient pricing and risk allocation to the contractor for significant project components</w:t>
      </w:r>
      <w:r w:rsidR="17A3AFF4">
        <w:t>, or there are other factors</w:t>
      </w:r>
      <w:r w:rsidRPr="00C56F45">
        <w:t xml:space="preserve"> necessitating close engagement with the contractor and key stakeholders.</w:t>
      </w:r>
      <w:r w:rsidR="00DC350B">
        <w:rPr>
          <w:rFonts w:ascii="ZWAdobeF" w:hAnsi="ZWAdobeF" w:cs="ZWAdobeF"/>
          <w:color w:val="auto"/>
          <w:sz w:val="2"/>
          <w:szCs w:val="2"/>
        </w:rPr>
        <w:t>13F</w:t>
      </w:r>
      <w:r w:rsidR="00D172B6">
        <w:rPr>
          <w:rStyle w:val="FootnoteReference"/>
        </w:rPr>
        <w:footnoteReference w:id="15"/>
      </w:r>
    </w:p>
    <w:p w14:paraId="202A5312" w14:textId="5948FE67" w:rsidR="00D172B6" w:rsidRDefault="00D172B6" w:rsidP="001D2615">
      <w:pPr>
        <w:pStyle w:val="Bulletindent"/>
      </w:pPr>
      <w:r>
        <w:t xml:space="preserve">Investigative works to quantify risks and design outcomes are not feasible during the planning phase and would be more effectively and efficiently managed </w:t>
      </w:r>
      <w:r w:rsidR="00C56F45" w:rsidRPr="00C56F45">
        <w:t xml:space="preserve">in an alliance with the contractor during development and </w:t>
      </w:r>
      <w:r w:rsidR="00C56F45">
        <w:t>delivery</w:t>
      </w:r>
      <w:r>
        <w:t>.</w:t>
      </w:r>
    </w:p>
    <w:p w14:paraId="12C18A52" w14:textId="5FDC3421" w:rsidR="00D172B6" w:rsidRDefault="00D172B6" w:rsidP="001D2615">
      <w:pPr>
        <w:pStyle w:val="Bulletindent"/>
      </w:pPr>
      <w:r>
        <w:t xml:space="preserve">There </w:t>
      </w:r>
      <w:r w:rsidR="00F74A6F">
        <w:t>is uncertainty or</w:t>
      </w:r>
      <w:r>
        <w:t xml:space="preserve"> non-standard </w:t>
      </w:r>
      <w:r w:rsidDel="006370F9">
        <w:t>deliverables</w:t>
      </w:r>
      <w:r>
        <w:t>.</w:t>
      </w:r>
    </w:p>
    <w:p w14:paraId="25E428C8" w14:textId="5B6AE4CA" w:rsidR="00D172B6" w:rsidRDefault="00D172B6" w:rsidP="001D2615">
      <w:pPr>
        <w:pStyle w:val="Bulletindent"/>
        <w:keepNext/>
      </w:pPr>
      <w:r>
        <w:t xml:space="preserve">Ongoing </w:t>
      </w:r>
      <w:r w:rsidR="000E03C0">
        <w:t xml:space="preserve">input from the </w:t>
      </w:r>
      <w:r>
        <w:t>agency or key stakeholder</w:t>
      </w:r>
      <w:r w:rsidR="000E03C0">
        <w:t>s</w:t>
      </w:r>
      <w:r>
        <w:t xml:space="preserve"> is required during design and </w:t>
      </w:r>
      <w:r w:rsidDel="006370F9">
        <w:t>construction</w:t>
      </w:r>
      <w:r>
        <w:t>.</w:t>
      </w:r>
    </w:p>
    <w:p w14:paraId="3CFD54F3" w14:textId="77777777" w:rsidR="00D172B6" w:rsidRDefault="00D172B6" w:rsidP="001D2615">
      <w:pPr>
        <w:pStyle w:val="Bulletindent"/>
      </w:pPr>
      <w:r>
        <w:t xml:space="preserve">Knowledge sharing and transfer between the parties is </w:t>
      </w:r>
      <w:r w:rsidDel="006370F9">
        <w:t>required</w:t>
      </w:r>
      <w:r>
        <w:t>.</w:t>
      </w:r>
    </w:p>
    <w:p w14:paraId="5DB0D561" w14:textId="11763F44" w:rsidR="00D172B6" w:rsidRPr="00421D37" w:rsidRDefault="00D172B6" w:rsidP="001D2615">
      <w:pPr>
        <w:pStyle w:val="Bulletindent"/>
      </w:pPr>
      <w:r>
        <w:t>There are complex external factors, such as stakeholders and interfaces</w:t>
      </w:r>
      <w:r w:rsidR="000E03C0">
        <w:t>,</w:t>
      </w:r>
      <w:r>
        <w:t xml:space="preserve"> that will have a material impact on project cost and delivery timelines.</w:t>
      </w:r>
    </w:p>
    <w:p w14:paraId="63F6C1AD" w14:textId="3547FF46" w:rsidR="00A40D8F" w:rsidRPr="00CC0983" w:rsidRDefault="4771228B" w:rsidP="00171CF8">
      <w:pPr>
        <w:pStyle w:val="Heading4"/>
      </w:pPr>
      <w:r w:rsidRPr="198CA7B3">
        <w:t>Risk</w:t>
      </w:r>
      <w:r w:rsidR="00A91415">
        <w:t xml:space="preserve"> allocation</w:t>
      </w:r>
    </w:p>
    <w:p w14:paraId="0C710914" w14:textId="57786947" w:rsidR="004E1D40" w:rsidRPr="00421D37" w:rsidRDefault="0054295E" w:rsidP="001D2615">
      <w:pPr>
        <w:pStyle w:val="Bulletindent"/>
      </w:pPr>
      <w:r>
        <w:t>O</w:t>
      </w:r>
      <w:r w:rsidR="051DF73A" w:rsidRPr="00CC0983">
        <w:t>ther risk isolation and mitigation measures are not effective and transferring risks is cost prohibitive</w:t>
      </w:r>
      <w:r w:rsidR="00D172B6">
        <w:t>.</w:t>
      </w:r>
      <w:r w:rsidR="00D172B6" w:rsidRPr="00CC0983">
        <w:t xml:space="preserve"> </w:t>
      </w:r>
      <w:r>
        <w:t>S</w:t>
      </w:r>
      <w:r w:rsidR="051DF73A" w:rsidRPr="00CC0983">
        <w:t xml:space="preserve">uccessful management of risks is best achieved through a </w:t>
      </w:r>
      <w:r w:rsidR="00344D3F">
        <w:t>‘</w:t>
      </w:r>
      <w:r w:rsidR="051DF73A" w:rsidRPr="00CC0983">
        <w:t>no fault, no blame</w:t>
      </w:r>
      <w:r w:rsidR="00344D3F">
        <w:t>’</w:t>
      </w:r>
      <w:r w:rsidR="051DF73A" w:rsidRPr="00CC0983">
        <w:t xml:space="preserve"> approach</w:t>
      </w:r>
      <w:r w:rsidR="00D172B6">
        <w:t>.</w:t>
      </w:r>
    </w:p>
    <w:p w14:paraId="67760813" w14:textId="2EEDD41F" w:rsidR="00D172B6" w:rsidRDefault="004107D5" w:rsidP="00171CF8">
      <w:pPr>
        <w:pStyle w:val="Heading4"/>
      </w:pPr>
      <w:r>
        <w:t>A</w:t>
      </w:r>
      <w:r w:rsidR="00D172B6" w:rsidRPr="198CA7B3">
        <w:t xml:space="preserve">gency </w:t>
      </w:r>
      <w:r w:rsidR="00D172B6">
        <w:t>role</w:t>
      </w:r>
    </w:p>
    <w:p w14:paraId="3620A981" w14:textId="74EF68B9" w:rsidR="00D172B6" w:rsidRDefault="00D172B6" w:rsidP="001D2615">
      <w:pPr>
        <w:pStyle w:val="Bulletindent"/>
      </w:pPr>
      <w:r w:rsidRPr="008851C6">
        <w:t>The agency requires extensive project delivery capacity</w:t>
      </w:r>
      <w:r>
        <w:t xml:space="preserve"> and </w:t>
      </w:r>
      <w:r w:rsidRPr="008851C6">
        <w:t>expertise</w:t>
      </w:r>
      <w:r w:rsidRPr="008851C6" w:rsidDel="006370F9">
        <w:t xml:space="preserve"> to</w:t>
      </w:r>
      <w:r>
        <w:t xml:space="preserve"> s</w:t>
      </w:r>
      <w:r w:rsidRPr="009B4354">
        <w:t>upport the collective approach to assessing and managing cost and risk including real</w:t>
      </w:r>
      <w:r w:rsidR="0054295E">
        <w:t>-</w:t>
      </w:r>
      <w:r w:rsidRPr="009B4354">
        <w:t>time decision</w:t>
      </w:r>
      <w:r>
        <w:t>-</w:t>
      </w:r>
      <w:r w:rsidRPr="009B4354">
        <w:t>making</w:t>
      </w:r>
      <w:r>
        <w:t xml:space="preserve"> during delivery.</w:t>
      </w:r>
    </w:p>
    <w:p w14:paraId="0546B28A" w14:textId="1F917BA4" w:rsidR="004E1D40" w:rsidRPr="00421D37" w:rsidRDefault="00D172B6" w:rsidP="001D2615">
      <w:pPr>
        <w:pStyle w:val="Bulletindent"/>
      </w:pPr>
      <w:r>
        <w:t>The</w:t>
      </w:r>
      <w:r w:rsidR="0059640F">
        <w:t xml:space="preserve"> agency </w:t>
      </w:r>
      <w:r w:rsidR="007D71AF">
        <w:t>undertakes</w:t>
      </w:r>
      <w:r>
        <w:t xml:space="preserve"> </w:t>
      </w:r>
      <w:r w:rsidR="4436460A" w:rsidRPr="00CC0983">
        <w:t>cost benchmark</w:t>
      </w:r>
      <w:r w:rsidR="007D71AF">
        <w:t>ing</w:t>
      </w:r>
      <w:r w:rsidR="4436460A" w:rsidRPr="00CC0983">
        <w:t xml:space="preserve"> t</w:t>
      </w:r>
      <w:r w:rsidR="4436460A">
        <w:t xml:space="preserve">o </w:t>
      </w:r>
      <w:r w:rsidR="6236A21E">
        <w:t xml:space="preserve">help drive and validate an </w:t>
      </w:r>
      <w:r w:rsidR="10856F41">
        <w:t>efficient</w:t>
      </w:r>
      <w:r w:rsidR="6236A21E">
        <w:t xml:space="preserve"> target cost</w:t>
      </w:r>
      <w:r w:rsidR="4436460A">
        <w:t>.</w:t>
      </w:r>
    </w:p>
    <w:p w14:paraId="043C00AC" w14:textId="27B6E727" w:rsidR="004E1D40" w:rsidRPr="00421D37" w:rsidRDefault="004E1D40" w:rsidP="001D2615">
      <w:pPr>
        <w:pStyle w:val="Heading4numbered"/>
      </w:pPr>
      <w:r w:rsidRPr="00421D37">
        <w:t>Benefits</w:t>
      </w:r>
    </w:p>
    <w:p w14:paraId="40496AE8" w14:textId="57851F18" w:rsidR="00DC6690" w:rsidRPr="00421D37" w:rsidRDefault="004E1D40" w:rsidP="00834461">
      <w:pPr>
        <w:pStyle w:val="NormalIndent"/>
      </w:pPr>
      <w:r>
        <w:t xml:space="preserve">Alliances provide for a </w:t>
      </w:r>
      <w:r w:rsidR="4F3049D5">
        <w:t>collaborative</w:t>
      </w:r>
      <w:r>
        <w:t xml:space="preserve"> culture </w:t>
      </w:r>
      <w:r w:rsidR="00BB6D4B">
        <w:t>with</w:t>
      </w:r>
      <w:r>
        <w:t xml:space="preserve"> incentivised targets and collective </w:t>
      </w:r>
      <w:r w:rsidR="00A9001A">
        <w:t xml:space="preserve">decision-making aligning </w:t>
      </w:r>
      <w:r>
        <w:t>goals between the parties</w:t>
      </w:r>
      <w:r w:rsidR="4C0BA44D">
        <w:t>, providing</w:t>
      </w:r>
      <w:r w:rsidR="00DC6690">
        <w:t xml:space="preserve"> </w:t>
      </w:r>
      <w:r w:rsidR="001718CA">
        <w:t xml:space="preserve">the </w:t>
      </w:r>
      <w:r w:rsidR="461EAFCC">
        <w:t>ability to</w:t>
      </w:r>
      <w:r w:rsidR="00DC6690" w:rsidRPr="00421D37">
        <w:t>:</w:t>
      </w:r>
    </w:p>
    <w:p w14:paraId="5B9722F7" w14:textId="77777777" w:rsidR="004E1D40" w:rsidRPr="00421D37" w:rsidRDefault="461EAFCC" w:rsidP="001D2615">
      <w:pPr>
        <w:pStyle w:val="Bulletindent"/>
      </w:pPr>
      <w:r>
        <w:t>flexibly respond to changes in project scope and other delivery challenges</w:t>
      </w:r>
    </w:p>
    <w:p w14:paraId="50255205" w14:textId="77777777" w:rsidR="00DC6690" w:rsidRDefault="00DC6690" w:rsidP="001D2615">
      <w:pPr>
        <w:pStyle w:val="Bulletindent"/>
      </w:pPr>
      <w:r>
        <w:t>manage complex risks and stakeholder interfaces under an aligned commercial framework, including through involvement of operators</w:t>
      </w:r>
    </w:p>
    <w:p w14:paraId="42C8600F" w14:textId="77777777" w:rsidR="00DC6690" w:rsidRPr="00421D37" w:rsidRDefault="00DC6690" w:rsidP="001D2615">
      <w:pPr>
        <w:pStyle w:val="Bulletindent"/>
      </w:pPr>
      <w:r>
        <w:t xml:space="preserve">involve contractor(s) through </w:t>
      </w:r>
      <w:r w:rsidR="001718CA">
        <w:t xml:space="preserve">the </w:t>
      </w:r>
      <w:r>
        <w:t>collaborative design definition and risk quantification phase</w:t>
      </w:r>
      <w:r w:rsidR="461EAFCC">
        <w:t xml:space="preserve"> to </w:t>
      </w:r>
      <w:r>
        <w:t>improve pricing efficiency</w:t>
      </w:r>
    </w:p>
    <w:p w14:paraId="57CAB92F" w14:textId="1C19FBEA" w:rsidR="004E1D40" w:rsidRPr="00421D37" w:rsidRDefault="461EAFCC" w:rsidP="001D2615">
      <w:pPr>
        <w:pStyle w:val="Bulletindent"/>
      </w:pPr>
      <w:r>
        <w:t>capitalise on joint knowledge, systems, innovation and risk management and to maximise client input</w:t>
      </w:r>
      <w:r w:rsidR="00DC6690">
        <w:t>.</w:t>
      </w:r>
    </w:p>
    <w:p w14:paraId="172F1C17" w14:textId="77777777" w:rsidR="004E1D40" w:rsidRPr="00421D37" w:rsidRDefault="004E1D40" w:rsidP="001D2615">
      <w:pPr>
        <w:pStyle w:val="Heading4numbered"/>
      </w:pPr>
      <w:r w:rsidRPr="00421D37">
        <w:t>Points to consider</w:t>
      </w:r>
    </w:p>
    <w:p w14:paraId="515B920E" w14:textId="7ACC9379" w:rsidR="00656CB2" w:rsidRPr="00421D37" w:rsidRDefault="00656CB2" w:rsidP="00834461">
      <w:pPr>
        <w:pStyle w:val="NormalIndent"/>
      </w:pPr>
      <w:r w:rsidRPr="00421D37">
        <w:t>Alliances require a high level of investment and preparation by delivery agencies. The agency must have</w:t>
      </w:r>
      <w:r>
        <w:t xml:space="preserve"> (</w:t>
      </w:r>
      <w:r w:rsidRPr="00421D37">
        <w:t>or be able to build</w:t>
      </w:r>
      <w:r>
        <w:t>)</w:t>
      </w:r>
      <w:r w:rsidRPr="00421D37">
        <w:t xml:space="preserve"> the internal systems, culture and expertise to effectively participate, manage and support the alliance process</w:t>
      </w:r>
      <w:r>
        <w:t xml:space="preserve">. </w:t>
      </w:r>
      <w:r w:rsidRPr="00421D37">
        <w:t xml:space="preserve">This requires participation at </w:t>
      </w:r>
      <w:r w:rsidR="0038334B">
        <w:t xml:space="preserve">senior </w:t>
      </w:r>
      <w:r>
        <w:t xml:space="preserve">or </w:t>
      </w:r>
      <w:r w:rsidRPr="00421D37">
        <w:t>executive levels within the agency. This capability is integral</w:t>
      </w:r>
      <w:r w:rsidR="00EB6F94">
        <w:t>, because</w:t>
      </w:r>
      <w:r>
        <w:t>:</w:t>
      </w:r>
    </w:p>
    <w:p w14:paraId="40FEFE6C" w14:textId="15427ED2" w:rsidR="0019416D" w:rsidRPr="00421D37" w:rsidRDefault="0019416D" w:rsidP="001D2615">
      <w:pPr>
        <w:pStyle w:val="Bulletindent"/>
      </w:pPr>
      <w:r>
        <w:t>the nature of alliances may result in heavy dependence on the contractor in the absence of agency expertise and preparation</w:t>
      </w:r>
    </w:p>
    <w:p w14:paraId="11735F30" w14:textId="33080D7D" w:rsidR="00656CB2" w:rsidRPr="00421D37" w:rsidRDefault="00656CB2" w:rsidP="001D2615">
      <w:pPr>
        <w:pStyle w:val="Bulletindent"/>
      </w:pPr>
      <w:r>
        <w:t xml:space="preserve">the success and selection of alliances </w:t>
      </w:r>
      <w:r w:rsidR="008411B7">
        <w:t>relies</w:t>
      </w:r>
      <w:r>
        <w:t xml:space="preserve"> on participation of the agency in project delivery</w:t>
      </w:r>
    </w:p>
    <w:p w14:paraId="121761C6" w14:textId="18963FFE" w:rsidR="00656CB2" w:rsidRPr="00421D37" w:rsidRDefault="00656CB2" w:rsidP="001D2615">
      <w:pPr>
        <w:pStyle w:val="Bulletindent"/>
      </w:pPr>
      <w:r>
        <w:t xml:space="preserve">risks are shared by the contractor up to a NOP risk cap, with limited legal recourse by either party. This increases the potential cost and risk exposure to </w:t>
      </w:r>
      <w:r w:rsidR="005B524B">
        <w:t>the Government</w:t>
      </w:r>
      <w:r>
        <w:t xml:space="preserve"> if not managed effectively</w:t>
      </w:r>
    </w:p>
    <w:p w14:paraId="260E9849" w14:textId="367E84DC" w:rsidR="00656CB2" w:rsidRDefault="00656CB2" w:rsidP="001D2615">
      <w:pPr>
        <w:pStyle w:val="Bulletindent"/>
        <w:keepNext/>
      </w:pPr>
      <w:r w:rsidRPr="00421D37">
        <w:t xml:space="preserve">project success is highly reliant on the </w:t>
      </w:r>
      <w:r>
        <w:t>effectiveness</w:t>
      </w:r>
      <w:r w:rsidRPr="00421D37">
        <w:t xml:space="preserve"> and maturity of the relationships and leadership of all parties</w:t>
      </w:r>
      <w:r w:rsidR="0022036C">
        <w:t>.</w:t>
      </w:r>
    </w:p>
    <w:p w14:paraId="14667494" w14:textId="4D8D92F4" w:rsidR="004E1D40" w:rsidRPr="00421D37" w:rsidRDefault="006F20FA" w:rsidP="002B54BF">
      <w:pPr>
        <w:pStyle w:val="NormalIndent"/>
      </w:pPr>
      <w:r>
        <w:t>T</w:t>
      </w:r>
      <w:r w:rsidR="788BE024">
        <w:t xml:space="preserve">he </w:t>
      </w:r>
      <w:r w:rsidR="00656CB2">
        <w:t>alliance</w:t>
      </w:r>
      <w:r w:rsidR="788BE024">
        <w:t xml:space="preserve"> model </w:t>
      </w:r>
      <w:r w:rsidR="70584412">
        <w:t>may</w:t>
      </w:r>
      <w:r w:rsidR="788BE024">
        <w:t xml:space="preserve"> benefit from </w:t>
      </w:r>
      <w:r w:rsidR="61D3EB9A">
        <w:t xml:space="preserve">the additional incentives provided by </w:t>
      </w:r>
      <w:r w:rsidR="3462D558">
        <w:t>programs of work. Programs incentivise contractor performance by providing a clear opportunity to the contractor for future work</w:t>
      </w:r>
      <w:r w:rsidR="445619EB">
        <w:t xml:space="preserve">. However, the benefits of this approach must be </w:t>
      </w:r>
      <w:r w:rsidR="3DAB4E8E">
        <w:t>balanced against</w:t>
      </w:r>
      <w:r w:rsidR="05080547">
        <w:t xml:space="preserve"> maintaining value over the life of the program.</w:t>
      </w:r>
    </w:p>
    <w:p w14:paraId="39931A5F" w14:textId="77777777" w:rsidR="004E1D40" w:rsidRPr="00421D37" w:rsidRDefault="004E1D40" w:rsidP="001D2615">
      <w:pPr>
        <w:pStyle w:val="Heading4numbered"/>
      </w:pPr>
      <w:r w:rsidRPr="00421D37">
        <w:t>Autho</w:t>
      </w:r>
      <w:r w:rsidRPr="008803CE">
        <w:t>rised contracts</w:t>
      </w:r>
    </w:p>
    <w:p w14:paraId="2DF515B9" w14:textId="7EA54947" w:rsidR="004E1D40" w:rsidRPr="00080B8C" w:rsidRDefault="00377DCC" w:rsidP="001D2615">
      <w:pPr>
        <w:pStyle w:val="Heading4numbered"/>
      </w:pPr>
      <w:r w:rsidRPr="00EA79C7">
        <w:t xml:space="preserve">Currently there is no DTF standard form </w:t>
      </w:r>
      <w:r>
        <w:t xml:space="preserve">Alliance </w:t>
      </w:r>
      <w:r w:rsidRPr="00EA79C7">
        <w:t>contract</w:t>
      </w:r>
      <w:r>
        <w:t xml:space="preserve"> available</w:t>
      </w:r>
      <w:r w:rsidDel="00377DCC">
        <w:t xml:space="preserve"> </w:t>
      </w:r>
      <w:r w:rsidR="004E1D40" w:rsidRPr="00421D37">
        <w:t>Supporting resources</w:t>
      </w:r>
    </w:p>
    <w:p w14:paraId="6682ED9F" w14:textId="77777777" w:rsidR="00BD6C11" w:rsidRPr="00171CF8" w:rsidRDefault="00894832" w:rsidP="00BD6C11">
      <w:pPr>
        <w:pStyle w:val="Bulletindent"/>
      </w:pPr>
      <w:hyperlink r:id="rId129" w:history="1">
        <w:r w:rsidR="00BD6C11">
          <w:rPr>
            <w:rStyle w:val="Hyperlink"/>
          </w:rPr>
          <w:t>Cost Reimbursable Procurement Requirements</w:t>
        </w:r>
      </w:hyperlink>
    </w:p>
    <w:p w14:paraId="48F82FAB" w14:textId="72B38489" w:rsidR="005F5B70" w:rsidRDefault="00894832" w:rsidP="001D2615">
      <w:pPr>
        <w:pStyle w:val="Bulletindent"/>
        <w:keepLines w:val="0"/>
        <w:spacing w:before="0" w:after="200" w:line="276" w:lineRule="auto"/>
      </w:pPr>
      <w:hyperlink r:id="rId130">
        <w:r w:rsidR="322BFA6B" w:rsidRPr="6E4B2343">
          <w:rPr>
            <w:rStyle w:val="Hyperlink"/>
          </w:rPr>
          <w:t>National Alliance Contracting Guidelines (September 2015)</w:t>
        </w:r>
      </w:hyperlink>
    </w:p>
    <w:p w14:paraId="758296DB" w14:textId="7F3D77D9" w:rsidR="004E1D40" w:rsidRPr="00421D37" w:rsidRDefault="130002C0" w:rsidP="001D2615">
      <w:pPr>
        <w:pStyle w:val="Heading2numbered"/>
        <w:rPr>
          <w:rFonts w:eastAsia="Times New Roman"/>
        </w:rPr>
      </w:pPr>
      <w:bookmarkStart w:id="352" w:name="_Ref144375677"/>
      <w:bookmarkStart w:id="353" w:name="_Toc161321766"/>
      <w:r w:rsidRPr="00421D37">
        <w:rPr>
          <w:rFonts w:eastAsia="Times New Roman"/>
        </w:rPr>
        <w:t>Whole</w:t>
      </w:r>
      <w:r w:rsidR="00C04A19">
        <w:rPr>
          <w:rFonts w:eastAsia="Times New Roman"/>
        </w:rPr>
        <w:t>-</w:t>
      </w:r>
      <w:r w:rsidRPr="00421D37">
        <w:rPr>
          <w:rFonts w:eastAsia="Times New Roman"/>
        </w:rPr>
        <w:t>of</w:t>
      </w:r>
      <w:r w:rsidR="00C04A19">
        <w:rPr>
          <w:rFonts w:eastAsia="Times New Roman"/>
        </w:rPr>
        <w:t>-</w:t>
      </w:r>
      <w:r w:rsidR="00883601">
        <w:rPr>
          <w:rFonts w:eastAsia="Times New Roman"/>
        </w:rPr>
        <w:t>l</w:t>
      </w:r>
      <w:r w:rsidRPr="00421D37">
        <w:rPr>
          <w:rFonts w:eastAsia="Times New Roman"/>
        </w:rPr>
        <w:t>ife models</w:t>
      </w:r>
      <w:bookmarkEnd w:id="115"/>
      <w:bookmarkEnd w:id="352"/>
      <w:bookmarkEnd w:id="353"/>
    </w:p>
    <w:p w14:paraId="0BDB06CF" w14:textId="67F1CD76" w:rsidR="002A11ED" w:rsidRPr="00DC6627" w:rsidRDefault="002A11ED" w:rsidP="002A11ED">
      <w:pPr>
        <w:pStyle w:val="HighlightBoxText"/>
      </w:pPr>
      <w:r w:rsidRPr="002D340B">
        <w:t>Whole</w:t>
      </w:r>
      <w:r>
        <w:t>-</w:t>
      </w:r>
      <w:r w:rsidRPr="002D340B">
        <w:t>of</w:t>
      </w:r>
      <w:r>
        <w:t>-</w:t>
      </w:r>
      <w:r w:rsidR="00883601">
        <w:t>l</w:t>
      </w:r>
      <w:r w:rsidRPr="002D340B">
        <w:t>ife (WoL) considerations should be part of every project</w:t>
      </w:r>
      <w:r w:rsidR="00344D3F">
        <w:t>’</w:t>
      </w:r>
      <w:r w:rsidRPr="002D340B">
        <w:t>s development, regardless of the packaging and procurement strategy</w:t>
      </w:r>
      <w:r>
        <w:t xml:space="preserve">. However, certain procurement models are designed to deliver WoL outcomes and performance through </w:t>
      </w:r>
      <w:r w:rsidR="0005239A">
        <w:t>long-term</w:t>
      </w:r>
      <w:r>
        <w:t xml:space="preserve"> contractual arrangements.</w:t>
      </w:r>
    </w:p>
    <w:p w14:paraId="6CA0E7DF" w14:textId="426407C7" w:rsidR="002A11ED" w:rsidRPr="00421D37" w:rsidRDefault="002A11ED" w:rsidP="00834461">
      <w:pPr>
        <w:pStyle w:val="NormalIndent"/>
      </w:pPr>
      <w:r w:rsidRPr="00524BFB">
        <w:t xml:space="preserve">There are two categories </w:t>
      </w:r>
      <w:r w:rsidR="00883601">
        <w:t>of</w:t>
      </w:r>
      <w:r w:rsidR="00883601" w:rsidRPr="00524BFB">
        <w:t xml:space="preserve"> </w:t>
      </w:r>
      <w:r>
        <w:t>WoL</w:t>
      </w:r>
      <w:r w:rsidRPr="00524BFB">
        <w:t xml:space="preserve"> procurement models:</w:t>
      </w:r>
    </w:p>
    <w:p w14:paraId="73EC4A73" w14:textId="128B3AF5" w:rsidR="002A11ED" w:rsidRPr="00A56953" w:rsidRDefault="002A11ED" w:rsidP="001D2615">
      <w:pPr>
        <w:pStyle w:val="Bulletindent"/>
        <w:rPr>
          <w:rFonts w:eastAsia="Arial"/>
        </w:rPr>
      </w:pPr>
      <w:r w:rsidRPr="00524BFB">
        <w:rPr>
          <w:rFonts w:eastAsia="Arial"/>
        </w:rPr>
        <w:t>Partnerships Victoria models</w:t>
      </w:r>
      <w:r w:rsidR="002C5B12">
        <w:rPr>
          <w:rFonts w:eastAsia="Arial"/>
        </w:rPr>
        <w:t>,</w:t>
      </w:r>
      <w:r w:rsidRPr="00524BFB">
        <w:rPr>
          <w:rFonts w:eastAsia="Arial"/>
        </w:rPr>
        <w:t xml:space="preserve"> where </w:t>
      </w:r>
      <w:r>
        <w:rPr>
          <w:rFonts w:eastAsia="Arial"/>
        </w:rPr>
        <w:t xml:space="preserve">WoL </w:t>
      </w:r>
      <w:r w:rsidRPr="00524BFB">
        <w:rPr>
          <w:rFonts w:eastAsia="Arial"/>
        </w:rPr>
        <w:t>activities are contracted</w:t>
      </w:r>
      <w:r w:rsidRPr="3E1B1837">
        <w:rPr>
          <w:rFonts w:eastAsia="Arial"/>
        </w:rPr>
        <w:t xml:space="preserve">, </w:t>
      </w:r>
      <w:r w:rsidRPr="394FC670">
        <w:rPr>
          <w:rFonts w:eastAsia="Arial"/>
        </w:rPr>
        <w:t>including</w:t>
      </w:r>
      <w:r w:rsidRPr="00524BFB">
        <w:rPr>
          <w:rFonts w:eastAsia="Arial"/>
        </w:rPr>
        <w:t xml:space="preserve"> with </w:t>
      </w:r>
      <w:r w:rsidRPr="47952FCC">
        <w:rPr>
          <w:rFonts w:eastAsia="Arial"/>
        </w:rPr>
        <w:t>project</w:t>
      </w:r>
      <w:r w:rsidRPr="1B43530C">
        <w:rPr>
          <w:rFonts w:eastAsia="Arial"/>
        </w:rPr>
        <w:t xml:space="preserve"> financing, </w:t>
      </w:r>
      <w:r w:rsidRPr="00A56953">
        <w:rPr>
          <w:rFonts w:eastAsia="Arial"/>
        </w:rPr>
        <w:t xml:space="preserve">which </w:t>
      </w:r>
      <w:r w:rsidR="00B33A08" w:rsidRPr="00A56953">
        <w:rPr>
          <w:rFonts w:eastAsia="Arial"/>
        </w:rPr>
        <w:t>may comprise debt and equity</w:t>
      </w:r>
      <w:r w:rsidRPr="00A56953">
        <w:rPr>
          <w:rFonts w:eastAsia="Arial"/>
        </w:rPr>
        <w:t xml:space="preserve"> </w:t>
      </w:r>
      <w:r w:rsidR="000C0987" w:rsidRPr="00A56953">
        <w:rPr>
          <w:rFonts w:eastAsia="Arial"/>
        </w:rPr>
        <w:t>funding</w:t>
      </w:r>
    </w:p>
    <w:p w14:paraId="4AF1021B" w14:textId="5A44A90E" w:rsidR="002A11ED" w:rsidRDefault="002A11ED" w:rsidP="001D2615">
      <w:pPr>
        <w:pStyle w:val="Bulletindent"/>
        <w:rPr>
          <w:rFonts w:eastAsia="Arial"/>
        </w:rPr>
      </w:pPr>
      <w:r>
        <w:rPr>
          <w:rFonts w:eastAsia="Arial"/>
        </w:rPr>
        <w:t>b</w:t>
      </w:r>
      <w:r w:rsidRPr="00524BFB">
        <w:rPr>
          <w:rFonts w:eastAsia="Arial"/>
        </w:rPr>
        <w:t>undled models</w:t>
      </w:r>
      <w:r w:rsidR="002431CF">
        <w:rPr>
          <w:rFonts w:eastAsia="Arial"/>
        </w:rPr>
        <w:t>,</w:t>
      </w:r>
      <w:r w:rsidRPr="00524BFB">
        <w:rPr>
          <w:rFonts w:eastAsia="Arial"/>
        </w:rPr>
        <w:t xml:space="preserve"> where separate components across the project</w:t>
      </w:r>
      <w:r w:rsidR="00344D3F">
        <w:rPr>
          <w:rFonts w:eastAsia="Arial"/>
        </w:rPr>
        <w:t>’</w:t>
      </w:r>
      <w:r w:rsidRPr="00524BFB">
        <w:rPr>
          <w:rFonts w:eastAsia="Arial"/>
        </w:rPr>
        <w:t xml:space="preserve">s </w:t>
      </w:r>
      <w:r>
        <w:rPr>
          <w:rFonts w:eastAsia="Arial"/>
        </w:rPr>
        <w:t>WoL</w:t>
      </w:r>
      <w:r w:rsidRPr="00524BFB">
        <w:rPr>
          <w:rFonts w:eastAsia="Arial"/>
        </w:rPr>
        <w:t xml:space="preserve"> are procured under a single </w:t>
      </w:r>
      <w:r w:rsidRPr="47952FCC">
        <w:rPr>
          <w:rFonts w:eastAsia="Arial"/>
        </w:rPr>
        <w:t xml:space="preserve">procurement </w:t>
      </w:r>
      <w:r>
        <w:rPr>
          <w:rFonts w:eastAsia="Arial"/>
        </w:rPr>
        <w:t>or</w:t>
      </w:r>
      <w:r w:rsidRPr="47952FCC">
        <w:rPr>
          <w:rFonts w:eastAsia="Arial"/>
        </w:rPr>
        <w:t xml:space="preserve"> </w:t>
      </w:r>
      <w:r w:rsidRPr="00524BFB">
        <w:rPr>
          <w:rFonts w:eastAsia="Arial"/>
        </w:rPr>
        <w:t xml:space="preserve">contract without </w:t>
      </w:r>
      <w:r w:rsidRPr="3C6BB21C">
        <w:rPr>
          <w:rFonts w:eastAsia="Arial"/>
        </w:rPr>
        <w:t>project</w:t>
      </w:r>
      <w:r w:rsidRPr="00524BFB">
        <w:rPr>
          <w:rFonts w:eastAsia="Arial"/>
        </w:rPr>
        <w:t xml:space="preserve"> financing.</w:t>
      </w:r>
    </w:p>
    <w:p w14:paraId="1AEAA80B" w14:textId="77777777" w:rsidR="002A11ED" w:rsidRPr="00421D37" w:rsidRDefault="002A11ED" w:rsidP="00834461">
      <w:pPr>
        <w:pStyle w:val="NormalIndent"/>
      </w:pPr>
      <w:r>
        <w:t>W</w:t>
      </w:r>
      <w:r w:rsidRPr="00524BFB">
        <w:t>oL procurement models typically feature:</w:t>
      </w:r>
    </w:p>
    <w:p w14:paraId="373D667E" w14:textId="38BE2FBC" w:rsidR="002A11ED" w:rsidRPr="00524BFB" w:rsidRDefault="002A11ED" w:rsidP="001D2615">
      <w:pPr>
        <w:pStyle w:val="Bulletindent"/>
        <w:rPr>
          <w:rFonts w:eastAsia="Arial"/>
        </w:rPr>
      </w:pPr>
      <w:r w:rsidRPr="00524BFB">
        <w:rPr>
          <w:rFonts w:eastAsia="Arial"/>
        </w:rPr>
        <w:t xml:space="preserve">one contractor to design, construct and maintain or operate assets </w:t>
      </w:r>
      <w:r w:rsidR="008719C5">
        <w:rPr>
          <w:rFonts w:eastAsia="Arial"/>
        </w:rPr>
        <w:t>(</w:t>
      </w:r>
      <w:r>
        <w:rPr>
          <w:rFonts w:eastAsia="Arial"/>
        </w:rPr>
        <w:t>or both</w:t>
      </w:r>
      <w:r w:rsidR="008719C5">
        <w:rPr>
          <w:rFonts w:eastAsia="Arial"/>
        </w:rPr>
        <w:t>)</w:t>
      </w:r>
      <w:r>
        <w:rPr>
          <w:rFonts w:eastAsia="Arial"/>
        </w:rPr>
        <w:t xml:space="preserve"> </w:t>
      </w:r>
      <w:r w:rsidRPr="00524BFB">
        <w:rPr>
          <w:rFonts w:eastAsia="Arial"/>
        </w:rPr>
        <w:t xml:space="preserve">over a </w:t>
      </w:r>
      <w:r w:rsidRPr="00524BFB" w:rsidDel="00134B94">
        <w:rPr>
          <w:rFonts w:eastAsia="Arial"/>
        </w:rPr>
        <w:t>long</w:t>
      </w:r>
      <w:r w:rsidRPr="00524BFB">
        <w:rPr>
          <w:rFonts w:eastAsia="Arial"/>
        </w:rPr>
        <w:t>-term contract</w:t>
      </w:r>
      <w:r w:rsidRPr="1B43530C">
        <w:rPr>
          <w:rFonts w:eastAsia="Arial"/>
        </w:rPr>
        <w:t>,</w:t>
      </w:r>
      <w:r w:rsidRPr="00524BFB">
        <w:rPr>
          <w:rFonts w:eastAsia="Arial"/>
        </w:rPr>
        <w:t xml:space="preserve"> </w:t>
      </w:r>
      <w:r w:rsidRPr="1FCE9753">
        <w:rPr>
          <w:rFonts w:eastAsia="Arial"/>
        </w:rPr>
        <w:t xml:space="preserve">typically </w:t>
      </w:r>
      <w:r w:rsidRPr="00524BFB">
        <w:rPr>
          <w:rFonts w:eastAsia="Arial"/>
        </w:rPr>
        <w:t>providing a single point of accountability</w:t>
      </w:r>
    </w:p>
    <w:p w14:paraId="4991C7F7" w14:textId="3B677ECE" w:rsidR="002A11ED" w:rsidRPr="00524BFB" w:rsidRDefault="002A11ED" w:rsidP="001D2615">
      <w:pPr>
        <w:pStyle w:val="Bulletindent"/>
        <w:rPr>
          <w:rFonts w:eastAsia="Arial"/>
        </w:rPr>
      </w:pPr>
      <w:r w:rsidRPr="00524BFB">
        <w:rPr>
          <w:rFonts w:eastAsia="Arial"/>
        </w:rPr>
        <w:t xml:space="preserve">a lump sum contract with the risks associated with design, construction, maintenance or operation </w:t>
      </w:r>
      <w:r w:rsidR="00411F4C">
        <w:rPr>
          <w:rFonts w:eastAsia="Arial"/>
        </w:rPr>
        <w:t>(</w:t>
      </w:r>
      <w:r>
        <w:rPr>
          <w:rFonts w:eastAsia="Arial"/>
        </w:rPr>
        <w:t>or both</w:t>
      </w:r>
      <w:r w:rsidR="00411F4C">
        <w:rPr>
          <w:rFonts w:eastAsia="Arial"/>
        </w:rPr>
        <w:t>)</w:t>
      </w:r>
      <w:r w:rsidR="00E22F55">
        <w:rPr>
          <w:rFonts w:eastAsia="Arial"/>
        </w:rPr>
        <w:t>,</w:t>
      </w:r>
      <w:r>
        <w:rPr>
          <w:rFonts w:eastAsia="Arial"/>
        </w:rPr>
        <w:t xml:space="preserve"> </w:t>
      </w:r>
      <w:r w:rsidRPr="00524BFB">
        <w:rPr>
          <w:rFonts w:eastAsia="Arial"/>
        </w:rPr>
        <w:t>including schedule and associated interfaces</w:t>
      </w:r>
      <w:r w:rsidR="00E22F55">
        <w:rPr>
          <w:rFonts w:eastAsia="Arial"/>
        </w:rPr>
        <w:t>,</w:t>
      </w:r>
      <w:r w:rsidRPr="00524BFB">
        <w:rPr>
          <w:rFonts w:eastAsia="Arial"/>
        </w:rPr>
        <w:t xml:space="preserve"> transferred to the contractor</w:t>
      </w:r>
    </w:p>
    <w:p w14:paraId="78B1208D" w14:textId="781C69C7" w:rsidR="002A11ED" w:rsidRPr="00E73516" w:rsidRDefault="002A11ED" w:rsidP="001D2615">
      <w:pPr>
        <w:pStyle w:val="Bulletindent"/>
        <w:rPr>
          <w:rFonts w:eastAsia="Arial"/>
        </w:rPr>
      </w:pPr>
      <w:bookmarkStart w:id="354" w:name="_Hlk144133767"/>
      <w:r w:rsidRPr="00E73516">
        <w:rPr>
          <w:rFonts w:eastAsia="Arial"/>
        </w:rPr>
        <w:t xml:space="preserve">contractor payments or project revenue based on the asset </w:t>
      </w:r>
      <w:r w:rsidRPr="00E73516">
        <w:t>being available for use</w:t>
      </w:r>
      <w:r w:rsidRPr="00E73516">
        <w:rPr>
          <w:rFonts w:eastAsia="Arial"/>
        </w:rPr>
        <w:t>, fulfilling specified contracting activities and achieving performance standards.</w:t>
      </w:r>
    </w:p>
    <w:bookmarkEnd w:id="354"/>
    <w:p w14:paraId="3E3AA88D" w14:textId="77777777" w:rsidR="002A11ED" w:rsidRPr="00E73516" w:rsidRDefault="002A11ED" w:rsidP="00834461">
      <w:pPr>
        <w:pStyle w:val="NormalIndent"/>
      </w:pPr>
      <w:r w:rsidRPr="00E73516">
        <w:t>WoL procurement models are well suited to projects where:</w:t>
      </w:r>
    </w:p>
    <w:p w14:paraId="6B60EF47" w14:textId="69FDB315" w:rsidR="002A11ED" w:rsidRPr="00E73516" w:rsidRDefault="00871105" w:rsidP="001D2615">
      <w:pPr>
        <w:pStyle w:val="Bulletindent"/>
        <w:rPr>
          <w:rFonts w:eastAsia="Arial"/>
        </w:rPr>
      </w:pPr>
      <w:r>
        <w:rPr>
          <w:rFonts w:eastAsia="Arial"/>
        </w:rPr>
        <w:t xml:space="preserve">it is </w:t>
      </w:r>
      <w:r w:rsidRPr="00E73516">
        <w:rPr>
          <w:rFonts w:eastAsia="Arial"/>
        </w:rPr>
        <w:t xml:space="preserve">achievable and cost-effective </w:t>
      </w:r>
      <w:r>
        <w:rPr>
          <w:rFonts w:eastAsia="Arial"/>
        </w:rPr>
        <w:t xml:space="preserve">to bundle </w:t>
      </w:r>
      <w:r w:rsidR="002A11ED" w:rsidRPr="00E73516">
        <w:rPr>
          <w:rFonts w:eastAsia="Arial"/>
        </w:rPr>
        <w:t>the design, construction and maintenance or operation of the asset under a single contract</w:t>
      </w:r>
    </w:p>
    <w:p w14:paraId="6AF7B3FE" w14:textId="0E0D386B" w:rsidR="005F5B70" w:rsidRDefault="7B3311D0" w:rsidP="001D2615">
      <w:pPr>
        <w:pStyle w:val="Bulletindent"/>
        <w:keepLines w:val="0"/>
        <w:spacing w:before="0" w:after="200" w:line="276" w:lineRule="auto"/>
        <w:rPr>
          <w:rFonts w:eastAsia="Arial"/>
        </w:rPr>
      </w:pPr>
      <w:r w:rsidRPr="00E73516">
        <w:rPr>
          <w:rFonts w:eastAsia="Arial"/>
        </w:rPr>
        <w:t>bundling can create value and efficiencies through scale, higher asset</w:t>
      </w:r>
      <w:r w:rsidRPr="00524BFB">
        <w:rPr>
          <w:rFonts w:eastAsia="Arial"/>
        </w:rPr>
        <w:t xml:space="preserve"> utilisation, a single point </w:t>
      </w:r>
      <w:r w:rsidR="002A11ED" w:rsidRPr="63BD1599">
        <w:rPr>
          <w:rFonts w:eastAsia="Arial"/>
        </w:rPr>
        <w:t xml:space="preserve">of </w:t>
      </w:r>
      <w:r w:rsidRPr="00524BFB">
        <w:rPr>
          <w:rFonts w:eastAsia="Arial"/>
        </w:rPr>
        <w:t>responsibility and a reduction in the number of interfaces across many contracts</w:t>
      </w:r>
      <w:r w:rsidR="00C04A19">
        <w:rPr>
          <w:rFonts w:eastAsia="Arial"/>
        </w:rPr>
        <w:t>.</w:t>
      </w:r>
    </w:p>
    <w:p w14:paraId="3D03422B" w14:textId="0825A7C1" w:rsidR="004E1D40" w:rsidRPr="00421D37" w:rsidRDefault="130002C0" w:rsidP="001D2615">
      <w:pPr>
        <w:pStyle w:val="Heading3numbered"/>
      </w:pPr>
      <w:bookmarkStart w:id="355" w:name="_Hlk131453451"/>
      <w:r>
        <w:t xml:space="preserve">Partnerships Victoria </w:t>
      </w:r>
      <w:r w:rsidR="007E590A">
        <w:t>m</w:t>
      </w:r>
      <w:r>
        <w:t>odels</w:t>
      </w:r>
    </w:p>
    <w:bookmarkEnd w:id="355"/>
    <w:p w14:paraId="6EA772E7" w14:textId="79A61E58" w:rsidR="00064F79" w:rsidRPr="00421D37" w:rsidRDefault="00064F79" w:rsidP="00834461">
      <w:pPr>
        <w:pStyle w:val="NormalIndent"/>
      </w:pPr>
      <w:r w:rsidRPr="00524BFB">
        <w:t xml:space="preserve">Partnerships Victoria models are long-term contracts where </w:t>
      </w:r>
      <w:r w:rsidR="00C27A5B">
        <w:t>the G</w:t>
      </w:r>
      <w:r w:rsidRPr="00524BFB">
        <w:t>overnment or users pay the private sector (typically a consortium) to deliver infrastructure and related services. These partnerships typically make the private sector parties who build public infrastructure financially responsible for its condition and performance throughout the asset</w:t>
      </w:r>
      <w:r w:rsidR="00344D3F">
        <w:t>’</w:t>
      </w:r>
      <w:r w:rsidRPr="00524BFB">
        <w:t>s lifetime.</w:t>
      </w:r>
    </w:p>
    <w:p w14:paraId="28EFFADC" w14:textId="704D5821" w:rsidR="00064F79" w:rsidRPr="00421D37" w:rsidRDefault="00064F79" w:rsidP="00834461">
      <w:pPr>
        <w:pStyle w:val="NormalIndent"/>
      </w:pPr>
      <w:r>
        <w:t>Typical features of these partnerships are</w:t>
      </w:r>
      <w:r w:rsidR="001E17F4">
        <w:t xml:space="preserve"> as follows:</w:t>
      </w:r>
    </w:p>
    <w:p w14:paraId="197795FA" w14:textId="25F92480" w:rsidR="00064F79" w:rsidRPr="00524BFB" w:rsidRDefault="00064F79" w:rsidP="001D2615">
      <w:pPr>
        <w:pStyle w:val="Bulletindent"/>
        <w:rPr>
          <w:rFonts w:eastAsia="Arial"/>
        </w:rPr>
      </w:pPr>
      <w:r>
        <w:rPr>
          <w:rFonts w:eastAsia="Arial"/>
        </w:rPr>
        <w:t>T</w:t>
      </w:r>
      <w:r w:rsidRPr="00524BFB">
        <w:rPr>
          <w:rFonts w:eastAsia="Arial"/>
        </w:rPr>
        <w:t xml:space="preserve">he agency prepares an </w:t>
      </w:r>
      <w:r w:rsidRPr="00524BFB" w:rsidDel="00C04A19">
        <w:rPr>
          <w:rFonts w:eastAsia="Arial"/>
        </w:rPr>
        <w:t>output</w:t>
      </w:r>
      <w:r w:rsidR="00C04A19">
        <w:rPr>
          <w:rFonts w:eastAsia="Arial"/>
        </w:rPr>
        <w:t>-based</w:t>
      </w:r>
      <w:r w:rsidRPr="00524BFB">
        <w:rPr>
          <w:rFonts w:eastAsia="Arial"/>
        </w:rPr>
        <w:t xml:space="preserve"> specification </w:t>
      </w:r>
      <w:r w:rsidRPr="2C19A644">
        <w:rPr>
          <w:rFonts w:eastAsia="Arial"/>
        </w:rPr>
        <w:t>of the asset and performance requirements</w:t>
      </w:r>
      <w:r w:rsidRPr="48D66DB1">
        <w:rPr>
          <w:rFonts w:eastAsia="Arial"/>
        </w:rPr>
        <w:t xml:space="preserve"> </w:t>
      </w:r>
      <w:r w:rsidRPr="00524BFB">
        <w:rPr>
          <w:rFonts w:eastAsia="Arial"/>
        </w:rPr>
        <w:t>rather than a prescriptive specification</w:t>
      </w:r>
      <w:r>
        <w:rPr>
          <w:rFonts w:eastAsia="Arial"/>
        </w:rPr>
        <w:t>.</w:t>
      </w:r>
    </w:p>
    <w:p w14:paraId="1BC1594F" w14:textId="623AE817" w:rsidR="00064F79" w:rsidRPr="00524BFB" w:rsidRDefault="00064F79" w:rsidP="001D2615">
      <w:pPr>
        <w:pStyle w:val="Bulletindent"/>
        <w:rPr>
          <w:rFonts w:eastAsia="Arial"/>
        </w:rPr>
      </w:pPr>
      <w:r>
        <w:rPr>
          <w:rFonts w:eastAsia="Arial"/>
        </w:rPr>
        <w:t>T</w:t>
      </w:r>
      <w:r w:rsidRPr="00524BFB">
        <w:rPr>
          <w:rFonts w:eastAsia="Arial"/>
        </w:rPr>
        <w:t>he consortium designs, builds, finances, maintains and in some cases operates the asset for a specific period (generally 20</w:t>
      </w:r>
      <w:r w:rsidR="006841B6">
        <w:rPr>
          <w:rFonts w:eastAsia="Arial"/>
        </w:rPr>
        <w:t xml:space="preserve"> to </w:t>
      </w:r>
      <w:r w:rsidRPr="00524BFB">
        <w:rPr>
          <w:rFonts w:eastAsia="Arial"/>
        </w:rPr>
        <w:t>30</w:t>
      </w:r>
      <w:r w:rsidR="00C04A19">
        <w:rPr>
          <w:rFonts w:ascii="Calibri" w:eastAsia="Arial" w:hAnsi="Calibri"/>
        </w:rPr>
        <w:t> </w:t>
      </w:r>
      <w:r w:rsidRPr="00524BFB">
        <w:rPr>
          <w:rFonts w:eastAsia="Arial"/>
        </w:rPr>
        <w:t>years)</w:t>
      </w:r>
      <w:r>
        <w:rPr>
          <w:rFonts w:eastAsia="Arial"/>
        </w:rPr>
        <w:t>.</w:t>
      </w:r>
    </w:p>
    <w:p w14:paraId="638BFC18" w14:textId="1B93C34D" w:rsidR="00064F79" w:rsidRPr="00524BFB" w:rsidRDefault="002700C1" w:rsidP="001D2615">
      <w:pPr>
        <w:pStyle w:val="Bulletindent"/>
        <w:rPr>
          <w:rFonts w:eastAsia="Arial"/>
        </w:rPr>
      </w:pPr>
      <w:r>
        <w:rPr>
          <w:rFonts w:eastAsia="Arial"/>
        </w:rPr>
        <w:t xml:space="preserve">The </w:t>
      </w:r>
      <w:r w:rsidR="00064F79">
        <w:rPr>
          <w:rFonts w:eastAsia="Arial"/>
        </w:rPr>
        <w:t>G</w:t>
      </w:r>
      <w:r w:rsidR="00064F79" w:rsidRPr="00DA6836">
        <w:rPr>
          <w:rFonts w:eastAsia="Arial"/>
        </w:rPr>
        <w:t xml:space="preserve">overnment </w:t>
      </w:r>
      <w:r w:rsidR="00064F79" w:rsidRPr="00D0057C">
        <w:rPr>
          <w:rFonts w:eastAsia="Arial"/>
        </w:rPr>
        <w:t>usually retains</w:t>
      </w:r>
      <w:r w:rsidR="00064F79" w:rsidRPr="00524BFB">
        <w:rPr>
          <w:rFonts w:eastAsia="Arial"/>
        </w:rPr>
        <w:t xml:space="preserve"> ownership of the asset at the end of the contract term</w:t>
      </w:r>
      <w:r w:rsidR="00064F79">
        <w:rPr>
          <w:rFonts w:eastAsia="Arial"/>
        </w:rPr>
        <w:t>.</w:t>
      </w:r>
    </w:p>
    <w:p w14:paraId="0C53211A" w14:textId="08E6AF2C" w:rsidR="00064F79" w:rsidRPr="00524BFB" w:rsidRDefault="00064F79" w:rsidP="001D2615">
      <w:pPr>
        <w:pStyle w:val="Bulletindent"/>
        <w:rPr>
          <w:rFonts w:eastAsia="Arial"/>
        </w:rPr>
      </w:pPr>
      <w:r>
        <w:rPr>
          <w:rFonts w:eastAsia="Arial"/>
        </w:rPr>
        <w:t>T</w:t>
      </w:r>
      <w:r w:rsidRPr="00524BFB">
        <w:rPr>
          <w:rFonts w:eastAsia="Arial"/>
        </w:rPr>
        <w:t>he consortium supplies infrastructure</w:t>
      </w:r>
      <w:r w:rsidR="006841B6">
        <w:rPr>
          <w:rFonts w:eastAsia="Arial"/>
        </w:rPr>
        <w:t>-</w:t>
      </w:r>
      <w:r w:rsidRPr="00524BFB">
        <w:rPr>
          <w:rFonts w:eastAsia="Arial"/>
        </w:rPr>
        <w:t xml:space="preserve">related services and receives payments from </w:t>
      </w:r>
      <w:r w:rsidR="006841B6">
        <w:rPr>
          <w:rFonts w:eastAsia="Arial"/>
        </w:rPr>
        <w:t xml:space="preserve">the </w:t>
      </w:r>
      <w:r w:rsidR="002700C1">
        <w:rPr>
          <w:rFonts w:eastAsia="Arial"/>
        </w:rPr>
        <w:t>G</w:t>
      </w:r>
      <w:r w:rsidRPr="00524BFB">
        <w:rPr>
          <w:rFonts w:eastAsia="Arial"/>
        </w:rPr>
        <w:t xml:space="preserve">overnment (or users) based on availability of the asset and the </w:t>
      </w:r>
      <w:r w:rsidRPr="5615DC29">
        <w:rPr>
          <w:rFonts w:eastAsia="Arial"/>
        </w:rPr>
        <w:t>consortium</w:t>
      </w:r>
      <w:r w:rsidR="00344D3F">
        <w:rPr>
          <w:rFonts w:eastAsia="Arial"/>
        </w:rPr>
        <w:t>’</w:t>
      </w:r>
      <w:r w:rsidRPr="5615DC29">
        <w:rPr>
          <w:rFonts w:eastAsia="Arial"/>
        </w:rPr>
        <w:t>s</w:t>
      </w:r>
      <w:r w:rsidRPr="00524BFB">
        <w:rPr>
          <w:rFonts w:eastAsia="Arial"/>
        </w:rPr>
        <w:t xml:space="preserve"> performance in supplying </w:t>
      </w:r>
      <w:r w:rsidRPr="00524BFB" w:rsidDel="00C04A19">
        <w:rPr>
          <w:rFonts w:eastAsia="Arial"/>
        </w:rPr>
        <w:t>asset</w:t>
      </w:r>
      <w:r w:rsidR="00C04A19" w:rsidRPr="00524BFB">
        <w:rPr>
          <w:rFonts w:eastAsia="Arial"/>
        </w:rPr>
        <w:t>-based</w:t>
      </w:r>
      <w:r w:rsidRPr="00524BFB">
        <w:rPr>
          <w:rFonts w:eastAsia="Arial"/>
        </w:rPr>
        <w:t xml:space="preserve"> services throughout the </w:t>
      </w:r>
      <w:r>
        <w:rPr>
          <w:rFonts w:eastAsia="Arial"/>
        </w:rPr>
        <w:t>contract term.</w:t>
      </w:r>
    </w:p>
    <w:p w14:paraId="6C29AA00" w14:textId="646921BD" w:rsidR="00064F79" w:rsidRPr="00524BFB" w:rsidRDefault="002700C1" w:rsidP="001D2615">
      <w:pPr>
        <w:pStyle w:val="Bulletindent"/>
        <w:rPr>
          <w:rFonts w:eastAsia="Arial"/>
        </w:rPr>
      </w:pPr>
      <w:r>
        <w:rPr>
          <w:rFonts w:eastAsia="Arial"/>
        </w:rPr>
        <w:t xml:space="preserve">The </w:t>
      </w:r>
      <w:r w:rsidR="00064F79">
        <w:rPr>
          <w:rFonts w:eastAsia="Arial"/>
        </w:rPr>
        <w:t>G</w:t>
      </w:r>
      <w:r w:rsidR="00064F79" w:rsidRPr="00524BFB">
        <w:rPr>
          <w:rFonts w:eastAsia="Arial"/>
        </w:rPr>
        <w:t>overnment contributes through land, capital works, purchase of the agreed services or other supporting mechanisms</w:t>
      </w:r>
      <w:r w:rsidR="00064F79">
        <w:rPr>
          <w:rFonts w:eastAsia="Arial"/>
        </w:rPr>
        <w:t>.</w:t>
      </w:r>
    </w:p>
    <w:p w14:paraId="156BADC0" w14:textId="77777777" w:rsidR="00064F79" w:rsidRPr="00524BFB" w:rsidRDefault="00064F79" w:rsidP="001D2615">
      <w:pPr>
        <w:pStyle w:val="Bulletindent"/>
        <w:rPr>
          <w:rFonts w:eastAsia="Arial"/>
        </w:rPr>
      </w:pPr>
      <w:r>
        <w:rPr>
          <w:rFonts w:eastAsia="Arial"/>
        </w:rPr>
        <w:t>R</w:t>
      </w:r>
      <w:r w:rsidRPr="00524BFB">
        <w:rPr>
          <w:rFonts w:eastAsia="Arial"/>
        </w:rPr>
        <w:t xml:space="preserve">evenue streams and sources of funding repay the </w:t>
      </w:r>
      <w:r w:rsidRPr="1F69B455">
        <w:rPr>
          <w:rFonts w:eastAsia="Arial"/>
        </w:rPr>
        <w:t>project</w:t>
      </w:r>
      <w:r w:rsidRPr="00524BFB">
        <w:rPr>
          <w:rFonts w:eastAsia="Arial"/>
        </w:rPr>
        <w:t xml:space="preserve"> finance used to build the asset</w:t>
      </w:r>
      <w:r>
        <w:rPr>
          <w:rFonts w:eastAsia="Arial"/>
        </w:rPr>
        <w:t>.</w:t>
      </w:r>
    </w:p>
    <w:p w14:paraId="5EF55A04" w14:textId="34920919" w:rsidR="00064F79" w:rsidRPr="00524BFB" w:rsidRDefault="00064F79" w:rsidP="00834461">
      <w:pPr>
        <w:pStyle w:val="NormalIndent"/>
      </w:pPr>
      <w:r w:rsidRPr="00524BFB">
        <w:t xml:space="preserve">Partnerships Victoria models can leverage project finance, revenue opportunities and </w:t>
      </w:r>
      <w:r w:rsidR="00A01A1A">
        <w:t>government</w:t>
      </w:r>
      <w:r w:rsidR="00A01A1A" w:rsidRPr="00524BFB">
        <w:t xml:space="preserve"> </w:t>
      </w:r>
      <w:r w:rsidRPr="00524BFB">
        <w:t>assets to unlock value</w:t>
      </w:r>
      <w:r w:rsidR="00EC620D">
        <w:t xml:space="preserve"> and</w:t>
      </w:r>
      <w:r>
        <w:t xml:space="preserve"> </w:t>
      </w:r>
      <w:r w:rsidRPr="00524BFB" w:rsidDel="00D0057C">
        <w:t>i</w:t>
      </w:r>
      <w:r w:rsidRPr="00524BFB">
        <w:t>nnovation</w:t>
      </w:r>
      <w:r w:rsidR="00EC620D">
        <w:t>. I</w:t>
      </w:r>
      <w:r w:rsidRPr="00524BFB">
        <w:t xml:space="preserve">n some instances </w:t>
      </w:r>
      <w:r w:rsidR="00EC620D">
        <w:t xml:space="preserve">they </w:t>
      </w:r>
      <w:r>
        <w:t xml:space="preserve">provide a </w:t>
      </w:r>
      <w:r w:rsidRPr="00524BFB">
        <w:t>basis for broader community, commercial and precinct development.</w:t>
      </w:r>
    </w:p>
    <w:p w14:paraId="6049446C" w14:textId="36B3B006" w:rsidR="00064F79" w:rsidRDefault="00064F79" w:rsidP="00834461">
      <w:pPr>
        <w:pStyle w:val="NormalIndent"/>
        <w:rPr>
          <w:rFonts w:ascii="VIC" w:hAnsi="VIC"/>
        </w:rPr>
      </w:pPr>
      <w:bookmarkStart w:id="356" w:name="_Hlk144125118"/>
      <w:r>
        <w:t xml:space="preserve">The use of project finance is a key component of Partnerships Victoria models and can incentivise performance over the life of the project. </w:t>
      </w:r>
      <w:r w:rsidR="00792A7E">
        <w:t>These models feature</w:t>
      </w:r>
      <w:r>
        <w:t xml:space="preserve"> a high level of discipline and oversight from financiers</w:t>
      </w:r>
      <w:r w:rsidR="00BB3E53" w:rsidRPr="00BB3E53">
        <w:t xml:space="preserve"> in procurement, delivery</w:t>
      </w:r>
      <w:r w:rsidRPr="00BB3E53">
        <w:t xml:space="preserve"> </w:t>
      </w:r>
      <w:r>
        <w:t xml:space="preserve">and </w:t>
      </w:r>
      <w:r w:rsidR="00BB3E53" w:rsidRPr="00BB3E53">
        <w:t>operations</w:t>
      </w:r>
      <w:r w:rsidRPr="00BB3E53">
        <w:t>.</w:t>
      </w:r>
    </w:p>
    <w:bookmarkEnd w:id="356"/>
    <w:p w14:paraId="547C3734" w14:textId="6A920CB8" w:rsidR="00B22F54" w:rsidRDefault="00B22F54" w:rsidP="00834461">
      <w:pPr>
        <w:pStyle w:val="NormalIndent"/>
        <w:rPr>
          <w:rFonts w:ascii="VIC" w:hAnsi="VIC"/>
        </w:rPr>
      </w:pPr>
      <w:r w:rsidRPr="00B22F54">
        <w:t>Repayment of project financing (debt and equity) is subject to performance under the contract</w:t>
      </w:r>
      <w:r>
        <w:t xml:space="preserve">. Typically, the private sector parties who build public infrastructure are financially responsible for its condition and performance throughout the </w:t>
      </w:r>
      <w:r w:rsidR="00AA33A7">
        <w:t>lifetime of the asset</w:t>
      </w:r>
      <w:r>
        <w:t>.</w:t>
      </w:r>
    </w:p>
    <w:p w14:paraId="1F2331B6" w14:textId="5B85F3E3" w:rsidR="004E1D40" w:rsidRPr="00421D37" w:rsidRDefault="004E1D40" w:rsidP="00171CF8">
      <w:pPr>
        <w:pStyle w:val="Captionindent"/>
      </w:pPr>
      <w:bookmarkStart w:id="357" w:name="_Toc145621482"/>
      <w:bookmarkStart w:id="358" w:name="_Toc145621611"/>
      <w:bookmarkStart w:id="359" w:name="_Toc160457787"/>
      <w:r w:rsidRPr="00421D37">
        <w:t xml:space="preserve">Figure </w:t>
      </w:r>
      <w:r w:rsidRPr="00421D37">
        <w:fldChar w:fldCharType="begin"/>
      </w:r>
      <w:r w:rsidRPr="00421D37">
        <w:instrText>SEQ Figure \* ARABIC</w:instrText>
      </w:r>
      <w:r w:rsidRPr="00421D37">
        <w:fldChar w:fldCharType="separate"/>
      </w:r>
      <w:r w:rsidR="008A4B3E">
        <w:rPr>
          <w:noProof/>
        </w:rPr>
        <w:t>18</w:t>
      </w:r>
      <w:r w:rsidRPr="00421D37">
        <w:fldChar w:fldCharType="end"/>
      </w:r>
      <w:r w:rsidR="005504CB">
        <w:t xml:space="preserve"> – </w:t>
      </w:r>
      <w:r>
        <w:t xml:space="preserve">Partnerships Victoria </w:t>
      </w:r>
      <w:r w:rsidR="00054183">
        <w:t>structure</w:t>
      </w:r>
      <w:bookmarkEnd w:id="357"/>
      <w:bookmarkEnd w:id="358"/>
      <w:bookmarkEnd w:id="359"/>
    </w:p>
    <w:p w14:paraId="35B8FD58" w14:textId="21DCC8E9" w:rsidR="00BA21CA" w:rsidRPr="00BA21CA" w:rsidRDefault="00213700" w:rsidP="00834461">
      <w:pPr>
        <w:pStyle w:val="NormalIndent"/>
      </w:pPr>
      <w:r w:rsidRPr="00213700">
        <w:rPr>
          <w:noProof/>
        </w:rPr>
        <w:drawing>
          <wp:inline distT="0" distB="0" distL="0" distR="0" wp14:anchorId="2E14552F" wp14:editId="4C67FE4B">
            <wp:extent cx="5248800" cy="2733726"/>
            <wp:effectExtent l="0" t="0" r="9525" b="0"/>
            <wp:docPr id="1" name="Graphic 1" descr="The figure relates to section 4.4.1 Partnerships Victoria models. It is a diagram showing the structure of parties involved in Partnerships Victoria Alliance models over the project timeline from Development of output specification; Tender for Consortium; Completion of design and construction documentation; Construction commissioning and Op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The figure relates to section 4.4.1 Partnerships Victoria models. It is a diagram showing the structure of parties involved in Partnerships Victoria Alliance models over the project timeline from Development of output specification; Tender for Consortium; Completion of design and construction documentation; Construction commissioning and Operations. "/>
                    <pic:cNvPicPr/>
                  </pic:nvPicPr>
                  <pic:blipFill>
                    <a:blip r:embed="rId131" cstate="screen">
                      <a:extLst>
                        <a:ext uri="{28A0092B-C50C-407E-A947-70E740481C1C}">
                          <a14:useLocalDpi xmlns:a14="http://schemas.microsoft.com/office/drawing/2010/main"/>
                        </a:ext>
                        <a:ext uri="{96DAC541-7B7A-43D3-8B79-37D633B846F1}">
                          <asvg:svgBlip xmlns:asvg="http://schemas.microsoft.com/office/drawing/2016/SVG/main" r:embed="rId132"/>
                        </a:ext>
                      </a:extLst>
                    </a:blip>
                    <a:stretch>
                      <a:fillRect/>
                    </a:stretch>
                  </pic:blipFill>
                  <pic:spPr>
                    <a:xfrm>
                      <a:off x="0" y="0"/>
                      <a:ext cx="5258743" cy="2738905"/>
                    </a:xfrm>
                    <a:prstGeom prst="rect">
                      <a:avLst/>
                    </a:prstGeom>
                  </pic:spPr>
                </pic:pic>
              </a:graphicData>
            </a:graphic>
          </wp:inline>
        </w:drawing>
      </w:r>
    </w:p>
    <w:p w14:paraId="4F555C61" w14:textId="77777777" w:rsidR="00910233" w:rsidRPr="00421D37" w:rsidRDefault="00910233" w:rsidP="001D2615">
      <w:pPr>
        <w:pStyle w:val="Heading4numbered"/>
      </w:pPr>
      <w:r w:rsidRPr="00421D37">
        <w:t>Model variants</w:t>
      </w:r>
    </w:p>
    <w:p w14:paraId="7B6202A6" w14:textId="53CBBD95" w:rsidR="00910233" w:rsidRPr="00421D37" w:rsidRDefault="00910233" w:rsidP="00B25CEE">
      <w:pPr>
        <w:pStyle w:val="NormalIndent"/>
        <w:keepNext/>
      </w:pPr>
      <w:r w:rsidRPr="00421D37">
        <w:t>Model</w:t>
      </w:r>
      <w:r w:rsidR="00C04A19">
        <w:t xml:space="preserve"> variants</w:t>
      </w:r>
      <w:r w:rsidRPr="00421D37">
        <w:t xml:space="preserve"> </w:t>
      </w:r>
      <w:r w:rsidR="00C04A19">
        <w:t xml:space="preserve">commonly </w:t>
      </w:r>
      <w:r w:rsidRPr="00421D37">
        <w:t>fall into three categories</w:t>
      </w:r>
      <w:r w:rsidR="00C04A19">
        <w:t>.</w:t>
      </w:r>
    </w:p>
    <w:p w14:paraId="0B4ED300" w14:textId="46883214" w:rsidR="00C04A19" w:rsidRPr="0092021A" w:rsidRDefault="00C04A19" w:rsidP="00B25CEE">
      <w:pPr>
        <w:pStyle w:val="Heading4"/>
      </w:pPr>
      <w:r w:rsidRPr="0092021A">
        <w:t xml:space="preserve">Model variant 1: </w:t>
      </w:r>
      <w:r w:rsidR="00C315AE" w:rsidRPr="0092021A">
        <w:t>Community partnerships</w:t>
      </w:r>
    </w:p>
    <w:p w14:paraId="7A0C9F73" w14:textId="50DFBCE9" w:rsidR="00C315AE" w:rsidRPr="00D0057C" w:rsidRDefault="00C04A19" w:rsidP="001D2615">
      <w:pPr>
        <w:pStyle w:val="Bulletindent"/>
      </w:pPr>
      <w:r>
        <w:t>T</w:t>
      </w:r>
      <w:r w:rsidR="00C315AE" w:rsidRPr="00D0057C">
        <w:t xml:space="preserve">ypically </w:t>
      </w:r>
      <w:r w:rsidR="00C315AE">
        <w:t xml:space="preserve">used for hospitals, schools and justice facilities. The private sector consortium designs, finances, constructs, maintains </w:t>
      </w:r>
      <w:r w:rsidR="00C315AE" w:rsidDel="00D0057C">
        <w:t>and/</w:t>
      </w:r>
      <w:r w:rsidR="00C315AE">
        <w:t xml:space="preserve">or operates the facility including providing ancillary services such as cleaning, security, facilities management and catering (or some combination of those functions). </w:t>
      </w:r>
      <w:r w:rsidR="00C315AE" w:rsidRPr="00D0057C">
        <w:t xml:space="preserve">Government payments during operation of the asset are based on performance. </w:t>
      </w:r>
      <w:r w:rsidR="00C315AE" w:rsidRPr="007722D6">
        <w:rPr>
          <w:rFonts w:eastAsia="Arial"/>
        </w:rPr>
        <w:t>Project costs can be reduced by complementary commercial opportunities where relevant.</w:t>
      </w:r>
    </w:p>
    <w:p w14:paraId="073A3783" w14:textId="41DECF03" w:rsidR="00C04A19" w:rsidRPr="0092021A" w:rsidRDefault="00C04A19" w:rsidP="00B25CEE">
      <w:pPr>
        <w:pStyle w:val="Heading4"/>
      </w:pPr>
      <w:r w:rsidRPr="0092021A">
        <w:t xml:space="preserve">Model variant 2: </w:t>
      </w:r>
      <w:r w:rsidR="00C315AE" w:rsidRPr="0092021A">
        <w:t>Precinct partnerships</w:t>
      </w:r>
    </w:p>
    <w:p w14:paraId="514DF670" w14:textId="52AF7FF8" w:rsidR="00C315AE" w:rsidRDefault="00C04A19" w:rsidP="001D2615">
      <w:pPr>
        <w:pStyle w:val="Bulletindent"/>
        <w:rPr>
          <w:rFonts w:eastAsia="Arial"/>
        </w:rPr>
      </w:pPr>
      <w:r>
        <w:t>T</w:t>
      </w:r>
      <w:r w:rsidR="00C315AE" w:rsidRPr="00524BFB">
        <w:rPr>
          <w:rFonts w:eastAsia="Arial"/>
        </w:rPr>
        <w:t xml:space="preserve">ypically used for housing </w:t>
      </w:r>
      <w:r w:rsidR="00C315AE" w:rsidRPr="7BF1F5DE">
        <w:rPr>
          <w:rFonts w:eastAsia="Arial"/>
        </w:rPr>
        <w:t xml:space="preserve">or other precinct </w:t>
      </w:r>
      <w:r w:rsidR="00C315AE" w:rsidRPr="00524BFB">
        <w:rPr>
          <w:rFonts w:eastAsia="Arial"/>
        </w:rPr>
        <w:t xml:space="preserve">developments. The private sector consortium designs, finances, constructs, maintains </w:t>
      </w:r>
      <w:r w:rsidR="00C315AE" w:rsidRPr="00524BFB" w:rsidDel="004835C3">
        <w:rPr>
          <w:rFonts w:eastAsia="Arial"/>
        </w:rPr>
        <w:t>and/</w:t>
      </w:r>
      <w:r w:rsidR="00C315AE" w:rsidRPr="00524BFB">
        <w:rPr>
          <w:rFonts w:eastAsia="Arial"/>
        </w:rPr>
        <w:t>or operates new developments, including social, affordable and private dwellings in mixed</w:t>
      </w:r>
      <w:r w:rsidR="002C5BFC">
        <w:rPr>
          <w:rFonts w:eastAsia="Arial"/>
        </w:rPr>
        <w:t>-</w:t>
      </w:r>
      <w:r w:rsidR="00C315AE" w:rsidRPr="00524BFB">
        <w:rPr>
          <w:rFonts w:eastAsia="Arial"/>
        </w:rPr>
        <w:t xml:space="preserve">tenure developments. The private sector consortium </w:t>
      </w:r>
      <w:r w:rsidR="00C315AE" w:rsidRPr="56A32406">
        <w:rPr>
          <w:rFonts w:eastAsia="Arial"/>
        </w:rPr>
        <w:t>may receive</w:t>
      </w:r>
      <w:r w:rsidR="00C315AE" w:rsidRPr="00524BFB">
        <w:rPr>
          <w:rFonts w:eastAsia="Arial"/>
        </w:rPr>
        <w:t xml:space="preserve"> rental revenue </w:t>
      </w:r>
      <w:r w:rsidR="00C315AE">
        <w:rPr>
          <w:rFonts w:eastAsia="Arial"/>
        </w:rPr>
        <w:t>or</w:t>
      </w:r>
      <w:r w:rsidR="00C315AE" w:rsidRPr="6C38C270">
        <w:rPr>
          <w:rFonts w:eastAsia="Arial"/>
        </w:rPr>
        <w:t xml:space="preserve"> </w:t>
      </w:r>
      <w:r w:rsidR="00C315AE" w:rsidRPr="56A32406">
        <w:rPr>
          <w:rFonts w:eastAsia="Arial"/>
        </w:rPr>
        <w:t>generate</w:t>
      </w:r>
      <w:r w:rsidR="00C315AE" w:rsidRPr="072BF1B2">
        <w:rPr>
          <w:rFonts w:eastAsia="Arial"/>
        </w:rPr>
        <w:t xml:space="preserve"> </w:t>
      </w:r>
      <w:r w:rsidR="00C315AE" w:rsidRPr="1B43530C">
        <w:rPr>
          <w:rFonts w:eastAsia="Arial"/>
        </w:rPr>
        <w:t xml:space="preserve">fees from </w:t>
      </w:r>
      <w:r w:rsidR="00C315AE" w:rsidRPr="6C38C270">
        <w:rPr>
          <w:rFonts w:eastAsia="Arial"/>
        </w:rPr>
        <w:t xml:space="preserve">commercial development </w:t>
      </w:r>
      <w:r w:rsidR="00C315AE" w:rsidRPr="7BF1F5DE">
        <w:rPr>
          <w:rFonts w:eastAsia="Arial"/>
        </w:rPr>
        <w:t>rights</w:t>
      </w:r>
      <w:r w:rsidR="002C5BFC">
        <w:rPr>
          <w:rFonts w:eastAsia="Arial"/>
        </w:rPr>
        <w:t>,</w:t>
      </w:r>
      <w:r w:rsidR="00C315AE" w:rsidRPr="7BF1F5DE">
        <w:rPr>
          <w:rFonts w:eastAsia="Arial"/>
        </w:rPr>
        <w:t xml:space="preserve"> </w:t>
      </w:r>
      <w:r w:rsidR="00C315AE" w:rsidRPr="00524BFB">
        <w:rPr>
          <w:rFonts w:eastAsia="Arial"/>
        </w:rPr>
        <w:t xml:space="preserve">which reduce project costs </w:t>
      </w:r>
      <w:r w:rsidR="00C315AE" w:rsidRPr="1B43530C">
        <w:rPr>
          <w:rFonts w:eastAsia="Arial"/>
        </w:rPr>
        <w:t>for</w:t>
      </w:r>
      <w:r w:rsidR="00C315AE" w:rsidRPr="00524BFB">
        <w:rPr>
          <w:rFonts w:eastAsia="Arial"/>
        </w:rPr>
        <w:t xml:space="preserve"> </w:t>
      </w:r>
      <w:r w:rsidR="002C5BFC">
        <w:rPr>
          <w:rFonts w:eastAsia="Arial"/>
        </w:rPr>
        <w:t>the G</w:t>
      </w:r>
      <w:r w:rsidR="002C5BFC" w:rsidRPr="00524BFB">
        <w:rPr>
          <w:rFonts w:eastAsia="Arial"/>
        </w:rPr>
        <w:t>overnment</w:t>
      </w:r>
      <w:r w:rsidR="00C315AE" w:rsidRPr="00524BFB">
        <w:rPr>
          <w:rFonts w:eastAsia="Arial"/>
        </w:rPr>
        <w:t xml:space="preserve">. </w:t>
      </w:r>
      <w:r w:rsidR="00C315AE" w:rsidRPr="1B43530C">
        <w:rPr>
          <w:rFonts w:eastAsia="Arial"/>
        </w:rPr>
        <w:t>This model</w:t>
      </w:r>
      <w:r w:rsidR="00C315AE" w:rsidRPr="00524BFB">
        <w:rPr>
          <w:rFonts w:eastAsia="Arial"/>
        </w:rPr>
        <w:t xml:space="preserve"> leverages core public investment to attract complementary private investment, delivering integrated community benefits</w:t>
      </w:r>
      <w:r w:rsidR="00C315AE">
        <w:rPr>
          <w:rFonts w:eastAsia="Arial"/>
        </w:rPr>
        <w:t>.</w:t>
      </w:r>
    </w:p>
    <w:p w14:paraId="6E8506AE" w14:textId="0D6C70A9" w:rsidR="00C04A19" w:rsidRPr="0092021A" w:rsidRDefault="00C04A19" w:rsidP="00B25CEE">
      <w:pPr>
        <w:pStyle w:val="Heading4"/>
      </w:pPr>
      <w:r w:rsidRPr="0092021A">
        <w:t xml:space="preserve">Model variant 3: </w:t>
      </w:r>
      <w:r w:rsidR="2153021D" w:rsidRPr="0092021A">
        <w:t>Economic partnerships</w:t>
      </w:r>
    </w:p>
    <w:p w14:paraId="356F0C05" w14:textId="53657575" w:rsidR="2153021D" w:rsidRPr="00524BFB" w:rsidRDefault="00C04A19" w:rsidP="001D2615">
      <w:pPr>
        <w:pStyle w:val="Bulletindent"/>
      </w:pPr>
      <w:r>
        <w:t>T</w:t>
      </w:r>
      <w:r w:rsidR="00C315AE">
        <w:t xml:space="preserve">ypically used for economic infrastructure, including transport and utilities. </w:t>
      </w:r>
      <w:r w:rsidR="072FABCB" w:rsidRPr="00524BFB">
        <w:rPr>
          <w:rFonts w:eastAsia="Arial"/>
        </w:rPr>
        <w:t>The private sector consortium designs, finances, constructs, maintains and operates the asset. It can leverage revenue opportunities</w:t>
      </w:r>
      <w:r w:rsidR="00C315AE">
        <w:rPr>
          <w:rFonts w:eastAsia="Arial"/>
        </w:rPr>
        <w:t xml:space="preserve"> and </w:t>
      </w:r>
      <w:r w:rsidR="072FABCB" w:rsidRPr="00524BFB">
        <w:rPr>
          <w:rFonts w:eastAsia="Arial"/>
        </w:rPr>
        <w:t xml:space="preserve">user </w:t>
      </w:r>
      <w:r w:rsidR="00C315AE" w:rsidRPr="3773AF4D">
        <w:rPr>
          <w:rFonts w:eastAsia="Arial"/>
        </w:rPr>
        <w:t>payments</w:t>
      </w:r>
      <w:r w:rsidR="072FABCB" w:rsidRPr="00524BFB">
        <w:rPr>
          <w:rFonts w:eastAsia="Arial"/>
        </w:rPr>
        <w:t xml:space="preserve"> to fund</w:t>
      </w:r>
      <w:r w:rsidR="00C315AE">
        <w:rPr>
          <w:rFonts w:eastAsia="Arial"/>
        </w:rPr>
        <w:t xml:space="preserve"> or </w:t>
      </w:r>
      <w:r w:rsidR="072FABCB" w:rsidRPr="00524BFB">
        <w:rPr>
          <w:rFonts w:eastAsia="Arial"/>
        </w:rPr>
        <w:t xml:space="preserve">partially fund the asset and delivery. </w:t>
      </w:r>
      <w:r w:rsidR="002C5BFC">
        <w:rPr>
          <w:rFonts w:eastAsia="Arial"/>
        </w:rPr>
        <w:t>G</w:t>
      </w:r>
      <w:r w:rsidR="072FABCB" w:rsidRPr="00524BFB">
        <w:rPr>
          <w:rFonts w:eastAsia="Arial"/>
        </w:rPr>
        <w:t>overnment payment</w:t>
      </w:r>
      <w:r w:rsidR="002C5BFC">
        <w:rPr>
          <w:rFonts w:eastAsia="Arial"/>
        </w:rPr>
        <w:t>s</w:t>
      </w:r>
      <w:r w:rsidR="072FABCB" w:rsidRPr="00524BFB">
        <w:rPr>
          <w:rFonts w:eastAsia="Arial"/>
        </w:rPr>
        <w:t xml:space="preserve"> </w:t>
      </w:r>
      <w:r w:rsidR="003A2270">
        <w:rPr>
          <w:rFonts w:eastAsia="Arial"/>
        </w:rPr>
        <w:t>vary by</w:t>
      </w:r>
      <w:r w:rsidR="072FABCB" w:rsidRPr="00524BFB">
        <w:rPr>
          <w:rFonts w:eastAsia="Arial"/>
        </w:rPr>
        <w:t xml:space="preserve"> project and </w:t>
      </w:r>
      <w:r w:rsidR="003A2270">
        <w:rPr>
          <w:rFonts w:eastAsia="Arial"/>
        </w:rPr>
        <w:t>are</w:t>
      </w:r>
      <w:r w:rsidR="003A2270" w:rsidRPr="00524BFB">
        <w:rPr>
          <w:rFonts w:eastAsia="Arial"/>
        </w:rPr>
        <w:t xml:space="preserve"> </w:t>
      </w:r>
      <w:r w:rsidR="072FABCB" w:rsidRPr="00524BFB">
        <w:rPr>
          <w:rFonts w:eastAsia="Arial"/>
        </w:rPr>
        <w:t>based on performance.</w:t>
      </w:r>
    </w:p>
    <w:p w14:paraId="4D8B6595" w14:textId="1B79DED5" w:rsidR="004E1D40" w:rsidRPr="00421D37" w:rsidRDefault="004E1D40" w:rsidP="001D2615">
      <w:pPr>
        <w:pStyle w:val="Heading4numbered"/>
      </w:pPr>
      <w:r w:rsidRPr="00421D37">
        <w:t xml:space="preserve">When to use </w:t>
      </w:r>
      <w:r>
        <w:t>P</w:t>
      </w:r>
      <w:r w:rsidR="00C04A19">
        <w:t xml:space="preserve">artnerships </w:t>
      </w:r>
      <w:r>
        <w:t>V</w:t>
      </w:r>
      <w:r w:rsidR="00C04A19">
        <w:t>ictoria</w:t>
      </w:r>
      <w:r>
        <w:t xml:space="preserve"> models</w:t>
      </w:r>
    </w:p>
    <w:p w14:paraId="0395E737" w14:textId="6DF1AC2D" w:rsidR="00385ECD" w:rsidRPr="0098326C" w:rsidRDefault="130002C0" w:rsidP="00834461">
      <w:pPr>
        <w:pStyle w:val="NormalIndent"/>
        <w:rPr>
          <w:b/>
          <w:bCs/>
        </w:rPr>
      </w:pPr>
      <w:r>
        <w:t xml:space="preserve">Partnerships Victoria models </w:t>
      </w:r>
      <w:r w:rsidR="5EDC7F50">
        <w:t xml:space="preserve">are well suited to projects that would benefit from innovation and efficiency of private sector involvement or have significant commercial revenue or linked development opportunities. </w:t>
      </w:r>
      <w:r w:rsidR="00CB5559">
        <w:t xml:space="preserve">The following characteristics favour </w:t>
      </w:r>
      <w:r w:rsidR="0092021A">
        <w:t xml:space="preserve">Partnerships Victoria </w:t>
      </w:r>
      <w:r w:rsidR="00D77C03">
        <w:t xml:space="preserve">procurement </w:t>
      </w:r>
      <w:r w:rsidR="0092021A">
        <w:t>models</w:t>
      </w:r>
      <w:r w:rsidR="00CB5559">
        <w:t>.</w:t>
      </w:r>
    </w:p>
    <w:p w14:paraId="714C6F41" w14:textId="21FF2023" w:rsidR="00385ECD" w:rsidRPr="0098326C" w:rsidDel="00C04A19" w:rsidRDefault="00385ECD" w:rsidP="00B25CEE">
      <w:pPr>
        <w:pStyle w:val="Heading4"/>
      </w:pPr>
      <w:r w:rsidRPr="57B5AAF7" w:rsidDel="00C04A19">
        <w:t>Whole-of-life</w:t>
      </w:r>
    </w:p>
    <w:p w14:paraId="5F6B5DF4" w14:textId="3722D208" w:rsidR="00C04A19" w:rsidRPr="00524BFB" w:rsidRDefault="75F297BE" w:rsidP="001D2615">
      <w:pPr>
        <w:pStyle w:val="Bulletindent"/>
        <w:rPr>
          <w:rFonts w:eastAsia="Arial"/>
        </w:rPr>
      </w:pPr>
      <w:r>
        <w:t>B</w:t>
      </w:r>
      <w:r w:rsidR="00385ECD">
        <w:t xml:space="preserve">undling </w:t>
      </w:r>
      <w:r w:rsidR="00C04A19">
        <w:t>the design</w:t>
      </w:r>
      <w:r w:rsidR="00385ECD" w:rsidRPr="00524BFB">
        <w:t>, construction and operation phases is feasible and will drive innovation and efficiencies through project delivery</w:t>
      </w:r>
      <w:r w:rsidR="00385ECD">
        <w:t>.</w:t>
      </w:r>
    </w:p>
    <w:p w14:paraId="0713EC6F" w14:textId="048DC139" w:rsidR="00385ECD" w:rsidRDefault="00385ECD" w:rsidP="00B25CEE">
      <w:pPr>
        <w:pStyle w:val="Heading4"/>
      </w:pPr>
      <w:r w:rsidRPr="580BCC84">
        <w:t>Project val</w:t>
      </w:r>
      <w:r>
        <w:t>u</w:t>
      </w:r>
      <w:r w:rsidRPr="580BCC84">
        <w:t>e</w:t>
      </w:r>
    </w:p>
    <w:p w14:paraId="226217B9" w14:textId="4D3A69F1" w:rsidR="00385ECD" w:rsidRPr="00421D37" w:rsidRDefault="00385ECD" w:rsidP="001D2615">
      <w:pPr>
        <w:pStyle w:val="Bulletindent"/>
      </w:pPr>
      <w:r>
        <w:t>Typically exceeds $</w:t>
      </w:r>
      <w:r w:rsidRPr="00524BFB">
        <w:t>250</w:t>
      </w:r>
      <w:r w:rsidR="00C04A19">
        <w:rPr>
          <w:rFonts w:ascii="Calibri" w:hAnsi="Calibri"/>
        </w:rPr>
        <w:t> </w:t>
      </w:r>
      <w:r>
        <w:t>million, providing sufficient scale to cover the high</w:t>
      </w:r>
      <w:r w:rsidR="00610C0B">
        <w:t>er</w:t>
      </w:r>
      <w:r>
        <w:t xml:space="preserve"> costs of establishment, governance and administration.</w:t>
      </w:r>
    </w:p>
    <w:p w14:paraId="2834CCEE" w14:textId="54FF3245" w:rsidR="00385ECD" w:rsidRPr="00524BFB" w:rsidRDefault="00385ECD" w:rsidP="00B25CEE">
      <w:pPr>
        <w:pStyle w:val="Heading4"/>
      </w:pPr>
      <w:r>
        <w:t>S</w:t>
      </w:r>
      <w:r w:rsidRPr="198CA7B3">
        <w:t>cope</w:t>
      </w:r>
      <w:r>
        <w:t>,</w:t>
      </w:r>
      <w:r w:rsidRPr="198CA7B3">
        <w:t xml:space="preserve"> </w:t>
      </w:r>
      <w:r>
        <w:t xml:space="preserve">complexity </w:t>
      </w:r>
      <w:r w:rsidRPr="198CA7B3">
        <w:t xml:space="preserve">and output </w:t>
      </w:r>
      <w:r>
        <w:t>certainty</w:t>
      </w:r>
    </w:p>
    <w:p w14:paraId="0CA68D32" w14:textId="5D38543C" w:rsidR="00385ECD" w:rsidRDefault="00385ECD" w:rsidP="001D2615">
      <w:pPr>
        <w:pStyle w:val="Bulletindent"/>
      </w:pPr>
      <w:r>
        <w:t>Scope and outputs can be reasonably and adequately defined in the business case or during subsequent work before tendering, enabling the development of output</w:t>
      </w:r>
      <w:r w:rsidR="006E3A96">
        <w:t>-</w:t>
      </w:r>
      <w:r>
        <w:t>based specifications.</w:t>
      </w:r>
    </w:p>
    <w:p w14:paraId="6C837C9F" w14:textId="77777777" w:rsidR="00475F39" w:rsidRDefault="4164C5DD" w:rsidP="001D2615">
      <w:pPr>
        <w:pStyle w:val="Bulletindent"/>
      </w:pPr>
      <w:r>
        <w:t>There is a</w:t>
      </w:r>
      <w:r w:rsidR="004F2E9C">
        <w:t xml:space="preserve"> </w:t>
      </w:r>
      <w:r>
        <w:t>service component appropriate for private sector delivery.</w:t>
      </w:r>
    </w:p>
    <w:p w14:paraId="0B50C837" w14:textId="77777777" w:rsidR="00FF0B8E" w:rsidRPr="00421D37" w:rsidRDefault="43C2A21C" w:rsidP="001D2615">
      <w:pPr>
        <w:pStyle w:val="Bulletindent"/>
      </w:pPr>
      <w:r>
        <w:t xml:space="preserve">There are opportunities to leverage the proposed and existing government assets and potential revenues to fund the project </w:t>
      </w:r>
      <w:r w:rsidR="00385ECD">
        <w:t>or related developments.</w:t>
      </w:r>
    </w:p>
    <w:p w14:paraId="351DA18D" w14:textId="55047376" w:rsidR="00385ECD" w:rsidRPr="00A63F42" w:rsidRDefault="00385ECD" w:rsidP="00B25CEE">
      <w:pPr>
        <w:pStyle w:val="Heading4"/>
      </w:pPr>
      <w:r>
        <w:t>R</w:t>
      </w:r>
      <w:r w:rsidRPr="198CA7B3">
        <w:t>isk</w:t>
      </w:r>
      <w:r>
        <w:t xml:space="preserve"> allocation</w:t>
      </w:r>
    </w:p>
    <w:p w14:paraId="4CCB6135" w14:textId="66B88138" w:rsidR="004E1D40" w:rsidRDefault="00370696" w:rsidP="001D2615">
      <w:pPr>
        <w:pStyle w:val="Bulletindent"/>
      </w:pPr>
      <w:r w:rsidRPr="00370696">
        <w:t>The whole</w:t>
      </w:r>
      <w:r w:rsidR="00385ECD">
        <w:t>-</w:t>
      </w:r>
      <w:r w:rsidRPr="00370696">
        <w:t>of</w:t>
      </w:r>
      <w:r w:rsidR="00385ECD">
        <w:t>-</w:t>
      </w:r>
      <w:r w:rsidRPr="00370696">
        <w:t xml:space="preserve">life risks can be cost effectively allocated to the private consortium, with limited incorporation of </w:t>
      </w:r>
      <w:r w:rsidR="0020604A">
        <w:t>risk-sharing</w:t>
      </w:r>
      <w:r w:rsidRPr="00370696">
        <w:t xml:space="preserve"> mechanisms.</w:t>
      </w:r>
    </w:p>
    <w:p w14:paraId="315D16EE" w14:textId="527D0E85" w:rsidR="00C73EDE" w:rsidRPr="00524BFB" w:rsidRDefault="004107D5" w:rsidP="00B25CEE">
      <w:pPr>
        <w:pStyle w:val="Heading4"/>
      </w:pPr>
      <w:r>
        <w:t>A</w:t>
      </w:r>
      <w:r w:rsidR="00C73EDE" w:rsidRPr="00524BFB">
        <w:t>gency role</w:t>
      </w:r>
    </w:p>
    <w:p w14:paraId="5B4578C8" w14:textId="22A2DE4F" w:rsidR="00385ECD" w:rsidRPr="00421D37" w:rsidRDefault="5EDDC398" w:rsidP="001D2615">
      <w:pPr>
        <w:pStyle w:val="Bulletindent"/>
      </w:pPr>
      <w:r>
        <w:t>The agency requires capacity and expertise to lock in a long-term output requirement in project finance, procurement management and ongoing contract management throughout the life of the contract.</w:t>
      </w:r>
    </w:p>
    <w:p w14:paraId="328AD1A4" w14:textId="13378612" w:rsidR="00C73EDE" w:rsidRPr="00421D37" w:rsidRDefault="00385ECD" w:rsidP="001D2615">
      <w:pPr>
        <w:pStyle w:val="Bulletindent"/>
      </w:pPr>
      <w:r w:rsidRPr="00421D37">
        <w:t>These drivers will differ according to which Partnerships Victoria model is being implemented</w:t>
      </w:r>
      <w:r w:rsidR="5EDDC398">
        <w:t>.</w:t>
      </w:r>
    </w:p>
    <w:p w14:paraId="5BA4A88A" w14:textId="21EF9C84" w:rsidR="004E1D40" w:rsidRPr="00421D37" w:rsidRDefault="004E1D40" w:rsidP="001D2615">
      <w:pPr>
        <w:pStyle w:val="Heading4numbered"/>
      </w:pPr>
      <w:r w:rsidRPr="00421D37">
        <w:t>Benefits</w:t>
      </w:r>
    </w:p>
    <w:p w14:paraId="22C2E817" w14:textId="77777777" w:rsidR="00670293" w:rsidRPr="00421D37" w:rsidRDefault="00670293" w:rsidP="00834461">
      <w:pPr>
        <w:pStyle w:val="NormalIndent"/>
      </w:pPr>
      <w:r w:rsidRPr="00421D37">
        <w:t>Partnerships Victoria models can drive benefits during delivery and over the long</w:t>
      </w:r>
      <w:r>
        <w:t xml:space="preserve"> </w:t>
      </w:r>
      <w:r w:rsidRPr="00421D37">
        <w:t>term once the infrastructure is operational</w:t>
      </w:r>
      <w:r>
        <w:t>. These models</w:t>
      </w:r>
      <w:r w:rsidRPr="00421D37" w:rsidDel="004835C3">
        <w:t>:</w:t>
      </w:r>
    </w:p>
    <w:p w14:paraId="2A4E8955" w14:textId="3CEE82D5" w:rsidR="00670293" w:rsidRPr="00421D37" w:rsidRDefault="00670293" w:rsidP="001D2615">
      <w:pPr>
        <w:pStyle w:val="Bulletindent"/>
      </w:pPr>
      <w:r>
        <w:t xml:space="preserve">provide ongoing design-driven operational benefits for </w:t>
      </w:r>
      <w:r w:rsidR="0043146A">
        <w:t xml:space="preserve">the </w:t>
      </w:r>
      <w:r w:rsidR="00CE2D59">
        <w:t>G</w:t>
      </w:r>
      <w:r>
        <w:t xml:space="preserve">overnment, with a focus on maximising the efficiency of whole-of-life costs and incentivising </w:t>
      </w:r>
      <w:r w:rsidDel="00050D95">
        <w:t>long</w:t>
      </w:r>
      <w:r>
        <w:t>-term service outcomes</w:t>
      </w:r>
    </w:p>
    <w:p w14:paraId="21F74697" w14:textId="5E24A9E8" w:rsidR="00670293" w:rsidRPr="00421D37" w:rsidRDefault="008A476E" w:rsidP="001D2615">
      <w:pPr>
        <w:pStyle w:val="Bulletindent"/>
      </w:pPr>
      <w:r>
        <w:t xml:space="preserve">can </w:t>
      </w:r>
      <w:r w:rsidR="00670293">
        <w:t xml:space="preserve">provide clarity, certainty and transparency of project scope, costs and time outcomes. These models </w:t>
      </w:r>
      <w:r>
        <w:t xml:space="preserve">can </w:t>
      </w:r>
      <w:r w:rsidR="00670293">
        <w:t>also provide certainty of funding and whole-of-life costs during operation</w:t>
      </w:r>
    </w:p>
    <w:p w14:paraId="265BD7FD" w14:textId="3DD61485" w:rsidR="00670293" w:rsidRPr="00421D37" w:rsidRDefault="00670293" w:rsidP="001D2615">
      <w:pPr>
        <w:pStyle w:val="Bulletindent"/>
      </w:pPr>
      <w:r>
        <w:t xml:space="preserve">enable </w:t>
      </w:r>
      <w:r w:rsidR="00590E56">
        <w:t xml:space="preserve">the </w:t>
      </w:r>
      <w:r w:rsidR="0045425C">
        <w:t>G</w:t>
      </w:r>
      <w:r>
        <w:t xml:space="preserve">overnment to focus on core service delivery, with the asset managed by the private consortium. The private consortium manages complex interfaces and reduces </w:t>
      </w:r>
      <w:r w:rsidR="00344D3F">
        <w:t>‘</w:t>
      </w:r>
      <w:r>
        <w:t>contract gaps</w:t>
      </w:r>
      <w:r w:rsidR="00344D3F">
        <w:t>’</w:t>
      </w:r>
      <w:r>
        <w:t xml:space="preserve"> with </w:t>
      </w:r>
      <w:r w:rsidR="00F11B52">
        <w:t xml:space="preserve">the </w:t>
      </w:r>
      <w:r w:rsidR="00CE2D59">
        <w:t>G</w:t>
      </w:r>
      <w:r>
        <w:t>overnment</w:t>
      </w:r>
    </w:p>
    <w:p w14:paraId="2C79C32D" w14:textId="67494DBE" w:rsidR="00670293" w:rsidRPr="00421D37" w:rsidRDefault="00670293" w:rsidP="001D2615">
      <w:pPr>
        <w:pStyle w:val="Bulletindent"/>
      </w:pPr>
      <w:r>
        <w:t>allow integration of value capture, commercial or precinct development opportunities, which can lower the</w:t>
      </w:r>
      <w:r w:rsidR="00F11B52">
        <w:t xml:space="preserve"> Government’s</w:t>
      </w:r>
      <w:r>
        <w:t xml:space="preserve"> cost</w:t>
      </w:r>
      <w:r w:rsidR="00F11B52">
        <w:t>s</w:t>
      </w:r>
      <w:r>
        <w:t xml:space="preserve"> </w:t>
      </w:r>
    </w:p>
    <w:p w14:paraId="15B656CE" w14:textId="5B7784F6" w:rsidR="004E1D40" w:rsidRPr="00421D37" w:rsidRDefault="00670293" w:rsidP="001D2615">
      <w:pPr>
        <w:pStyle w:val="Bulletindent"/>
      </w:pPr>
      <w:r>
        <w:t>drive</w:t>
      </w:r>
      <w:r w:rsidR="3462D558">
        <w:t xml:space="preserve"> enhanced oversight, control and assurance mechanisms, with multiple independent parties </w:t>
      </w:r>
      <w:r w:rsidR="00C04A19">
        <w:t>(</w:t>
      </w:r>
      <w:r w:rsidR="3462D558">
        <w:t>including the financier</w:t>
      </w:r>
      <w:r w:rsidR="00C04A19">
        <w:t>)</w:t>
      </w:r>
      <w:r w:rsidR="3462D558">
        <w:t xml:space="preserve"> monitoring </w:t>
      </w:r>
      <w:r>
        <w:t xml:space="preserve">to ensure </w:t>
      </w:r>
      <w:r w:rsidR="3462D558">
        <w:t>what is built meets the contract requirements</w:t>
      </w:r>
      <w:r>
        <w:t>.</w:t>
      </w:r>
    </w:p>
    <w:p w14:paraId="0F2CD70F" w14:textId="77777777" w:rsidR="004E1D40" w:rsidRPr="00421D37" w:rsidRDefault="004E1D40" w:rsidP="001D2615">
      <w:pPr>
        <w:pStyle w:val="Heading4numbered"/>
      </w:pPr>
      <w:r w:rsidRPr="00421D37">
        <w:t>Points to consider</w:t>
      </w:r>
    </w:p>
    <w:p w14:paraId="4DB6B166" w14:textId="2A1D5610" w:rsidR="00357353" w:rsidRPr="00685B9F" w:rsidRDefault="00603455" w:rsidP="00B25CEE">
      <w:pPr>
        <w:pStyle w:val="NormalIndent"/>
        <w:keepNext/>
      </w:pPr>
      <w:r>
        <w:t>Part</w:t>
      </w:r>
      <w:r w:rsidR="002C3F31">
        <w:t>n</w:t>
      </w:r>
      <w:r>
        <w:t xml:space="preserve">erships Victoria </w:t>
      </w:r>
      <w:r w:rsidR="00357353">
        <w:t xml:space="preserve">models are suitable </w:t>
      </w:r>
      <w:r w:rsidR="002C3F31">
        <w:t>f</w:t>
      </w:r>
      <w:r w:rsidR="00357353">
        <w:t>o</w:t>
      </w:r>
      <w:r w:rsidR="002C3F31">
        <w:t>r</w:t>
      </w:r>
      <w:r w:rsidR="00357353">
        <w:t xml:space="preserve"> projects with long-term and definable service needs,</w:t>
      </w:r>
      <w:r w:rsidR="00357353" w:rsidDel="00050D95">
        <w:t xml:space="preserve"> </w:t>
      </w:r>
      <w:r w:rsidR="00357353">
        <w:t xml:space="preserve">where risks can be appropriately allocated to the private consortium. They require a high level of planning and development by delivery agencies and </w:t>
      </w:r>
      <w:r w:rsidR="00357353" w:rsidRPr="00685B9F">
        <w:t>ongoing agency contract management competency.</w:t>
      </w:r>
      <w:r w:rsidR="00DE6A55">
        <w:t xml:space="preserve"> </w:t>
      </w:r>
      <w:r w:rsidR="002C3F31">
        <w:t>The following points should be considered</w:t>
      </w:r>
      <w:r w:rsidR="00DE6A55">
        <w:t>:</w:t>
      </w:r>
    </w:p>
    <w:p w14:paraId="74C085EB" w14:textId="16C2BDA1" w:rsidR="00434572" w:rsidRDefault="00C04A19" w:rsidP="001D2615">
      <w:pPr>
        <w:pStyle w:val="Bulletindent"/>
      </w:pPr>
      <w:r>
        <w:t xml:space="preserve">sufficient </w:t>
      </w:r>
      <w:r w:rsidR="00434572">
        <w:t xml:space="preserve">notice </w:t>
      </w:r>
      <w:r w:rsidR="00FE1DB9">
        <w:t xml:space="preserve">to the market </w:t>
      </w:r>
      <w:r w:rsidR="00434572">
        <w:t>is required</w:t>
      </w:r>
      <w:r w:rsidR="00FE1DB9">
        <w:t>,</w:t>
      </w:r>
      <w:r w:rsidR="00434572">
        <w:t xml:space="preserve"> </w:t>
      </w:r>
      <w:r w:rsidR="007F084D">
        <w:t>so that</w:t>
      </w:r>
      <w:r w:rsidR="00434572">
        <w:t xml:space="preserve"> </w:t>
      </w:r>
      <w:r w:rsidR="00FE1DB9">
        <w:t xml:space="preserve">an </w:t>
      </w:r>
      <w:r w:rsidR="00434572">
        <w:t>adequate number of consortiums can form to ensure a competitive procurement process</w:t>
      </w:r>
    </w:p>
    <w:p w14:paraId="13E160E0" w14:textId="47F18CC6" w:rsidR="00DE6A55" w:rsidRPr="00E55E07" w:rsidRDefault="00DE6A55" w:rsidP="001D2615">
      <w:pPr>
        <w:pStyle w:val="Bulletindent"/>
      </w:pPr>
      <w:r w:rsidRPr="00DE6A55">
        <w:t>variations to project scope may give rise to extensions of time and cost claims from the contractor</w:t>
      </w:r>
    </w:p>
    <w:p w14:paraId="18DE8FD8" w14:textId="5108D044" w:rsidR="00357353" w:rsidRPr="00DF1F4F" w:rsidRDefault="00357353" w:rsidP="001D2615">
      <w:pPr>
        <w:pStyle w:val="Bulletindent"/>
      </w:pPr>
      <w:r w:rsidRPr="00E55E07">
        <w:t xml:space="preserve">major modifications and augmentations can be complex to incorporate once the asset is </w:t>
      </w:r>
      <w:r w:rsidRPr="00D771AD">
        <w:rPr>
          <w:rFonts w:ascii="VIC" w:hAnsi="VIC"/>
        </w:rPr>
        <w:t>operational</w:t>
      </w:r>
      <w:r w:rsidR="006C103F">
        <w:rPr>
          <w:rFonts w:ascii="VIC" w:hAnsi="VIC"/>
        </w:rPr>
        <w:t>,</w:t>
      </w:r>
      <w:r w:rsidRPr="00D771AD">
        <w:rPr>
          <w:rFonts w:ascii="VIC" w:hAnsi="VIC"/>
        </w:rPr>
        <w:t xml:space="preserve"> given project financing arrangements</w:t>
      </w:r>
      <w:r w:rsidR="00C04A19">
        <w:rPr>
          <w:rFonts w:ascii="VIC" w:hAnsi="VIC"/>
        </w:rPr>
        <w:t>. The</w:t>
      </w:r>
      <w:r w:rsidRPr="00D771AD">
        <w:rPr>
          <w:rFonts w:ascii="VIC" w:hAnsi="VIC"/>
        </w:rPr>
        <w:t xml:space="preserve"> need for future flexibility should be considered as part of the procurement process</w:t>
      </w:r>
    </w:p>
    <w:p w14:paraId="04F56520" w14:textId="41425D24" w:rsidR="00485C04" w:rsidRPr="00DE6A55" w:rsidRDefault="00485C04" w:rsidP="001D2615">
      <w:pPr>
        <w:pStyle w:val="Bulletindent"/>
      </w:pPr>
      <w:r w:rsidRPr="005B52DA">
        <w:rPr>
          <w:rFonts w:ascii="VIC" w:hAnsi="VIC"/>
        </w:rPr>
        <w:t>output specification</w:t>
      </w:r>
      <w:r>
        <w:rPr>
          <w:rFonts w:ascii="VIC" w:hAnsi="VIC"/>
        </w:rPr>
        <w:t>s</w:t>
      </w:r>
      <w:r w:rsidRPr="005B52DA">
        <w:rPr>
          <w:rFonts w:ascii="VIC" w:hAnsi="VIC"/>
        </w:rPr>
        <w:t xml:space="preserve"> </w:t>
      </w:r>
      <w:r w:rsidR="00E55E07">
        <w:rPr>
          <w:rFonts w:ascii="VIC" w:hAnsi="VIC"/>
        </w:rPr>
        <w:t>need to be</w:t>
      </w:r>
      <w:r w:rsidRPr="005B52DA">
        <w:rPr>
          <w:rFonts w:ascii="VIC" w:hAnsi="VIC"/>
        </w:rPr>
        <w:t xml:space="preserve"> accurate and contractor prices appropriate</w:t>
      </w:r>
      <w:r w:rsidR="00E55E07">
        <w:rPr>
          <w:rFonts w:ascii="VIC" w:hAnsi="VIC"/>
        </w:rPr>
        <w:t xml:space="preserve"> during tendering</w:t>
      </w:r>
      <w:r w:rsidRPr="005B52DA">
        <w:rPr>
          <w:rFonts w:ascii="VIC" w:hAnsi="VIC"/>
        </w:rPr>
        <w:t xml:space="preserve">. This is to ensure the contractor does not underbid </w:t>
      </w:r>
      <w:r>
        <w:rPr>
          <w:rFonts w:ascii="VIC" w:hAnsi="VIC"/>
        </w:rPr>
        <w:t>or</w:t>
      </w:r>
      <w:r w:rsidRPr="005B52DA">
        <w:rPr>
          <w:rFonts w:ascii="VIC" w:hAnsi="VIC"/>
        </w:rPr>
        <w:t xml:space="preserve"> accept a</w:t>
      </w:r>
      <w:r>
        <w:rPr>
          <w:rFonts w:ascii="VIC" w:hAnsi="VIC"/>
        </w:rPr>
        <w:t>n</w:t>
      </w:r>
      <w:r w:rsidRPr="005B52DA">
        <w:rPr>
          <w:rFonts w:ascii="VIC" w:hAnsi="VIC"/>
        </w:rPr>
        <w:t xml:space="preserve"> </w:t>
      </w:r>
      <w:r>
        <w:rPr>
          <w:rFonts w:ascii="VIC" w:hAnsi="VIC"/>
        </w:rPr>
        <w:t>un</w:t>
      </w:r>
      <w:r w:rsidRPr="005B52DA">
        <w:rPr>
          <w:rFonts w:ascii="VIC" w:hAnsi="VIC"/>
        </w:rPr>
        <w:t xml:space="preserve">sustainable level of risk that </w:t>
      </w:r>
      <w:r>
        <w:rPr>
          <w:rFonts w:ascii="VIC" w:hAnsi="VIC"/>
        </w:rPr>
        <w:t>may result</w:t>
      </w:r>
      <w:r w:rsidRPr="005B52DA">
        <w:rPr>
          <w:rFonts w:ascii="VIC" w:hAnsi="VIC"/>
        </w:rPr>
        <w:t xml:space="preserve"> in the contractor pursing unreasonable claims</w:t>
      </w:r>
    </w:p>
    <w:p w14:paraId="2D411488" w14:textId="427B72C9" w:rsidR="25DFA31B" w:rsidRPr="00D771AD" w:rsidRDefault="25DFA31B" w:rsidP="001D2615">
      <w:pPr>
        <w:pStyle w:val="Bulletindent"/>
      </w:pPr>
      <w:r w:rsidRPr="4B615644">
        <w:rPr>
          <w:rFonts w:ascii="VIC" w:hAnsi="VIC"/>
        </w:rPr>
        <w:t>t</w:t>
      </w:r>
      <w:r w:rsidR="483CCA9E" w:rsidRPr="4B615644">
        <w:rPr>
          <w:rFonts w:ascii="VIC" w:hAnsi="VIC"/>
        </w:rPr>
        <w:t>he</w:t>
      </w:r>
      <w:r w:rsidR="5F92D85A" w:rsidRPr="4B615644">
        <w:rPr>
          <w:rFonts w:ascii="VIC" w:hAnsi="VIC"/>
        </w:rPr>
        <w:t xml:space="preserve"> </w:t>
      </w:r>
      <w:r w:rsidR="483CCA9E" w:rsidRPr="4B615644">
        <w:rPr>
          <w:rFonts w:ascii="VIC" w:hAnsi="VIC"/>
        </w:rPr>
        <w:t xml:space="preserve">agency must properly resource and train contract managers to monitor service delivery and </w:t>
      </w:r>
      <w:r w:rsidR="7FCCB335" w:rsidRPr="4B615644">
        <w:rPr>
          <w:rFonts w:ascii="VIC" w:hAnsi="VIC"/>
        </w:rPr>
        <w:t>performance</w:t>
      </w:r>
      <w:r w:rsidR="483CCA9E" w:rsidRPr="4B615644">
        <w:rPr>
          <w:rFonts w:ascii="VIC" w:hAnsi="VIC"/>
        </w:rPr>
        <w:t xml:space="preserve"> to </w:t>
      </w:r>
      <w:r w:rsidR="03870F63" w:rsidRPr="4B615644">
        <w:rPr>
          <w:rFonts w:ascii="VIC" w:hAnsi="VIC"/>
        </w:rPr>
        <w:t>realise</w:t>
      </w:r>
      <w:r w:rsidR="483CCA9E" w:rsidRPr="4B615644">
        <w:rPr>
          <w:rFonts w:ascii="VIC" w:hAnsi="VIC"/>
        </w:rPr>
        <w:t xml:space="preserve"> th</w:t>
      </w:r>
      <w:r w:rsidR="638061BC" w:rsidRPr="4B615644">
        <w:rPr>
          <w:rFonts w:ascii="VIC" w:hAnsi="VIC"/>
        </w:rPr>
        <w:t>e full ben</w:t>
      </w:r>
      <w:r w:rsidR="285DC1A1" w:rsidRPr="4B615644">
        <w:rPr>
          <w:rFonts w:ascii="VIC" w:hAnsi="VIC"/>
        </w:rPr>
        <w:t>e</w:t>
      </w:r>
      <w:r w:rsidR="638061BC" w:rsidRPr="4B615644">
        <w:rPr>
          <w:rFonts w:ascii="VIC" w:hAnsi="VIC"/>
        </w:rPr>
        <w:t xml:space="preserve">fits </w:t>
      </w:r>
      <w:r w:rsidR="7681CB83" w:rsidRPr="4B615644">
        <w:rPr>
          <w:rFonts w:ascii="VIC" w:hAnsi="VIC"/>
        </w:rPr>
        <w:t>of the contract</w:t>
      </w:r>
    </w:p>
    <w:p w14:paraId="4848A23C" w14:textId="29FC0BD1" w:rsidR="00434572" w:rsidRPr="008E3D27" w:rsidRDefault="029279CB" w:rsidP="001D2615">
      <w:pPr>
        <w:pStyle w:val="Bulletindent"/>
      </w:pPr>
      <w:r>
        <w:t xml:space="preserve">the </w:t>
      </w:r>
      <w:r w:rsidRPr="00D771AD">
        <w:rPr>
          <w:rFonts w:ascii="VIC" w:hAnsi="VIC"/>
        </w:rPr>
        <w:t>financial</w:t>
      </w:r>
      <w:r>
        <w:t xml:space="preserve"> sustainability of the companies is important given the long</w:t>
      </w:r>
      <w:r w:rsidR="00357353" w:rsidRPr="00D771AD">
        <w:t>-</w:t>
      </w:r>
      <w:r>
        <w:t xml:space="preserve">term nature of the </w:t>
      </w:r>
      <w:r w:rsidRPr="008E3D27">
        <w:t>contract</w:t>
      </w:r>
    </w:p>
    <w:p w14:paraId="56E89FF5" w14:textId="38DC2AE1" w:rsidR="00C70BC4" w:rsidRPr="008E3D27" w:rsidRDefault="00C70BC4" w:rsidP="001D2615">
      <w:pPr>
        <w:pStyle w:val="Bulletindent"/>
      </w:pPr>
      <w:r>
        <w:t xml:space="preserve">the </w:t>
      </w:r>
      <w:r w:rsidR="007368F6">
        <w:t>asset management</w:t>
      </w:r>
      <w:r w:rsidR="003E472E">
        <w:t xml:space="preserve"> or</w:t>
      </w:r>
      <w:r w:rsidR="00030BE2">
        <w:t xml:space="preserve"> </w:t>
      </w:r>
      <w:r w:rsidRPr="00C70BC4">
        <w:t xml:space="preserve">service component </w:t>
      </w:r>
      <w:r w:rsidR="00A90722">
        <w:t xml:space="preserve">must be </w:t>
      </w:r>
      <w:r w:rsidRPr="00C70BC4">
        <w:t>appropriate for private sector delivery</w:t>
      </w:r>
      <w:r>
        <w:t>.</w:t>
      </w:r>
    </w:p>
    <w:p w14:paraId="4F4FEDF5" w14:textId="77777777" w:rsidR="004E1D40" w:rsidRPr="008E3D27" w:rsidRDefault="004E1D40" w:rsidP="001D2615">
      <w:pPr>
        <w:pStyle w:val="Heading4numbered"/>
      </w:pPr>
      <w:r w:rsidRPr="008E3D27">
        <w:t>Authorised contracts</w:t>
      </w:r>
    </w:p>
    <w:p w14:paraId="578F9F79" w14:textId="61108D2D" w:rsidR="003B5CFD" w:rsidRPr="008E3D27" w:rsidRDefault="003B5CFD" w:rsidP="001D2615">
      <w:pPr>
        <w:pStyle w:val="Bulletindent"/>
      </w:pPr>
      <w:r>
        <w:t>Harmonised Public Private Partnerships Project</w:t>
      </w:r>
      <w:r w:rsidR="00131A03">
        <w:t xml:space="preserve"> (PPP)</w:t>
      </w:r>
      <w:r>
        <w:t xml:space="preserve"> Deeds (</w:t>
      </w:r>
      <w:r w:rsidR="00A90722">
        <w:t>u</w:t>
      </w:r>
      <w:r>
        <w:t>pdate to 2018 Standard Form Project Deeds):</w:t>
      </w:r>
    </w:p>
    <w:p w14:paraId="3BE5DB32" w14:textId="7371C7CC" w:rsidR="003B5CFD" w:rsidRPr="008E3D27" w:rsidRDefault="003B5CFD" w:rsidP="001D2615">
      <w:pPr>
        <w:pStyle w:val="Bulletindent2"/>
      </w:pPr>
      <w:r>
        <w:t>Social Infrastructure PPP Project Deed</w:t>
      </w:r>
    </w:p>
    <w:p w14:paraId="5E4009EF" w14:textId="5236C4C5" w:rsidR="000C37B1" w:rsidRPr="008E3D27" w:rsidRDefault="003B5CFD" w:rsidP="001D2615">
      <w:pPr>
        <w:pStyle w:val="Bulletindent2"/>
      </w:pPr>
      <w:r w:rsidRPr="008E3D27">
        <w:t>Linear Infrastructure PPP Project Deed</w:t>
      </w:r>
      <w:r w:rsidR="008E3D27" w:rsidRPr="008E3D27">
        <w:t xml:space="preserve"> (available on</w:t>
      </w:r>
      <w:r w:rsidR="00602D25">
        <w:t xml:space="preserve"> the DTF</w:t>
      </w:r>
      <w:r w:rsidR="0022036C">
        <w:t xml:space="preserve"> website</w:t>
      </w:r>
      <w:r w:rsidR="00D353E4">
        <w:t xml:space="preserve"> </w:t>
      </w:r>
      <w:r w:rsidR="00B84A48">
        <w:t xml:space="preserve">at </w:t>
      </w:r>
      <w:hyperlink r:id="rId133" w:history="1">
        <w:r w:rsidR="00B84A48" w:rsidRPr="00B30F68">
          <w:rPr>
            <w:rStyle w:val="Hyperlink"/>
          </w:rPr>
          <w:t>https://www.dtf.vic.gov.au/stage-2-procurement/whole-life-procurement-category</w:t>
        </w:r>
      </w:hyperlink>
    </w:p>
    <w:p w14:paraId="7576108A" w14:textId="77777777" w:rsidR="004E1D40" w:rsidRPr="00080B8C" w:rsidRDefault="004E1D40" w:rsidP="001D2615">
      <w:pPr>
        <w:pStyle w:val="Heading4numbered"/>
      </w:pPr>
      <w:r w:rsidRPr="00421D37">
        <w:t>Supporting resources</w:t>
      </w:r>
    </w:p>
    <w:p w14:paraId="7EC9E7CA" w14:textId="3250B4DE" w:rsidR="0046666D" w:rsidRPr="00CC643F" w:rsidRDefault="00894832" w:rsidP="0033748E">
      <w:pPr>
        <w:pStyle w:val="Bulletindent"/>
        <w:keepNext/>
      </w:pPr>
      <w:hyperlink r:id="rId134">
        <w:r w:rsidR="04E63A78" w:rsidRPr="6E4B2343">
          <w:rPr>
            <w:rStyle w:val="Hyperlink"/>
          </w:rPr>
          <w:t>National</w:t>
        </w:r>
        <w:r w:rsidR="33DB6A60" w:rsidRPr="6E4B2343">
          <w:rPr>
            <w:rStyle w:val="Hyperlink"/>
          </w:rPr>
          <w:t xml:space="preserve"> PPP</w:t>
        </w:r>
        <w:r w:rsidR="04E63A78" w:rsidRPr="6E4B2343">
          <w:rPr>
            <w:rStyle w:val="Hyperlink"/>
          </w:rPr>
          <w:t xml:space="preserve"> policy and guidelines</w:t>
        </w:r>
      </w:hyperlink>
    </w:p>
    <w:p w14:paraId="121FF1EB" w14:textId="192DB522" w:rsidR="00B92FAF" w:rsidRPr="007B32B2" w:rsidRDefault="00894832" w:rsidP="001D2615">
      <w:pPr>
        <w:pStyle w:val="Bulletindent"/>
        <w:keepLines w:val="0"/>
        <w:spacing w:before="0" w:after="200" w:line="276" w:lineRule="auto"/>
      </w:pPr>
      <w:hyperlink r:id="rId135" w:history="1">
        <w:r w:rsidR="00B92FAF">
          <w:rPr>
            <w:rStyle w:val="Hyperlink"/>
          </w:rPr>
          <w:t>Whole of Life Partnership Victoria Procurement Requirements</w:t>
        </w:r>
      </w:hyperlink>
    </w:p>
    <w:p w14:paraId="14D7C880" w14:textId="60ABC09E" w:rsidR="004E1D40" w:rsidRPr="00AD130A" w:rsidRDefault="68852B8A" w:rsidP="001D2615">
      <w:pPr>
        <w:pStyle w:val="Heading3numbered"/>
      </w:pPr>
      <w:r>
        <w:t xml:space="preserve">Bundled </w:t>
      </w:r>
      <w:r w:rsidR="00685B9F">
        <w:t>models</w:t>
      </w:r>
    </w:p>
    <w:p w14:paraId="70D555CB" w14:textId="6692A510" w:rsidR="00D85283" w:rsidRDefault="00D85283" w:rsidP="00834461">
      <w:pPr>
        <w:pStyle w:val="NormalIndent"/>
      </w:pPr>
      <w:r>
        <w:t xml:space="preserve">Bundled models involve grouping the design, construction, operations </w:t>
      </w:r>
      <w:r w:rsidDel="00050D95">
        <w:t>and/</w:t>
      </w:r>
      <w:r>
        <w:t xml:space="preserve">or maintenance of an asset. They do not include project financing. Instead </w:t>
      </w:r>
      <w:r w:rsidR="005B524B">
        <w:t>the Government</w:t>
      </w:r>
      <w:r>
        <w:t xml:space="preserve"> is responsible for funding and financing the infrastructure. These models typically </w:t>
      </w:r>
      <w:r w:rsidR="00C663A7">
        <w:t xml:space="preserve">have the following features. </w:t>
      </w:r>
    </w:p>
    <w:p w14:paraId="43493978" w14:textId="14EF7418" w:rsidR="00D85283" w:rsidRDefault="00D85283" w:rsidP="00B25CEE">
      <w:pPr>
        <w:pStyle w:val="NormalIndent"/>
        <w:keepNext/>
      </w:pPr>
      <w:r w:rsidRPr="00F85ABF">
        <w:t>The</w:t>
      </w:r>
      <w:r>
        <w:t xml:space="preserve"> agency:</w:t>
      </w:r>
    </w:p>
    <w:p w14:paraId="6B2E79A6" w14:textId="22D35285" w:rsidR="00D85283" w:rsidRDefault="00C663A7" w:rsidP="001D2615">
      <w:pPr>
        <w:pStyle w:val="Bulletindent"/>
      </w:pPr>
      <w:r>
        <w:t xml:space="preserve">prepares </w:t>
      </w:r>
      <w:r w:rsidR="00D85283">
        <w:t>a design brief and preliminary design (including functional specification and key user requirements) for tender</w:t>
      </w:r>
    </w:p>
    <w:p w14:paraId="70FDB2F6" w14:textId="20118DE3" w:rsidR="00D85283" w:rsidRDefault="00D85283" w:rsidP="001D2615">
      <w:pPr>
        <w:pStyle w:val="Bulletindent"/>
      </w:pPr>
      <w:r>
        <w:t>pay</w:t>
      </w:r>
      <w:r w:rsidR="00C663A7">
        <w:t>s</w:t>
      </w:r>
      <w:r>
        <w:t xml:space="preserve"> progressively during construction of the asset and for maintenance and operations once the asset is operational.</w:t>
      </w:r>
    </w:p>
    <w:p w14:paraId="4FC789AB" w14:textId="77777777" w:rsidR="00D85283" w:rsidRDefault="00D85283" w:rsidP="00B25CEE">
      <w:pPr>
        <w:pStyle w:val="NormalIndent"/>
      </w:pPr>
      <w:r>
        <w:t>The contractor:</w:t>
      </w:r>
    </w:p>
    <w:p w14:paraId="34F93A2A" w14:textId="26254300" w:rsidR="00D85283" w:rsidRDefault="00D85283" w:rsidP="001D2615">
      <w:pPr>
        <w:pStyle w:val="Bulletindent"/>
      </w:pPr>
      <w:r>
        <w:t>construct</w:t>
      </w:r>
      <w:r w:rsidR="00C663A7">
        <w:t>s</w:t>
      </w:r>
      <w:r>
        <w:t xml:space="preserve"> the asset for a fixed price and agreed schedule, then maintain</w:t>
      </w:r>
      <w:r w:rsidR="00C663A7">
        <w:t>s</w:t>
      </w:r>
      <w:r>
        <w:t xml:space="preserve"> the asset for an agreed period of time</w:t>
      </w:r>
    </w:p>
    <w:p w14:paraId="58393D51" w14:textId="7E882991" w:rsidR="00D85283" w:rsidRDefault="00C663A7" w:rsidP="001D2615">
      <w:pPr>
        <w:pStyle w:val="Bulletindent"/>
      </w:pPr>
      <w:r>
        <w:t>is responsible for</w:t>
      </w:r>
      <w:r w:rsidR="00D85283">
        <w:t xml:space="preserve"> risks associated with the design, construction and maintenance</w:t>
      </w:r>
      <w:r>
        <w:t>,</w:t>
      </w:r>
      <w:r w:rsidR="00D85283">
        <w:t xml:space="preserve"> including schedule and associated interfaces</w:t>
      </w:r>
    </w:p>
    <w:p w14:paraId="26F22106" w14:textId="77777777" w:rsidR="00D85283" w:rsidRDefault="00D85283" w:rsidP="001D2615">
      <w:pPr>
        <w:pStyle w:val="Bulletindent"/>
      </w:pPr>
      <w:r>
        <w:t>typically provides a single point of responsibility for design, construction and asset quality over the life of project.</w:t>
      </w:r>
    </w:p>
    <w:p w14:paraId="0A5D437C" w14:textId="5ECBD5F7" w:rsidR="00EB7B7E" w:rsidRDefault="128F1DF9" w:rsidP="00834461">
      <w:pPr>
        <w:pStyle w:val="NormalIndent"/>
      </w:pPr>
      <w:r>
        <w:t xml:space="preserve">These models </w:t>
      </w:r>
      <w:r w:rsidR="00D85283">
        <w:t>typically</w:t>
      </w:r>
      <w:r w:rsidR="00EB7B7E">
        <w:t xml:space="preserve"> make the private sector parties who build </w:t>
      </w:r>
      <w:r w:rsidR="008D5668">
        <w:t xml:space="preserve">the </w:t>
      </w:r>
      <w:r w:rsidR="00EB7B7E">
        <w:t>public infrastructure financially responsible for its condition and performance throughout the asset</w:t>
      </w:r>
      <w:r w:rsidR="00344D3F">
        <w:t>’</w:t>
      </w:r>
      <w:r w:rsidR="00EB7B7E">
        <w:t>s lifetime.</w:t>
      </w:r>
    </w:p>
    <w:p w14:paraId="70D131B5" w14:textId="0FA55ACE" w:rsidR="004E1D40" w:rsidRPr="00BD5E41" w:rsidRDefault="004E1D40" w:rsidP="001D2615">
      <w:pPr>
        <w:pStyle w:val="Heading4numbered"/>
      </w:pPr>
      <w:r w:rsidRPr="00BD5E41">
        <w:t xml:space="preserve">Model </w:t>
      </w:r>
      <w:r w:rsidR="00685B9F" w:rsidRPr="00BD5E41">
        <w:t>variants</w:t>
      </w:r>
    </w:p>
    <w:p w14:paraId="246CE158" w14:textId="77777777" w:rsidR="004E1D40" w:rsidRPr="00080B8C" w:rsidRDefault="4F7A48BE" w:rsidP="001D2615">
      <w:pPr>
        <w:pStyle w:val="Bulletindent"/>
      </w:pPr>
      <w:r>
        <w:t>Design, Build and Maintain (DB&amp;M)</w:t>
      </w:r>
    </w:p>
    <w:p w14:paraId="000DB8BA" w14:textId="77777777" w:rsidR="004E1D40" w:rsidRPr="00080B8C" w:rsidRDefault="4F7A48BE" w:rsidP="001D2615">
      <w:pPr>
        <w:pStyle w:val="Bulletindent"/>
      </w:pPr>
      <w:r>
        <w:t>Design, Build and Operate (DB&amp;O)</w:t>
      </w:r>
    </w:p>
    <w:p w14:paraId="29745D30" w14:textId="780D44C4" w:rsidR="004E1D40" w:rsidRPr="00421D37" w:rsidRDefault="4F7A48BE" w:rsidP="001D2615">
      <w:pPr>
        <w:pStyle w:val="Bulletindent"/>
      </w:pPr>
      <w:r>
        <w:t>Design, Build, Operate</w:t>
      </w:r>
      <w:r w:rsidR="00A6449E">
        <w:t xml:space="preserve"> and </w:t>
      </w:r>
      <w:r>
        <w:t>Maintain (DBOM)</w:t>
      </w:r>
    </w:p>
    <w:p w14:paraId="7027B4F5" w14:textId="26571753" w:rsidR="004E1D40" w:rsidRPr="00421D37" w:rsidRDefault="004E1D40" w:rsidP="00B25CEE">
      <w:pPr>
        <w:pStyle w:val="Captionindent"/>
      </w:pPr>
      <w:bookmarkStart w:id="360" w:name="_Toc145621483"/>
      <w:bookmarkStart w:id="361" w:name="_Toc145621612"/>
      <w:bookmarkStart w:id="362" w:name="_Toc160457788"/>
      <w:r w:rsidRPr="00421D37">
        <w:t xml:space="preserve">Figure </w:t>
      </w:r>
      <w:r w:rsidRPr="00421D37">
        <w:fldChar w:fldCharType="begin"/>
      </w:r>
      <w:r w:rsidRPr="00421D37">
        <w:instrText>SEQ Figure \* ARABIC</w:instrText>
      </w:r>
      <w:r w:rsidRPr="00421D37">
        <w:fldChar w:fldCharType="separate"/>
      </w:r>
      <w:r w:rsidR="008A4B3E">
        <w:rPr>
          <w:noProof/>
        </w:rPr>
        <w:t>19</w:t>
      </w:r>
      <w:r w:rsidRPr="00421D37">
        <w:fldChar w:fldCharType="end"/>
      </w:r>
      <w:r w:rsidR="005504CB">
        <w:t xml:space="preserve"> –</w:t>
      </w:r>
      <w:r w:rsidR="00AE3F0F">
        <w:t xml:space="preserve"> </w:t>
      </w:r>
      <w:r>
        <w:t>Bund</w:t>
      </w:r>
      <w:r w:rsidR="00EA6135">
        <w:t>l</w:t>
      </w:r>
      <w:r w:rsidR="00054183">
        <w:t>ed</w:t>
      </w:r>
      <w:r>
        <w:t xml:space="preserve"> </w:t>
      </w:r>
      <w:r w:rsidR="00054183">
        <w:t>structure</w:t>
      </w:r>
      <w:bookmarkEnd w:id="360"/>
      <w:bookmarkEnd w:id="361"/>
      <w:bookmarkEnd w:id="362"/>
    </w:p>
    <w:p w14:paraId="50FF6601" w14:textId="7402D092" w:rsidR="004761D6" w:rsidRPr="004761D6" w:rsidRDefault="005F5129" w:rsidP="00834461">
      <w:pPr>
        <w:pStyle w:val="NormalIndent"/>
      </w:pPr>
      <w:r w:rsidRPr="005F5129">
        <w:rPr>
          <w:noProof/>
        </w:rPr>
        <w:drawing>
          <wp:inline distT="0" distB="0" distL="0" distR="0" wp14:anchorId="2B086D59" wp14:editId="4FADF0AB">
            <wp:extent cx="5162400" cy="2687010"/>
            <wp:effectExtent l="0" t="0" r="635" b="0"/>
            <wp:docPr id="2" name="Graphic 2" descr="The figure relates to section 4.4.2 Bundled models. It is a diagram showing the structure of parties involved in Bundled models over the project timeline from Design brief (functional specifications and user requirements), Tender for contractor; Completion of design and construction documentation; Construction commissioning and Op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The figure relates to section 4.4.2 Bundled models. It is a diagram showing the structure of parties involved in Bundled models over the project timeline from Design brief (functional specifications and user requirements), Tender for contractor; Completion of design and construction documentation; Construction commissioning and Operations.  "/>
                    <pic:cNvPicPr/>
                  </pic:nvPicPr>
                  <pic:blipFill>
                    <a:blip r:embed="rId136" cstate="screen">
                      <a:extLst>
                        <a:ext uri="{28A0092B-C50C-407E-A947-70E740481C1C}">
                          <a14:useLocalDpi xmlns:a14="http://schemas.microsoft.com/office/drawing/2010/main"/>
                        </a:ext>
                        <a:ext uri="{96DAC541-7B7A-43D3-8B79-37D633B846F1}">
                          <asvg:svgBlip xmlns:asvg="http://schemas.microsoft.com/office/drawing/2016/SVG/main" r:embed="rId137"/>
                        </a:ext>
                      </a:extLst>
                    </a:blip>
                    <a:stretch>
                      <a:fillRect/>
                    </a:stretch>
                  </pic:blipFill>
                  <pic:spPr>
                    <a:xfrm>
                      <a:off x="0" y="0"/>
                      <a:ext cx="5172975" cy="2692514"/>
                    </a:xfrm>
                    <a:prstGeom prst="rect">
                      <a:avLst/>
                    </a:prstGeom>
                  </pic:spPr>
                </pic:pic>
              </a:graphicData>
            </a:graphic>
          </wp:inline>
        </w:drawing>
      </w:r>
    </w:p>
    <w:p w14:paraId="72CAEC12" w14:textId="2351716D" w:rsidR="004E1D40" w:rsidRPr="00421D37" w:rsidRDefault="004E1D40" w:rsidP="001D2615">
      <w:pPr>
        <w:pStyle w:val="Heading4numbered"/>
      </w:pPr>
      <w:r w:rsidRPr="00421D37">
        <w:t xml:space="preserve">When to use </w:t>
      </w:r>
      <w:r w:rsidR="00A3598D">
        <w:t>bund</w:t>
      </w:r>
      <w:r w:rsidR="009B233E">
        <w:t>led models</w:t>
      </w:r>
    </w:p>
    <w:p w14:paraId="673269D8" w14:textId="6DEF5E2D" w:rsidR="00BC6E37" w:rsidRDefault="00BC6E37" w:rsidP="00834461">
      <w:pPr>
        <w:pStyle w:val="NormalIndent"/>
        <w:rPr>
          <w:b/>
          <w:bCs/>
        </w:rPr>
      </w:pPr>
      <w:r>
        <w:t xml:space="preserve">Bundled </w:t>
      </w:r>
      <w:r w:rsidR="00B8194B">
        <w:t xml:space="preserve">models are well suited to projects that would benefit from innovation and efficiency of private sector involvement. </w:t>
      </w:r>
      <w:r w:rsidR="00CB5559">
        <w:t xml:space="preserve">The following characteristics favour </w:t>
      </w:r>
      <w:r w:rsidR="05B5E3C2">
        <w:t xml:space="preserve">bundled </w:t>
      </w:r>
      <w:r w:rsidR="00D77C03">
        <w:t xml:space="preserve">procurement </w:t>
      </w:r>
      <w:r w:rsidR="05B5E3C2">
        <w:t>models</w:t>
      </w:r>
      <w:r w:rsidR="00CB5559">
        <w:t>.</w:t>
      </w:r>
      <w:r w:rsidR="00012C1E">
        <w:t xml:space="preserve"> </w:t>
      </w:r>
    </w:p>
    <w:p w14:paraId="0EFC2045" w14:textId="16622E00" w:rsidR="46F0DD05" w:rsidRDefault="46F0DD05" w:rsidP="007B32B2">
      <w:pPr>
        <w:pStyle w:val="Heading4"/>
      </w:pPr>
      <w:r w:rsidRPr="05B5E3C2">
        <w:t>Whole-of-life</w:t>
      </w:r>
    </w:p>
    <w:p w14:paraId="5FFDFB90" w14:textId="668C072D" w:rsidR="46F0DD05" w:rsidRDefault="00270413" w:rsidP="001D2615">
      <w:pPr>
        <w:pStyle w:val="Bulletindent"/>
      </w:pPr>
      <w:r>
        <w:t>When b</w:t>
      </w:r>
      <w:r w:rsidR="46F0DD05">
        <w:t xml:space="preserve">undling the design, construction and operation phases is feasible </w:t>
      </w:r>
      <w:r w:rsidR="00054B07">
        <w:t>to</w:t>
      </w:r>
      <w:r w:rsidR="46F0DD05">
        <w:t xml:space="preserve"> drive innovation and efficiencies through project delivery.</w:t>
      </w:r>
    </w:p>
    <w:p w14:paraId="3070A987" w14:textId="0947502F" w:rsidR="00254E79" w:rsidRDefault="00254E79" w:rsidP="007B32B2">
      <w:pPr>
        <w:pStyle w:val="Heading4"/>
      </w:pPr>
      <w:r>
        <w:t>P</w:t>
      </w:r>
      <w:r w:rsidRPr="580BCC84">
        <w:t>roject</w:t>
      </w:r>
      <w:r w:rsidRPr="003665B7">
        <w:t xml:space="preserve"> value</w:t>
      </w:r>
    </w:p>
    <w:p w14:paraId="6D246A5F" w14:textId="24FC2729" w:rsidR="00254E79" w:rsidRPr="00421D37" w:rsidRDefault="00254E79" w:rsidP="001D2615">
      <w:pPr>
        <w:pStyle w:val="Bulletindent"/>
      </w:pPr>
      <w:r>
        <w:t xml:space="preserve">Typically </w:t>
      </w:r>
      <w:r w:rsidR="00054B07">
        <w:t xml:space="preserve">over </w:t>
      </w:r>
      <w:r w:rsidRPr="00C42DFD">
        <w:t>$250</w:t>
      </w:r>
      <w:r w:rsidR="00C04A19">
        <w:rPr>
          <w:rFonts w:ascii="Calibri" w:hAnsi="Calibri"/>
        </w:rPr>
        <w:t> </w:t>
      </w:r>
      <w:r>
        <w:t>million, providing sufficient scale to cover the high</w:t>
      </w:r>
      <w:r w:rsidR="0071393E">
        <w:t>er</w:t>
      </w:r>
      <w:r>
        <w:t xml:space="preserve"> costs of establishment, governance and administration</w:t>
      </w:r>
      <w:r>
        <w:rPr>
          <w:rFonts w:ascii="Calibri" w:hAnsi="Calibri"/>
        </w:rPr>
        <w:t>.</w:t>
      </w:r>
    </w:p>
    <w:p w14:paraId="29119F8C" w14:textId="23B60CB3" w:rsidR="00254E79" w:rsidRPr="00E940E8" w:rsidRDefault="00254E79" w:rsidP="007B32B2">
      <w:pPr>
        <w:pStyle w:val="Heading4"/>
      </w:pPr>
      <w:r>
        <w:t>S</w:t>
      </w:r>
      <w:r w:rsidRPr="580BCC84">
        <w:t>cope</w:t>
      </w:r>
      <w:r>
        <w:t>, complexity</w:t>
      </w:r>
      <w:r w:rsidRPr="580BCC84">
        <w:t xml:space="preserve"> and output </w:t>
      </w:r>
      <w:r>
        <w:t>certainty</w:t>
      </w:r>
    </w:p>
    <w:p w14:paraId="24227A07" w14:textId="77777777" w:rsidR="00254E79" w:rsidRDefault="00254E79" w:rsidP="001D2615">
      <w:pPr>
        <w:pStyle w:val="Bulletindent"/>
      </w:pPr>
      <w:r>
        <w:t>Scope and</w:t>
      </w:r>
      <w:r w:rsidDel="00867A42">
        <w:t xml:space="preserve"> </w:t>
      </w:r>
      <w:r>
        <w:t>outputs can be reasonably and adequately defined in the business case or during subsequent work before tendering.</w:t>
      </w:r>
    </w:p>
    <w:p w14:paraId="59B032E9" w14:textId="77777777" w:rsidR="00B8194B" w:rsidRDefault="00B8194B" w:rsidP="001D2615">
      <w:pPr>
        <w:pStyle w:val="Bulletindent"/>
      </w:pPr>
      <w:r>
        <w:t>There is a service component appropriate for private sector delivery.</w:t>
      </w:r>
    </w:p>
    <w:p w14:paraId="579E02B7" w14:textId="3C25822D" w:rsidR="00B8194B" w:rsidRDefault="7F8C9D1B" w:rsidP="007B32B2">
      <w:pPr>
        <w:pStyle w:val="Heading4"/>
      </w:pPr>
      <w:r w:rsidRPr="25CE70D0">
        <w:t>Risk allocation</w:t>
      </w:r>
    </w:p>
    <w:p w14:paraId="63DAF9CD" w14:textId="58B17BA5" w:rsidR="00254E79" w:rsidRDefault="00254E79" w:rsidP="001D2615">
      <w:pPr>
        <w:pStyle w:val="Bulletindent"/>
      </w:pPr>
      <w:r>
        <w:t>Risks for the design, construction and maintenance or operation</w:t>
      </w:r>
      <w:r w:rsidR="00C663A7">
        <w:t>,</w:t>
      </w:r>
      <w:r>
        <w:t xml:space="preserve"> including schedule and associated interfaces</w:t>
      </w:r>
      <w:r w:rsidR="00C663A7">
        <w:t>,</w:t>
      </w:r>
      <w:r>
        <w:t xml:space="preserve"> can be defined and allocated to the contractor.</w:t>
      </w:r>
    </w:p>
    <w:p w14:paraId="62AE06B6" w14:textId="0B2A89C5" w:rsidR="00B8194B" w:rsidRPr="00D049DA" w:rsidRDefault="004107D5" w:rsidP="007B32B2">
      <w:pPr>
        <w:pStyle w:val="Heading4"/>
      </w:pPr>
      <w:r>
        <w:t>A</w:t>
      </w:r>
      <w:r w:rsidR="7F8C9D1B" w:rsidRPr="25CE70D0">
        <w:t>gency role</w:t>
      </w:r>
    </w:p>
    <w:p w14:paraId="62A99966" w14:textId="79F4066E" w:rsidR="00B8194B" w:rsidRPr="00421D37" w:rsidRDefault="00B8194B" w:rsidP="001D2615">
      <w:pPr>
        <w:pStyle w:val="Bulletindent"/>
      </w:pPr>
      <w:r>
        <w:t xml:space="preserve">The agency requires capacity and expertise to lock in a long-term </w:t>
      </w:r>
      <w:r w:rsidR="00254E79">
        <w:t>service</w:t>
      </w:r>
      <w:r>
        <w:t xml:space="preserve"> requirement, </w:t>
      </w:r>
      <w:r w:rsidR="00BC4390">
        <w:t xml:space="preserve">manage </w:t>
      </w:r>
      <w:r>
        <w:t xml:space="preserve">procurement and </w:t>
      </w:r>
      <w:r w:rsidR="00BC4390">
        <w:t xml:space="preserve">manage the </w:t>
      </w:r>
      <w:r>
        <w:t xml:space="preserve">contract throughout </w:t>
      </w:r>
      <w:r w:rsidR="00BC4390">
        <w:t xml:space="preserve">its </w:t>
      </w:r>
      <w:r>
        <w:t>life.</w:t>
      </w:r>
    </w:p>
    <w:p w14:paraId="72CDB0EF" w14:textId="15B9A9E8" w:rsidR="004E1D40" w:rsidRDefault="130002C0" w:rsidP="001D2615">
      <w:pPr>
        <w:pStyle w:val="Heading4numbered"/>
      </w:pPr>
      <w:r>
        <w:t>Benefits</w:t>
      </w:r>
    </w:p>
    <w:p w14:paraId="7F512A6A" w14:textId="5F120BC1" w:rsidR="002F295B" w:rsidRPr="00421D37" w:rsidRDefault="002F295B" w:rsidP="00834461">
      <w:pPr>
        <w:pStyle w:val="NormalIndent"/>
      </w:pPr>
      <w:r>
        <w:t>Bundled</w:t>
      </w:r>
      <w:r w:rsidRPr="00421D37">
        <w:t xml:space="preserve"> models can drive benefits during delivery and over the long</w:t>
      </w:r>
      <w:r w:rsidR="00BC4390">
        <w:t xml:space="preserve"> </w:t>
      </w:r>
      <w:r w:rsidRPr="00421D37">
        <w:t>term once the infrastructure is operational</w:t>
      </w:r>
      <w:r>
        <w:t>. These models</w:t>
      </w:r>
      <w:r w:rsidRPr="00421D37">
        <w:t>:</w:t>
      </w:r>
    </w:p>
    <w:p w14:paraId="67D51C04" w14:textId="58671C00" w:rsidR="006F6F5C" w:rsidRPr="00421D37" w:rsidRDefault="52DB3BCA" w:rsidP="001D2615">
      <w:pPr>
        <w:pStyle w:val="Bulletindent"/>
      </w:pPr>
      <w:r>
        <w:t>provide ongoing</w:t>
      </w:r>
      <w:r w:rsidR="00BC4390">
        <w:t>,</w:t>
      </w:r>
      <w:r>
        <w:t xml:space="preserve"> design-driven operational benefits for </w:t>
      </w:r>
      <w:r w:rsidR="00BC4390">
        <w:t xml:space="preserve">the </w:t>
      </w:r>
      <w:r w:rsidR="00CE2D59">
        <w:t>G</w:t>
      </w:r>
      <w:r>
        <w:t xml:space="preserve">overnment, with </w:t>
      </w:r>
      <w:r w:rsidR="00BC4390">
        <w:t>a</w:t>
      </w:r>
      <w:r>
        <w:t xml:space="preserve"> focus on maximising the efficiency of whole</w:t>
      </w:r>
      <w:r w:rsidR="00261403">
        <w:t>-</w:t>
      </w:r>
      <w:r>
        <w:t>of</w:t>
      </w:r>
      <w:r w:rsidR="00261403">
        <w:t>-</w:t>
      </w:r>
      <w:r>
        <w:t xml:space="preserve">life costs and incentivising </w:t>
      </w:r>
      <w:r w:rsidR="00BC4390">
        <w:t>long-</w:t>
      </w:r>
      <w:r>
        <w:t>term service outcomes</w:t>
      </w:r>
    </w:p>
    <w:p w14:paraId="75A0BADD" w14:textId="09A8F705" w:rsidR="006F6F5C" w:rsidRPr="00421D37" w:rsidRDefault="52DB3BCA" w:rsidP="001D2615">
      <w:pPr>
        <w:pStyle w:val="Bulletindent"/>
      </w:pPr>
      <w:r>
        <w:t xml:space="preserve">provide greater clarity, certainty and transparency of project scope, costs and time outcomes. </w:t>
      </w:r>
      <w:r w:rsidR="00C663A7">
        <w:t xml:space="preserve">They </w:t>
      </w:r>
      <w:r>
        <w:t xml:space="preserve">also provide </w:t>
      </w:r>
      <w:r w:rsidR="702C9DEC">
        <w:t>confidence</w:t>
      </w:r>
      <w:r>
        <w:t xml:space="preserve"> </w:t>
      </w:r>
      <w:r w:rsidR="00C663A7">
        <w:t xml:space="preserve">in </w:t>
      </w:r>
      <w:r>
        <w:t>funding and whole</w:t>
      </w:r>
      <w:r w:rsidR="00261403">
        <w:t>-</w:t>
      </w:r>
      <w:r>
        <w:t>of</w:t>
      </w:r>
      <w:r w:rsidR="00261403">
        <w:t>-</w:t>
      </w:r>
      <w:r>
        <w:t>life costs during operation</w:t>
      </w:r>
    </w:p>
    <w:p w14:paraId="208545D5" w14:textId="7D9421DA" w:rsidR="006F6F5C" w:rsidRPr="00421D37" w:rsidRDefault="52DB3BCA" w:rsidP="001D2615">
      <w:pPr>
        <w:pStyle w:val="Bulletindent"/>
      </w:pPr>
      <w:r>
        <w:t xml:space="preserve">enable </w:t>
      </w:r>
      <w:r w:rsidR="0005239A">
        <w:t xml:space="preserve">the </w:t>
      </w:r>
      <w:r w:rsidR="00CE2D59">
        <w:t>G</w:t>
      </w:r>
      <w:r>
        <w:t xml:space="preserve">overnment to focus on core service delivery, with the asset managed by the private consortium. The private </w:t>
      </w:r>
      <w:r w:rsidR="002F295B">
        <w:t>contractor</w:t>
      </w:r>
      <w:r>
        <w:t xml:space="preserve"> manages complex interfaces and reduces </w:t>
      </w:r>
      <w:r w:rsidR="00344D3F">
        <w:t>‘</w:t>
      </w:r>
      <w:r>
        <w:t>contract gaps</w:t>
      </w:r>
      <w:r w:rsidR="00344D3F">
        <w:t>’</w:t>
      </w:r>
      <w:r>
        <w:t xml:space="preserve"> with </w:t>
      </w:r>
      <w:r w:rsidR="00F11B52">
        <w:t xml:space="preserve">the </w:t>
      </w:r>
      <w:r w:rsidR="00CE2D59">
        <w:t>G</w:t>
      </w:r>
      <w:r>
        <w:t>overnment</w:t>
      </w:r>
      <w:r w:rsidR="002F295B">
        <w:t>.</w:t>
      </w:r>
    </w:p>
    <w:p w14:paraId="1503C3E3" w14:textId="122F54DD" w:rsidR="004E1D40" w:rsidRPr="00421D37" w:rsidRDefault="130002C0" w:rsidP="001D2615">
      <w:pPr>
        <w:pStyle w:val="Heading4numbered"/>
      </w:pPr>
      <w:r>
        <w:t>Points to consider</w:t>
      </w:r>
    </w:p>
    <w:p w14:paraId="04854D06" w14:textId="38F8766A" w:rsidR="00C90729" w:rsidRPr="00421D37" w:rsidRDefault="00C90729" w:rsidP="003E6536">
      <w:pPr>
        <w:pStyle w:val="NormalIndent"/>
        <w:keepNext/>
      </w:pPr>
      <w:r>
        <w:t xml:space="preserve">Bundled </w:t>
      </w:r>
      <w:r w:rsidR="00CE6AEF">
        <w:t>models are</w:t>
      </w:r>
      <w:r w:rsidR="009362E3">
        <w:t xml:space="preserve"> </w:t>
      </w:r>
      <w:r w:rsidR="00CE6AEF">
        <w:t xml:space="preserve">suitable </w:t>
      </w:r>
      <w:r w:rsidR="009362E3">
        <w:t xml:space="preserve">for </w:t>
      </w:r>
      <w:r w:rsidR="00CE6AEF">
        <w:t>projects with long</w:t>
      </w:r>
      <w:r w:rsidR="00682AB2">
        <w:t>-</w:t>
      </w:r>
      <w:r w:rsidR="00CE6AEF">
        <w:t xml:space="preserve">term and definable service needs, and where risks can be allocated to the private consortium. </w:t>
      </w:r>
      <w:r w:rsidR="009362E3">
        <w:t xml:space="preserve">The agency </w:t>
      </w:r>
      <w:r w:rsidR="00CE6AEF">
        <w:t>require</w:t>
      </w:r>
      <w:r w:rsidR="009362E3">
        <w:t>s a</w:t>
      </w:r>
      <w:r w:rsidR="00CE6AEF">
        <w:t xml:space="preserve"> high </w:t>
      </w:r>
      <w:r w:rsidR="009362E3">
        <w:t>level of competence in</w:t>
      </w:r>
      <w:r w:rsidR="00CE6AEF">
        <w:t xml:space="preserve"> planning and development</w:t>
      </w:r>
      <w:r w:rsidR="009362E3">
        <w:t>,</w:t>
      </w:r>
      <w:r w:rsidR="00CE6AEF">
        <w:t xml:space="preserve"> </w:t>
      </w:r>
      <w:r w:rsidR="009362E3">
        <w:t>and</w:t>
      </w:r>
      <w:r w:rsidR="00CE6AEF" w:rsidRPr="00685B9F">
        <w:t xml:space="preserve"> contract management</w:t>
      </w:r>
      <w:r w:rsidR="009362E3">
        <w:t>, because</w:t>
      </w:r>
      <w:r w:rsidRPr="00421D37">
        <w:t>:</w:t>
      </w:r>
    </w:p>
    <w:p w14:paraId="0C601763" w14:textId="6C787CE1" w:rsidR="009B6A30" w:rsidRPr="005B52DA" w:rsidRDefault="009B6A30" w:rsidP="001D2615">
      <w:pPr>
        <w:pStyle w:val="Bulletindent"/>
        <w:keepNext/>
      </w:pPr>
      <w:r w:rsidRPr="00DE6A55">
        <w:t xml:space="preserve">variations </w:t>
      </w:r>
      <w:r w:rsidR="009362E3">
        <w:t>in</w:t>
      </w:r>
      <w:r w:rsidRPr="00DE6A55">
        <w:t xml:space="preserve"> project scope may </w:t>
      </w:r>
      <w:r w:rsidR="009362E3">
        <w:t>result in</w:t>
      </w:r>
      <w:r w:rsidRPr="00DE6A55">
        <w:t xml:space="preserve"> extensions of time and cost claims from the contractor</w:t>
      </w:r>
    </w:p>
    <w:p w14:paraId="5ACAC144" w14:textId="65AA5679" w:rsidR="009B6A30" w:rsidRPr="00DE6A55" w:rsidRDefault="009B6A30" w:rsidP="001D2615">
      <w:pPr>
        <w:pStyle w:val="Bulletindent"/>
      </w:pPr>
      <w:r w:rsidRPr="005B52DA">
        <w:rPr>
          <w:rFonts w:ascii="VIC" w:hAnsi="VIC"/>
        </w:rPr>
        <w:t xml:space="preserve">careful consideration </w:t>
      </w:r>
      <w:r w:rsidR="009362E3">
        <w:rPr>
          <w:rFonts w:ascii="VIC" w:hAnsi="VIC"/>
        </w:rPr>
        <w:t xml:space="preserve">must be given </w:t>
      </w:r>
      <w:r w:rsidRPr="005B52DA">
        <w:rPr>
          <w:rFonts w:ascii="VIC" w:hAnsi="VIC"/>
        </w:rPr>
        <w:t xml:space="preserve">during tendering to ensure output specification is accurate and contractor prices are appropriate. This is to ensure the contractor does not underbid </w:t>
      </w:r>
      <w:r w:rsidR="00B74DEF">
        <w:rPr>
          <w:rFonts w:ascii="VIC" w:hAnsi="VIC"/>
        </w:rPr>
        <w:t>or</w:t>
      </w:r>
      <w:r w:rsidRPr="005B52DA">
        <w:rPr>
          <w:rFonts w:ascii="VIC" w:hAnsi="VIC"/>
        </w:rPr>
        <w:t xml:space="preserve"> accept a</w:t>
      </w:r>
      <w:r w:rsidR="00B74DEF">
        <w:rPr>
          <w:rFonts w:ascii="VIC" w:hAnsi="VIC"/>
        </w:rPr>
        <w:t>n</w:t>
      </w:r>
      <w:r w:rsidRPr="005B52DA">
        <w:rPr>
          <w:rFonts w:ascii="VIC" w:hAnsi="VIC"/>
        </w:rPr>
        <w:t xml:space="preserve"> </w:t>
      </w:r>
      <w:r w:rsidR="00B74DEF">
        <w:rPr>
          <w:rFonts w:ascii="VIC" w:hAnsi="VIC"/>
        </w:rPr>
        <w:t>un</w:t>
      </w:r>
      <w:r w:rsidRPr="005B52DA">
        <w:rPr>
          <w:rFonts w:ascii="VIC" w:hAnsi="VIC"/>
        </w:rPr>
        <w:t xml:space="preserve">sustainable level of risk that </w:t>
      </w:r>
      <w:r w:rsidR="00B74DEF">
        <w:rPr>
          <w:rFonts w:ascii="VIC" w:hAnsi="VIC"/>
        </w:rPr>
        <w:t>may result</w:t>
      </w:r>
      <w:r w:rsidRPr="005B52DA">
        <w:rPr>
          <w:rFonts w:ascii="VIC" w:hAnsi="VIC"/>
        </w:rPr>
        <w:t xml:space="preserve"> in the contractor pursing unreasonable claims</w:t>
      </w:r>
    </w:p>
    <w:p w14:paraId="08E88001" w14:textId="2EE3A044" w:rsidR="005E6AC4" w:rsidRDefault="005E6AC4" w:rsidP="001D2615">
      <w:pPr>
        <w:pStyle w:val="Bulletindent"/>
      </w:pPr>
      <w:r>
        <w:t>the success of the bundled model depend</w:t>
      </w:r>
      <w:r w:rsidR="009362E3">
        <w:t>s</w:t>
      </w:r>
      <w:r>
        <w:t xml:space="preserve"> on </w:t>
      </w:r>
      <w:r w:rsidR="00962804">
        <w:t xml:space="preserve">the </w:t>
      </w:r>
      <w:r w:rsidR="0013547F">
        <w:t>agency</w:t>
      </w:r>
      <w:r w:rsidR="00344D3F">
        <w:t>’</w:t>
      </w:r>
      <w:r w:rsidR="0013547F">
        <w:t xml:space="preserve">s oversight and </w:t>
      </w:r>
      <w:r w:rsidR="00962804">
        <w:t xml:space="preserve">relationship </w:t>
      </w:r>
      <w:r w:rsidR="0013547F">
        <w:t xml:space="preserve">with the </w:t>
      </w:r>
      <w:r w:rsidR="00962804">
        <w:t xml:space="preserve">private sector </w:t>
      </w:r>
      <w:r w:rsidR="00682AB2">
        <w:t>contractor through its delivery and operational</w:t>
      </w:r>
      <w:r w:rsidR="009362E3">
        <w:t xml:space="preserve"> role</w:t>
      </w:r>
    </w:p>
    <w:p w14:paraId="5A8348E7" w14:textId="1153DFA3" w:rsidR="00682AB2" w:rsidRDefault="005B524B" w:rsidP="001D2615">
      <w:pPr>
        <w:pStyle w:val="Bulletindent"/>
      </w:pPr>
      <w:r>
        <w:t>the Government</w:t>
      </w:r>
      <w:r w:rsidR="00682AB2">
        <w:t xml:space="preserve"> retain</w:t>
      </w:r>
      <w:r w:rsidR="009362E3">
        <w:t>s</w:t>
      </w:r>
      <w:r w:rsidR="00682AB2">
        <w:t xml:space="preserve"> </w:t>
      </w:r>
      <w:r w:rsidR="009362E3">
        <w:t xml:space="preserve">more </w:t>
      </w:r>
      <w:r w:rsidR="00682AB2">
        <w:t xml:space="preserve">risk </w:t>
      </w:r>
      <w:r w:rsidR="009362E3">
        <w:t xml:space="preserve">compared </w:t>
      </w:r>
      <w:r w:rsidR="00682AB2">
        <w:t xml:space="preserve">to other </w:t>
      </w:r>
      <w:r w:rsidR="00C56F3D">
        <w:t>WoL</w:t>
      </w:r>
      <w:r w:rsidR="00682AB2">
        <w:t xml:space="preserve"> models (</w:t>
      </w:r>
      <w:r w:rsidR="00C04A19">
        <w:t>such as</w:t>
      </w:r>
      <w:r w:rsidR="00682AB2">
        <w:t xml:space="preserve"> Partnerships Victoria models) </w:t>
      </w:r>
      <w:r w:rsidR="009362E3">
        <w:t>because</w:t>
      </w:r>
      <w:r w:rsidR="00682AB2">
        <w:t xml:space="preserve"> bundled models </w:t>
      </w:r>
      <w:r w:rsidR="00C04A19">
        <w:t xml:space="preserve">typically </w:t>
      </w:r>
      <w:r w:rsidR="00682AB2">
        <w:t>include subcontractor liability caps and only operational/maintenance payments are at risk during operation</w:t>
      </w:r>
    </w:p>
    <w:p w14:paraId="7990BC00" w14:textId="59B71BF9" w:rsidR="00682AB2" w:rsidRDefault="00682AB2" w:rsidP="001D2615">
      <w:pPr>
        <w:pStyle w:val="Bulletindent"/>
      </w:pPr>
      <w:r>
        <w:t xml:space="preserve">the financial sustainability of the companies </w:t>
      </w:r>
      <w:r w:rsidR="009362E3">
        <w:t xml:space="preserve">are </w:t>
      </w:r>
      <w:r>
        <w:t>important given the long-term nature of the contract and limited recourse</w:t>
      </w:r>
    </w:p>
    <w:p w14:paraId="11DF9D40" w14:textId="077CFA41" w:rsidR="00682AB2" w:rsidRDefault="00682AB2" w:rsidP="001D2615">
      <w:pPr>
        <w:pStyle w:val="Bulletindent"/>
      </w:pPr>
      <w:r>
        <w:t xml:space="preserve">adequate market notice </w:t>
      </w:r>
      <w:r w:rsidR="009362E3">
        <w:t xml:space="preserve">is </w:t>
      </w:r>
      <w:r>
        <w:t xml:space="preserve">required </w:t>
      </w:r>
      <w:r w:rsidR="009362E3">
        <w:t>so that</w:t>
      </w:r>
      <w:r>
        <w:t xml:space="preserve"> </w:t>
      </w:r>
      <w:r w:rsidR="009362E3">
        <w:t xml:space="preserve">an </w:t>
      </w:r>
      <w:r>
        <w:t>adequate number of consortium</w:t>
      </w:r>
      <w:r w:rsidR="00656215">
        <w:t xml:space="preserve"> partner</w:t>
      </w:r>
      <w:r>
        <w:t>s can form</w:t>
      </w:r>
      <w:r w:rsidR="009362E3">
        <w:t>,</w:t>
      </w:r>
      <w:r>
        <w:t xml:space="preserve"> to ensure a competitive procurement process</w:t>
      </w:r>
    </w:p>
    <w:p w14:paraId="7AF87D67" w14:textId="4A1E0232" w:rsidR="009E7AF3" w:rsidRDefault="009E7AF3" w:rsidP="001D2615">
      <w:pPr>
        <w:pStyle w:val="Bulletindent"/>
      </w:pPr>
      <w:r>
        <w:t xml:space="preserve">the asset management or </w:t>
      </w:r>
      <w:r w:rsidRPr="00C70BC4">
        <w:t xml:space="preserve">service component </w:t>
      </w:r>
      <w:r w:rsidR="009362E3">
        <w:t xml:space="preserve">must be </w:t>
      </w:r>
      <w:r w:rsidRPr="00C70BC4">
        <w:t>appropriate for private sector delivery</w:t>
      </w:r>
      <w:r>
        <w:t>.</w:t>
      </w:r>
    </w:p>
    <w:p w14:paraId="47C1B5AF" w14:textId="1AD30855" w:rsidR="004E1D40" w:rsidRPr="00080B8C" w:rsidRDefault="004E1D40" w:rsidP="001D2615">
      <w:pPr>
        <w:pStyle w:val="Heading4numbered"/>
      </w:pPr>
      <w:r w:rsidRPr="00421D37">
        <w:t>Authorised contracts</w:t>
      </w:r>
    </w:p>
    <w:p w14:paraId="2931FFAF" w14:textId="0A8E526F" w:rsidR="004E1D40" w:rsidRPr="00421D37" w:rsidRDefault="00377DCC" w:rsidP="001D2615">
      <w:pPr>
        <w:pStyle w:val="Heading4numbered"/>
      </w:pPr>
      <w:r w:rsidRPr="00EA79C7">
        <w:t xml:space="preserve">Currently there is no DTF standard form </w:t>
      </w:r>
      <w:r>
        <w:t xml:space="preserve">Bundled </w:t>
      </w:r>
      <w:r w:rsidRPr="00EA79C7">
        <w:t>contract</w:t>
      </w:r>
      <w:r>
        <w:t xml:space="preserve"> available</w:t>
      </w:r>
      <w:r w:rsidDel="00377DCC">
        <w:t xml:space="preserve"> </w:t>
      </w:r>
      <w:r w:rsidR="004E1D40" w:rsidRPr="00421D37">
        <w:t>Supporting resources</w:t>
      </w:r>
    </w:p>
    <w:bookmarkEnd w:id="116"/>
    <w:p w14:paraId="10FC650A" w14:textId="10FD11B7" w:rsidR="40B39EA8" w:rsidRDefault="001F6068" w:rsidP="0033748E">
      <w:pPr>
        <w:pStyle w:val="Bulletindent"/>
        <w:keepNext/>
      </w:pPr>
      <w:r>
        <w:fldChar w:fldCharType="begin"/>
      </w:r>
      <w:r>
        <w:instrText>HYPERLINK "https://www.dtf.vic.gov.au/stage-2-procurement/whole-life-procurement-category"</w:instrText>
      </w:r>
      <w:r>
        <w:fldChar w:fldCharType="separate"/>
      </w:r>
      <w:r>
        <w:rPr>
          <w:rStyle w:val="Hyperlink"/>
        </w:rPr>
        <w:t>Whole of Life Procurement Requirements</w:t>
      </w:r>
      <w:r>
        <w:fldChar w:fldCharType="end"/>
      </w:r>
    </w:p>
    <w:p w14:paraId="34D37D2C" w14:textId="4A663A25" w:rsidR="006917FD" w:rsidRPr="00751187" w:rsidRDefault="00894832" w:rsidP="001D2615">
      <w:pPr>
        <w:pStyle w:val="Bulletindent"/>
        <w:rPr>
          <w:u w:val="single"/>
        </w:rPr>
      </w:pPr>
      <w:hyperlink r:id="rId138" w:history="1">
        <w:r w:rsidR="001F6068">
          <w:rPr>
            <w:rStyle w:val="Hyperlink"/>
          </w:rPr>
          <w:t>Partnerships Victoria Requirements</w:t>
        </w:r>
      </w:hyperlink>
    </w:p>
    <w:p w14:paraId="6841ECD4" w14:textId="67028611" w:rsidR="00A937FD" w:rsidRDefault="00A937FD" w:rsidP="00407D52">
      <w:pPr>
        <w:pStyle w:val="Partheading"/>
      </w:pPr>
      <w:bookmarkStart w:id="363" w:name="Part3"/>
      <w:bookmarkStart w:id="364" w:name="_Toc161321767"/>
      <w:r w:rsidRPr="00E77C01">
        <w:t xml:space="preserve">Part </w:t>
      </w:r>
      <w:r w:rsidR="00383589">
        <w:t>3</w:t>
      </w:r>
      <w:bookmarkEnd w:id="363"/>
      <w:r w:rsidRPr="00E77C01">
        <w:t xml:space="preserve">: </w:t>
      </w:r>
      <w:r w:rsidR="009F3BB2">
        <w:t>Implementing</w:t>
      </w:r>
      <w:r w:rsidRPr="00E77C01">
        <w:t xml:space="preserve"> the procurement strategy</w:t>
      </w:r>
      <w:bookmarkEnd w:id="364"/>
    </w:p>
    <w:p w14:paraId="07618D6C" w14:textId="3A4C79CF" w:rsidR="00DC30A2" w:rsidRDefault="00DC30A2" w:rsidP="00DC30A2">
      <w:r>
        <w:t xml:space="preserve">Part </w:t>
      </w:r>
      <w:r w:rsidR="00713522">
        <w:t>three</w:t>
      </w:r>
      <w:r>
        <w:t xml:space="preserve"> </w:t>
      </w:r>
      <w:r w:rsidR="00B45C14">
        <w:t xml:space="preserve">(Chapters </w:t>
      </w:r>
      <w:r w:rsidR="00751681">
        <w:t>5</w:t>
      </w:r>
      <w:r w:rsidR="00B45C14">
        <w:t xml:space="preserve"> to</w:t>
      </w:r>
      <w:r w:rsidR="00751681">
        <w:t>10</w:t>
      </w:r>
      <w:r w:rsidR="00B45C14">
        <w:t xml:space="preserve">) </w:t>
      </w:r>
      <w:r>
        <w:t xml:space="preserve">outlines the process for implementing </w:t>
      </w:r>
      <w:r w:rsidR="00C93FC2">
        <w:t xml:space="preserve">the </w:t>
      </w:r>
      <w:r>
        <w:t>procurement strategy</w:t>
      </w:r>
      <w:r w:rsidR="00C93FC2">
        <w:t xml:space="preserve"> for an investment</w:t>
      </w:r>
      <w:r>
        <w:t>. It requires a detailed understanding of the procurement environment (</w:t>
      </w:r>
      <w:r w:rsidR="00C93FC2">
        <w:t>discu</w:t>
      </w:r>
      <w:r>
        <w:t xml:space="preserve">ssed in </w:t>
      </w:r>
      <w:r w:rsidR="00383589">
        <w:fldChar w:fldCharType="begin"/>
      </w:r>
      <w:r w:rsidR="00383589">
        <w:instrText xml:space="preserve"> REF Part1 \h </w:instrText>
      </w:r>
      <w:r w:rsidR="00383589">
        <w:fldChar w:fldCharType="separate"/>
      </w:r>
      <w:r w:rsidR="008A4B3E" w:rsidRPr="006B02FF">
        <w:t xml:space="preserve">Part </w:t>
      </w:r>
      <w:r w:rsidR="008A4B3E">
        <w:t>1</w:t>
      </w:r>
      <w:r w:rsidR="00383589">
        <w:fldChar w:fldCharType="end"/>
      </w:r>
      <w:r>
        <w:t>) and the development of a robust procurement strategy as a component of the investment business case (</w:t>
      </w:r>
      <w:r w:rsidR="00C93FC2">
        <w:t>discu</w:t>
      </w:r>
      <w:r>
        <w:t xml:space="preserve">ssed in </w:t>
      </w:r>
      <w:r w:rsidR="00383589">
        <w:fldChar w:fldCharType="begin"/>
      </w:r>
      <w:r w:rsidR="00383589">
        <w:instrText xml:space="preserve"> REF Part2 \h </w:instrText>
      </w:r>
      <w:r w:rsidR="00383589">
        <w:fldChar w:fldCharType="separate"/>
      </w:r>
      <w:r w:rsidR="008A4B3E" w:rsidRPr="008B6855">
        <w:t xml:space="preserve">Part </w:t>
      </w:r>
      <w:r w:rsidR="008A4B3E">
        <w:t>2</w:t>
      </w:r>
      <w:r w:rsidR="00383589">
        <w:fldChar w:fldCharType="end"/>
      </w:r>
      <w:r>
        <w:t xml:space="preserve">). The </w:t>
      </w:r>
      <w:r w:rsidR="00C93FC2">
        <w:t xml:space="preserve">implementation </w:t>
      </w:r>
      <w:r>
        <w:t xml:space="preserve">process </w:t>
      </w:r>
      <w:r w:rsidR="00C93FC2">
        <w:t xml:space="preserve">involves </w:t>
      </w:r>
      <w:r>
        <w:t>the following steps:</w:t>
      </w:r>
    </w:p>
    <w:p w14:paraId="447B192A" w14:textId="249CE5ED" w:rsidR="00DC30A2" w:rsidRDefault="00036612" w:rsidP="001D2615">
      <w:pPr>
        <w:pStyle w:val="Bullet1"/>
      </w:pPr>
      <w:r>
        <w:t>p</w:t>
      </w:r>
      <w:r w:rsidR="00DC30A2">
        <w:t>reparing for procurement</w:t>
      </w:r>
    </w:p>
    <w:p w14:paraId="41812B30" w14:textId="4FEA8183" w:rsidR="00DC30A2" w:rsidRDefault="00036612" w:rsidP="001D2615">
      <w:pPr>
        <w:pStyle w:val="Bullet1"/>
      </w:pPr>
      <w:r>
        <w:t>p</w:t>
      </w:r>
      <w:r w:rsidR="00DC30A2">
        <w:t>re-tender and tender documentation</w:t>
      </w:r>
    </w:p>
    <w:p w14:paraId="13629C7E" w14:textId="1D179AF8" w:rsidR="003A7A29" w:rsidRDefault="00036612" w:rsidP="001D2615">
      <w:pPr>
        <w:pStyle w:val="Bullet1"/>
      </w:pPr>
      <w:r>
        <w:t>t</w:t>
      </w:r>
      <w:r w:rsidR="25E07597">
        <w:t>endering</w:t>
      </w:r>
    </w:p>
    <w:p w14:paraId="491A4F43" w14:textId="770A9592" w:rsidR="003A7A29" w:rsidRDefault="00036612" w:rsidP="001D2615">
      <w:pPr>
        <w:pStyle w:val="Bullet1"/>
      </w:pPr>
      <w:r>
        <w:t>t</w:t>
      </w:r>
      <w:r w:rsidR="25E07597">
        <w:t>ender evaluation</w:t>
      </w:r>
    </w:p>
    <w:p w14:paraId="115F8DBE" w14:textId="3B6F1C27" w:rsidR="003A7A29" w:rsidRDefault="00036612" w:rsidP="001D2615">
      <w:pPr>
        <w:pStyle w:val="Bullet1"/>
      </w:pPr>
      <w:r>
        <w:t>n</w:t>
      </w:r>
      <w:r w:rsidR="25E07597">
        <w:t>egotiation</w:t>
      </w:r>
    </w:p>
    <w:p w14:paraId="2BA932D2" w14:textId="4F69B45C" w:rsidR="2D973620" w:rsidRPr="00ED5704" w:rsidRDefault="00036612" w:rsidP="001D2615">
      <w:pPr>
        <w:pStyle w:val="Bullet1"/>
      </w:pPr>
      <w:r>
        <w:t>approval</w:t>
      </w:r>
      <w:r w:rsidR="00DC30A2">
        <w:t xml:space="preserve"> and contract award.</w:t>
      </w:r>
    </w:p>
    <w:p w14:paraId="02ED62F5" w14:textId="77810EC0" w:rsidR="2D973620" w:rsidRDefault="3AE6949D">
      <w:r>
        <w:t xml:space="preserve">Part </w:t>
      </w:r>
      <w:r w:rsidR="00383589">
        <w:t>3</w:t>
      </w:r>
      <w:r>
        <w:t xml:space="preserve"> outlines a standard process for implementing a procurement strategy that is well suited to small</w:t>
      </w:r>
      <w:r w:rsidR="00400DB6">
        <w:rPr>
          <w:rFonts w:hint="eastAsia"/>
        </w:rPr>
        <w:t xml:space="preserve"> </w:t>
      </w:r>
      <w:r>
        <w:t>to</w:t>
      </w:r>
      <w:r w:rsidR="00400DB6">
        <w:rPr>
          <w:rFonts w:hint="eastAsia"/>
        </w:rPr>
        <w:t xml:space="preserve"> </w:t>
      </w:r>
      <w:r>
        <w:t>medium</w:t>
      </w:r>
      <w:r w:rsidR="00C93FC2">
        <w:t>-</w:t>
      </w:r>
      <w:r>
        <w:t>sized infrastructure procurements using lump sum procurement models. It should be adapted and expanded when delivering larger and more complex investments</w:t>
      </w:r>
      <w:r w:rsidR="00C93FC2">
        <w:t>,</w:t>
      </w:r>
      <w:r>
        <w:t xml:space="preserve"> or when using cost reimbursable </w:t>
      </w:r>
      <w:r w:rsidR="00144495">
        <w:t>or</w:t>
      </w:r>
      <w:r>
        <w:t xml:space="preserve"> </w:t>
      </w:r>
      <w:r w:rsidR="00C56F3D">
        <w:t>WoL</w:t>
      </w:r>
      <w:r>
        <w:t xml:space="preserve"> procurement models</w:t>
      </w:r>
      <w:r w:rsidR="00144495">
        <w:t>.</w:t>
      </w:r>
    </w:p>
    <w:p w14:paraId="27F54DB8" w14:textId="77777777" w:rsidR="001021D1" w:rsidRPr="00AC2DA6" w:rsidRDefault="001021D1" w:rsidP="001D2615">
      <w:pPr>
        <w:pStyle w:val="Heading1numbered"/>
      </w:pPr>
      <w:bookmarkStart w:id="365" w:name="_Toc139452890"/>
      <w:bookmarkStart w:id="366" w:name="_Toc161321768"/>
      <w:r>
        <w:t>Preparing for procurement</w:t>
      </w:r>
      <w:bookmarkEnd w:id="365"/>
      <w:bookmarkEnd w:id="366"/>
    </w:p>
    <w:p w14:paraId="0FADAA7B" w14:textId="6D8EF8B7" w:rsidR="00CB79EA" w:rsidRDefault="00CB79EA" w:rsidP="003E6536">
      <w:pPr>
        <w:pStyle w:val="Captionindent"/>
      </w:pPr>
      <w:bookmarkStart w:id="367" w:name="_Toc145621484"/>
      <w:bookmarkStart w:id="368" w:name="_Toc145621613"/>
      <w:bookmarkStart w:id="369" w:name="_Toc160457789"/>
      <w:r>
        <w:t xml:space="preserve">Figure </w:t>
      </w:r>
      <w:r>
        <w:fldChar w:fldCharType="begin"/>
      </w:r>
      <w:r>
        <w:instrText>SEQ Figure \* ARABIC</w:instrText>
      </w:r>
      <w:r>
        <w:fldChar w:fldCharType="separate"/>
      </w:r>
      <w:r w:rsidR="008A4B3E">
        <w:rPr>
          <w:noProof/>
        </w:rPr>
        <w:t>20</w:t>
      </w:r>
      <w:r>
        <w:fldChar w:fldCharType="end"/>
      </w:r>
      <w:r w:rsidR="005504CB">
        <w:t xml:space="preserve"> – </w:t>
      </w:r>
      <w:r w:rsidRPr="002560F3">
        <w:t>Chapter 5 overview</w:t>
      </w:r>
      <w:bookmarkEnd w:id="367"/>
      <w:bookmarkEnd w:id="368"/>
      <w:bookmarkEnd w:id="369"/>
    </w:p>
    <w:p w14:paraId="5D2F85E7" w14:textId="4CEE750A" w:rsidR="00CB1BE2" w:rsidRPr="00C9488B" w:rsidRDefault="008A0212" w:rsidP="00834461">
      <w:pPr>
        <w:pStyle w:val="NormalIndent"/>
      </w:pPr>
      <w:r w:rsidRPr="005815A2">
        <w:rPr>
          <w:noProof/>
        </w:rPr>
        <w:drawing>
          <wp:inline distT="0" distB="0" distL="0" distR="0" wp14:anchorId="730CDF1D" wp14:editId="7863EF08">
            <wp:extent cx="5244353" cy="1481620"/>
            <wp:effectExtent l="0" t="0" r="0" b="4445"/>
            <wp:docPr id="22" name="Graphic 22" descr="Figure 20 provides an overview of the contents of the following chapt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20 provides an overview of the contents of the following chapter (5)​"/>
                    <pic:cNvPicPr/>
                  </pic:nvPicPr>
                  <pic:blipFill>
                    <a:blip r:embed="rId139" cstate="screen">
                      <a:extLst>
                        <a:ext uri="{28A0092B-C50C-407E-A947-70E740481C1C}">
                          <a14:useLocalDpi xmlns:a14="http://schemas.microsoft.com/office/drawing/2010/main"/>
                        </a:ext>
                        <a:ext uri="{96DAC541-7B7A-43D3-8B79-37D633B846F1}">
                          <asvg:svgBlip xmlns:asvg="http://schemas.microsoft.com/office/drawing/2016/SVG/main" r:embed="rId140"/>
                        </a:ext>
                      </a:extLst>
                    </a:blip>
                    <a:stretch>
                      <a:fillRect/>
                    </a:stretch>
                  </pic:blipFill>
                  <pic:spPr>
                    <a:xfrm>
                      <a:off x="0" y="0"/>
                      <a:ext cx="5253465" cy="1484194"/>
                    </a:xfrm>
                    <a:prstGeom prst="rect">
                      <a:avLst/>
                    </a:prstGeom>
                  </pic:spPr>
                </pic:pic>
              </a:graphicData>
            </a:graphic>
          </wp:inline>
        </w:drawing>
      </w:r>
    </w:p>
    <w:p w14:paraId="53FE826C" w14:textId="77777777" w:rsidR="0072412B" w:rsidRPr="00C9488B" w:rsidRDefault="0072412B" w:rsidP="00834461">
      <w:pPr>
        <w:pStyle w:val="NormalIndent"/>
      </w:pPr>
    </w:p>
    <w:p w14:paraId="09A5D49A" w14:textId="34EF88CB" w:rsidR="00B917F3" w:rsidRDefault="00B917F3" w:rsidP="00834461">
      <w:pPr>
        <w:pStyle w:val="NormalIndent"/>
      </w:pPr>
      <w:r w:rsidRPr="00B54740">
        <w:t xml:space="preserve">It is essential that </w:t>
      </w:r>
      <w:r>
        <w:t xml:space="preserve">agencies </w:t>
      </w:r>
      <w:r w:rsidRPr="00B54740">
        <w:t xml:space="preserve">undertake planning and preparation </w:t>
      </w:r>
      <w:r>
        <w:t>activities prior</w:t>
      </w:r>
      <w:r w:rsidRPr="00B54740">
        <w:t xml:space="preserve"> to commencing a procurement process.</w:t>
      </w:r>
    </w:p>
    <w:p w14:paraId="39D9CA86" w14:textId="77777777" w:rsidR="00B917F3" w:rsidRPr="00B54740" w:rsidRDefault="00B917F3" w:rsidP="00834461">
      <w:pPr>
        <w:pStyle w:val="NormalIndent"/>
      </w:pPr>
      <w:r w:rsidRPr="00B54740">
        <w:t xml:space="preserve">This </w:t>
      </w:r>
      <w:r>
        <w:t xml:space="preserve">typically </w:t>
      </w:r>
      <w:r w:rsidRPr="00B54740">
        <w:t>includes:</w:t>
      </w:r>
    </w:p>
    <w:p w14:paraId="733B4175" w14:textId="77777777" w:rsidR="00B917F3" w:rsidRDefault="4B4AAD5E" w:rsidP="001D2615">
      <w:pPr>
        <w:pStyle w:val="Bulletindent"/>
      </w:pPr>
      <w:r>
        <w:t>establishing governance and resourcing arrangements for the procurement phase of the investment</w:t>
      </w:r>
    </w:p>
    <w:p w14:paraId="434B09FC" w14:textId="487219B2" w:rsidR="00B917F3" w:rsidRDefault="4B4AAD5E" w:rsidP="001D2615">
      <w:pPr>
        <w:pStyle w:val="Bulletindent"/>
      </w:pPr>
      <w:r>
        <w:t>developing a procurement plan to direct the procurement process, including a high-level schedule for the project</w:t>
      </w:r>
    </w:p>
    <w:p w14:paraId="30CAD25A" w14:textId="77777777" w:rsidR="00B917F3" w:rsidRDefault="4B4AAD5E" w:rsidP="001D2615">
      <w:pPr>
        <w:pStyle w:val="Bulletindent"/>
        <w:keepNext/>
      </w:pPr>
      <w:r>
        <w:t>updating and identifying risks for the project, including strategies to allocate and manage risk through the procurement process</w:t>
      </w:r>
    </w:p>
    <w:p w14:paraId="6FF49D4F" w14:textId="0EEC66D2" w:rsidR="00B917F3" w:rsidRDefault="4B4AAD5E" w:rsidP="001D2615">
      <w:pPr>
        <w:pStyle w:val="Bulletindent"/>
        <w:keepNext/>
      </w:pPr>
      <w:r>
        <w:t>establishing a probity plan and framework for procurement of the project</w:t>
      </w:r>
    </w:p>
    <w:p w14:paraId="1643DF01" w14:textId="3E9AF588" w:rsidR="00B917F3" w:rsidRPr="00C9488B" w:rsidRDefault="4B4AAD5E" w:rsidP="001D2615">
      <w:pPr>
        <w:pStyle w:val="Bulletindent"/>
        <w:keepNext/>
      </w:pPr>
      <w:r>
        <w:t>undertaking market consultation as required</w:t>
      </w:r>
    </w:p>
    <w:p w14:paraId="44CEF437" w14:textId="6C7BD728" w:rsidR="00B917F3" w:rsidRDefault="4B4AAD5E" w:rsidP="001D2615">
      <w:pPr>
        <w:pStyle w:val="Bulletindent"/>
      </w:pPr>
      <w:r>
        <w:t>developing a tender engagement strategy</w:t>
      </w:r>
      <w:r w:rsidR="00C93FC2">
        <w:t>.</w:t>
      </w:r>
    </w:p>
    <w:p w14:paraId="46386EB0" w14:textId="20D8CE8E" w:rsidR="0095644C" w:rsidRPr="0095644C" w:rsidRDefault="00B917F3" w:rsidP="00834461">
      <w:pPr>
        <w:pStyle w:val="NormalIndent"/>
      </w:pPr>
      <w:r>
        <w:t>There is no one</w:t>
      </w:r>
      <w:r w:rsidR="00ED5704">
        <w:t>-</w:t>
      </w:r>
      <w:r>
        <w:t>size</w:t>
      </w:r>
      <w:r w:rsidR="00ED5704">
        <w:t>-</w:t>
      </w:r>
      <w:r>
        <w:t>fits</w:t>
      </w:r>
      <w:r w:rsidR="00ED5704">
        <w:t>-</w:t>
      </w:r>
      <w:r>
        <w:t xml:space="preserve">all approach to tendering preparation and planning. The amount of preparation </w:t>
      </w:r>
      <w:r w:rsidR="00C93FC2">
        <w:t xml:space="preserve">required </w:t>
      </w:r>
      <w:r>
        <w:t>will differ depending on the scale</w:t>
      </w:r>
      <w:r w:rsidR="00C93FC2">
        <w:t xml:space="preserve"> and </w:t>
      </w:r>
      <w:r>
        <w:t>complexity</w:t>
      </w:r>
      <w:r w:rsidR="00C93FC2">
        <w:t xml:space="preserve"> of the project</w:t>
      </w:r>
      <w:r>
        <w:t xml:space="preserve"> and procurement model </w:t>
      </w:r>
      <w:r w:rsidR="00C93FC2">
        <w:t xml:space="preserve">that is </w:t>
      </w:r>
      <w:r>
        <w:t>selected</w:t>
      </w:r>
      <w:r w:rsidR="0095644C" w:rsidRPr="0095644C">
        <w:t>.</w:t>
      </w:r>
    </w:p>
    <w:p w14:paraId="54A903EA" w14:textId="77777777" w:rsidR="001718E3" w:rsidRPr="00387024" w:rsidRDefault="001718E3" w:rsidP="001D2615">
      <w:pPr>
        <w:pStyle w:val="Heading2numbered"/>
      </w:pPr>
      <w:bookmarkStart w:id="370" w:name="_Ref144390802"/>
      <w:bookmarkStart w:id="371" w:name="_Toc161321769"/>
      <w:r w:rsidRPr="00387024">
        <w:t>Establishing governance and resourcing for the procurement phase</w:t>
      </w:r>
      <w:bookmarkEnd w:id="370"/>
      <w:bookmarkEnd w:id="371"/>
    </w:p>
    <w:p w14:paraId="7307FD80" w14:textId="50EAC73B" w:rsidR="001718E3" w:rsidRDefault="001718E3" w:rsidP="00834461">
      <w:pPr>
        <w:pStyle w:val="NormalIndent"/>
      </w:pPr>
      <w:r w:rsidRPr="00BC29E3">
        <w:t xml:space="preserve">The first step in the procurement process is establishing and resourcing a team to </w:t>
      </w:r>
      <w:r>
        <w:t>manage the investment through the procurement phase</w:t>
      </w:r>
      <w:r w:rsidRPr="00BC29E3">
        <w:t>. The skill sets required to deliver the procurement stage may be quite different to those required in the development stages.</w:t>
      </w:r>
    </w:p>
    <w:p w14:paraId="1494FB02" w14:textId="7F39FD73" w:rsidR="001718E3" w:rsidRDefault="001718E3" w:rsidP="00834461">
      <w:pPr>
        <w:pStyle w:val="NormalIndent"/>
      </w:pPr>
      <w:r w:rsidRPr="00BE41D4">
        <w:t xml:space="preserve">The required skill sets are also likely to vary depending on the size and scale of the project and the procurement model </w:t>
      </w:r>
      <w:r w:rsidR="00C93FC2">
        <w:t xml:space="preserve">that is </w:t>
      </w:r>
      <w:r w:rsidRPr="00BE41D4">
        <w:t>selected.</w:t>
      </w:r>
    </w:p>
    <w:p w14:paraId="326E3798" w14:textId="2D1FDA4E" w:rsidR="001718E3" w:rsidRDefault="6566CBAB" w:rsidP="00834461">
      <w:pPr>
        <w:pStyle w:val="NormalIndent"/>
      </w:pPr>
      <w:r>
        <w:t xml:space="preserve">The Cost Reimbursable Procurement Requirements provide more detail on </w:t>
      </w:r>
      <w:r w:rsidR="00C93FC2">
        <w:t xml:space="preserve">what resourcing and expertise the </w:t>
      </w:r>
      <w:r>
        <w:t xml:space="preserve">agency </w:t>
      </w:r>
      <w:r w:rsidR="00C93FC2">
        <w:t xml:space="preserve">needs </w:t>
      </w:r>
      <w:r>
        <w:t xml:space="preserve">to be </w:t>
      </w:r>
      <w:r w:rsidR="00C93FC2">
        <w:t>an</w:t>
      </w:r>
      <w:r>
        <w:t xml:space="preserve"> active and informed client </w:t>
      </w:r>
      <w:r w:rsidR="00C93FC2">
        <w:t>and</w:t>
      </w:r>
      <w:r w:rsidR="7357239D">
        <w:t xml:space="preserve"> successfully deliver</w:t>
      </w:r>
      <w:r>
        <w:t xml:space="preserve"> cost reimbursable models.</w:t>
      </w:r>
    </w:p>
    <w:p w14:paraId="4957A114" w14:textId="521F84BC" w:rsidR="001718E3" w:rsidRDefault="6566CBAB" w:rsidP="00834461">
      <w:pPr>
        <w:pStyle w:val="NormalIndent"/>
      </w:pPr>
      <w:r>
        <w:t>The</w:t>
      </w:r>
      <w:r w:rsidR="00ED5704">
        <w:t xml:space="preserve"> </w:t>
      </w:r>
      <w:hyperlink r:id="rId141" w:history="1">
        <w:r w:rsidR="00ED5704" w:rsidRPr="004A3734">
          <w:rPr>
            <w:rStyle w:val="Hyperlink"/>
          </w:rPr>
          <w:t>Whole</w:t>
        </w:r>
        <w:r w:rsidR="00C93FC2" w:rsidRPr="004A3734">
          <w:rPr>
            <w:rStyle w:val="Hyperlink"/>
          </w:rPr>
          <w:t>-</w:t>
        </w:r>
        <w:r w:rsidR="00ED5704" w:rsidRPr="004A3734">
          <w:rPr>
            <w:rStyle w:val="Hyperlink"/>
          </w:rPr>
          <w:t>of</w:t>
        </w:r>
        <w:r w:rsidR="00C93FC2" w:rsidRPr="004A3734">
          <w:rPr>
            <w:rStyle w:val="Hyperlink"/>
          </w:rPr>
          <w:t>-</w:t>
        </w:r>
        <w:r w:rsidR="00ED5704" w:rsidRPr="004A3734">
          <w:rPr>
            <w:rStyle w:val="Hyperlink"/>
          </w:rPr>
          <w:t>Life Procurement Requirements</w:t>
        </w:r>
      </w:hyperlink>
      <w:r>
        <w:t xml:space="preserve"> </w:t>
      </w:r>
      <w:r w:rsidR="00FC4DAB">
        <w:t xml:space="preserve">identify what </w:t>
      </w:r>
      <w:r>
        <w:t xml:space="preserve">resources </w:t>
      </w:r>
      <w:r w:rsidR="00FC4DAB">
        <w:t xml:space="preserve">are needed </w:t>
      </w:r>
      <w:r>
        <w:t>to deliver projects with project finance</w:t>
      </w:r>
      <w:r w:rsidR="5A7EF41C">
        <w:t xml:space="preserve"> (debt and equity investment)</w:t>
      </w:r>
      <w:r>
        <w:t>.</w:t>
      </w:r>
    </w:p>
    <w:p w14:paraId="41CB5475" w14:textId="77777777" w:rsidR="001718E3" w:rsidRDefault="001718E3" w:rsidP="00834461">
      <w:pPr>
        <w:pStyle w:val="NormalIndent"/>
        <w:rPr>
          <w:b/>
          <w:bCs/>
        </w:rPr>
      </w:pPr>
      <w:r>
        <w:t>Getting the right governance, level of resourcing and mix of skills early in the procurement stage is essential to ensuring the team has the capability and capacity to procure a desirable solution.</w:t>
      </w:r>
    </w:p>
    <w:p w14:paraId="3073DE54" w14:textId="77777777" w:rsidR="001718E3" w:rsidRPr="005B21A3" w:rsidRDefault="001718E3" w:rsidP="001D2615">
      <w:pPr>
        <w:pStyle w:val="Heading3numbered"/>
      </w:pPr>
      <w:r w:rsidRPr="005B21A3">
        <w:t>Governance and accountability</w:t>
      </w:r>
    </w:p>
    <w:p w14:paraId="6824FD7A" w14:textId="4C0A2FFA" w:rsidR="001718E3" w:rsidRPr="00B337B1" w:rsidRDefault="001718E3" w:rsidP="00834461">
      <w:pPr>
        <w:pStyle w:val="NormalIndent"/>
      </w:pPr>
      <w:r w:rsidRPr="00B337B1">
        <w:t>Robust governance arrangements must be established or re</w:t>
      </w:r>
      <w:r w:rsidR="00674FCA">
        <w:rPr>
          <w:rFonts w:hint="eastAsia"/>
        </w:rPr>
        <w:t>confirmed</w:t>
      </w:r>
      <w:r w:rsidRPr="00B337B1">
        <w:t xml:space="preserve"> prior to commencing any procurement activities, and should clearly identify:</w:t>
      </w:r>
    </w:p>
    <w:p w14:paraId="6E1D1DAA" w14:textId="3F567587" w:rsidR="001718E3" w:rsidRPr="00C9488B" w:rsidRDefault="6566CBAB" w:rsidP="001D2615">
      <w:pPr>
        <w:pStyle w:val="Bulletindent"/>
      </w:pPr>
      <w:r>
        <w:t xml:space="preserve">the </w:t>
      </w:r>
      <w:r w:rsidR="00ED5704">
        <w:t>s</w:t>
      </w:r>
      <w:r>
        <w:t xml:space="preserve">enior </w:t>
      </w:r>
      <w:r w:rsidR="00ED5704">
        <w:t>r</w:t>
      </w:r>
      <w:r>
        <w:t xml:space="preserve">esponsible </w:t>
      </w:r>
      <w:r w:rsidR="00ED5704">
        <w:t>o</w:t>
      </w:r>
      <w:r>
        <w:t>wner (SRO), or person with ultimate accountability for successful procurement delivery</w:t>
      </w:r>
    </w:p>
    <w:p w14:paraId="6E07F59F" w14:textId="77777777" w:rsidR="001718E3" w:rsidRDefault="6566CBAB" w:rsidP="001D2615">
      <w:pPr>
        <w:pStyle w:val="Bulletindent"/>
      </w:pPr>
      <w:r>
        <w:t>a process for decision-making, including project board or steering committee terms of reference where applicable</w:t>
      </w:r>
    </w:p>
    <w:p w14:paraId="4266C022" w14:textId="77777777" w:rsidR="001718E3" w:rsidRPr="00C9488B" w:rsidRDefault="6566CBAB" w:rsidP="001D2615">
      <w:pPr>
        <w:pStyle w:val="Bulletindent"/>
      </w:pPr>
      <w:r>
        <w:t>working group and team member roles and responsibilities.</w:t>
      </w:r>
    </w:p>
    <w:p w14:paraId="7AE5BD6D" w14:textId="71EECCE9" w:rsidR="001718E3" w:rsidRPr="00524BFB" w:rsidRDefault="001718E3" w:rsidP="00834461">
      <w:pPr>
        <w:pStyle w:val="NormalIndent"/>
      </w:pPr>
      <w:r w:rsidRPr="00524BFB">
        <w:t xml:space="preserve">For smaller, less complex procurements, </w:t>
      </w:r>
      <w:r>
        <w:t xml:space="preserve">more streamlined governance arrangements may be </w:t>
      </w:r>
      <w:r w:rsidR="00FC4DAB">
        <w:t>appropriate</w:t>
      </w:r>
      <w:r>
        <w:t xml:space="preserve">. </w:t>
      </w:r>
      <w:r w:rsidR="00C72879">
        <w:fldChar w:fldCharType="begin" w:fldLock="1"/>
      </w:r>
      <w:r w:rsidR="00C72879">
        <w:instrText xml:space="preserve"> REF _Ref145615578 \h </w:instrText>
      </w:r>
      <w:r w:rsidR="00C72879">
        <w:fldChar w:fldCharType="separate"/>
      </w:r>
      <w:r w:rsidR="003D4A19">
        <w:t xml:space="preserve">Table </w:t>
      </w:r>
      <w:r w:rsidR="003D4A19">
        <w:rPr>
          <w:noProof/>
        </w:rPr>
        <w:t>10</w:t>
      </w:r>
      <w:r w:rsidR="00C72879">
        <w:fldChar w:fldCharType="end"/>
      </w:r>
      <w:r w:rsidRPr="00524BFB">
        <w:t xml:space="preserve"> </w:t>
      </w:r>
      <w:r w:rsidR="00FC4DAB">
        <w:t>identifies</w:t>
      </w:r>
      <w:r w:rsidR="00FC4DAB" w:rsidRPr="00524BFB">
        <w:t xml:space="preserve"> </w:t>
      </w:r>
      <w:r w:rsidRPr="00524BFB">
        <w:t xml:space="preserve">accountability requirements of generic roles and responsibilities </w:t>
      </w:r>
      <w:r w:rsidR="00AA0722">
        <w:t>th</w:t>
      </w:r>
      <w:r w:rsidR="007D6D6D">
        <w:t>at</w:t>
      </w:r>
      <w:r w:rsidR="00AA0722">
        <w:t xml:space="preserve"> commonly apply</w:t>
      </w:r>
      <w:r w:rsidR="00AA0722" w:rsidRPr="00524BFB">
        <w:t xml:space="preserve"> </w:t>
      </w:r>
      <w:r w:rsidRPr="00524BFB">
        <w:t>in a procurement.</w:t>
      </w:r>
    </w:p>
    <w:p w14:paraId="35DF64AA" w14:textId="4486C483" w:rsidR="001718E3" w:rsidRDefault="001718E3" w:rsidP="003E6536">
      <w:pPr>
        <w:pStyle w:val="Captionindent"/>
      </w:pPr>
      <w:bookmarkStart w:id="372" w:name="_Ref145615578"/>
      <w:bookmarkStart w:id="373" w:name="_Toc145621358"/>
      <w:bookmarkStart w:id="374" w:name="_Toc146097252"/>
      <w:r>
        <w:t xml:space="preserve">Table </w:t>
      </w:r>
      <w:r>
        <w:fldChar w:fldCharType="begin"/>
      </w:r>
      <w:r>
        <w:instrText>SEQ Table \* ARABIC</w:instrText>
      </w:r>
      <w:r>
        <w:fldChar w:fldCharType="separate"/>
      </w:r>
      <w:r w:rsidR="008A4B3E">
        <w:rPr>
          <w:noProof/>
        </w:rPr>
        <w:t>10</w:t>
      </w:r>
      <w:r>
        <w:fldChar w:fldCharType="end"/>
      </w:r>
      <w:bookmarkEnd w:id="372"/>
      <w:r w:rsidR="00C72879">
        <w:t xml:space="preserve"> –</w:t>
      </w:r>
      <w:r w:rsidRPr="008B3B79">
        <w:t xml:space="preserve"> Key team governance requirements</w:t>
      </w:r>
      <w:bookmarkEnd w:id="373"/>
      <w:bookmarkEnd w:id="374"/>
    </w:p>
    <w:tbl>
      <w:tblPr>
        <w:tblStyle w:val="DTFtexttableindent"/>
        <w:tblW w:w="8298" w:type="dxa"/>
        <w:tblLook w:val="0620" w:firstRow="1" w:lastRow="0" w:firstColumn="0" w:lastColumn="0" w:noHBand="1" w:noVBand="1"/>
      </w:tblPr>
      <w:tblGrid>
        <w:gridCol w:w="2448"/>
        <w:gridCol w:w="5850"/>
      </w:tblGrid>
      <w:tr w:rsidR="001718E3" w:rsidRPr="00D90FB8" w14:paraId="396AB134" w14:textId="77777777" w:rsidTr="00C72879">
        <w:trPr>
          <w:cnfStyle w:val="100000000000" w:firstRow="1" w:lastRow="0" w:firstColumn="0" w:lastColumn="0" w:oddVBand="0" w:evenVBand="0" w:oddHBand="0" w:evenHBand="0" w:firstRowFirstColumn="0" w:firstRowLastColumn="0" w:lastRowFirstColumn="0" w:lastRowLastColumn="0"/>
        </w:trPr>
        <w:tc>
          <w:tcPr>
            <w:tcW w:w="2448" w:type="dxa"/>
          </w:tcPr>
          <w:p w14:paraId="6D8CADF2" w14:textId="77777777" w:rsidR="001718E3" w:rsidRPr="00D90FB8" w:rsidRDefault="001718E3" w:rsidP="00F7602B">
            <w:pPr>
              <w:pStyle w:val="Tableheader"/>
            </w:pPr>
            <w:r w:rsidRPr="00D90FB8">
              <w:t>Role</w:t>
            </w:r>
          </w:p>
        </w:tc>
        <w:tc>
          <w:tcPr>
            <w:tcW w:w="5850" w:type="dxa"/>
          </w:tcPr>
          <w:p w14:paraId="48F9FCF9" w14:textId="77777777" w:rsidR="001718E3" w:rsidRPr="00D90FB8" w:rsidRDefault="001718E3" w:rsidP="00F7602B">
            <w:pPr>
              <w:pStyle w:val="Tableheader"/>
            </w:pPr>
            <w:r w:rsidRPr="00D90FB8">
              <w:t>Responsibilities</w:t>
            </w:r>
          </w:p>
        </w:tc>
      </w:tr>
      <w:tr w:rsidR="001718E3" w:rsidRPr="00475CE3" w14:paraId="5B84C3BA" w14:textId="77777777" w:rsidTr="00C72879">
        <w:tc>
          <w:tcPr>
            <w:tcW w:w="2448" w:type="dxa"/>
          </w:tcPr>
          <w:p w14:paraId="4D1CDC13" w14:textId="77777777" w:rsidR="001718E3" w:rsidRPr="00475CE3" w:rsidRDefault="001718E3" w:rsidP="00F7602B">
            <w:pPr>
              <w:rPr>
                <w:rFonts w:ascii="VIC" w:hAnsi="VIC"/>
              </w:rPr>
            </w:pPr>
            <w:r w:rsidRPr="00475CE3">
              <w:rPr>
                <w:rFonts w:ascii="VIC" w:hAnsi="VIC"/>
              </w:rPr>
              <w:t>Senior responsible owner (SRO)</w:t>
            </w:r>
          </w:p>
        </w:tc>
        <w:tc>
          <w:tcPr>
            <w:tcW w:w="5850" w:type="dxa"/>
          </w:tcPr>
          <w:p w14:paraId="6733A9FB" w14:textId="5ED23811" w:rsidR="001718E3" w:rsidRDefault="001718E3" w:rsidP="00F7602B">
            <w:pPr>
              <w:rPr>
                <w:rFonts w:ascii="VIC" w:hAnsi="VIC"/>
              </w:rPr>
            </w:pPr>
            <w:r w:rsidRPr="00475CE3">
              <w:rPr>
                <w:rFonts w:ascii="VIC" w:hAnsi="VIC"/>
              </w:rPr>
              <w:t xml:space="preserve">The person in the client organisation who is ultimately accountable to </w:t>
            </w:r>
            <w:r w:rsidR="003E4A30">
              <w:rPr>
                <w:rFonts w:ascii="VIC" w:hAnsi="VIC"/>
              </w:rPr>
              <w:t xml:space="preserve">the </w:t>
            </w:r>
            <w:r w:rsidR="00CE2D59">
              <w:rPr>
                <w:rFonts w:ascii="VIC" w:hAnsi="VIC"/>
              </w:rPr>
              <w:t>G</w:t>
            </w:r>
            <w:r w:rsidRPr="064F845D">
              <w:rPr>
                <w:rFonts w:ascii="VIC" w:hAnsi="VIC"/>
              </w:rPr>
              <w:t>overnment</w:t>
            </w:r>
            <w:r w:rsidRPr="00475CE3">
              <w:rPr>
                <w:rFonts w:ascii="VIC" w:hAnsi="VIC"/>
              </w:rPr>
              <w:t xml:space="preserve"> for the successful delivery of the project. They are responsible for all </w:t>
            </w:r>
            <w:r w:rsidR="004A47EB">
              <w:rPr>
                <w:rFonts w:ascii="VIC" w:hAnsi="VIC"/>
              </w:rPr>
              <w:t>approvals</w:t>
            </w:r>
            <w:r w:rsidRPr="00475CE3">
              <w:rPr>
                <w:rFonts w:ascii="VIC" w:hAnsi="VIC"/>
              </w:rPr>
              <w:t xml:space="preserve"> relating to the procurement</w:t>
            </w:r>
            <w:r w:rsidR="004A47EB">
              <w:rPr>
                <w:rFonts w:ascii="VIC" w:hAnsi="VIC"/>
              </w:rPr>
              <w:t>,</w:t>
            </w:r>
            <w:r w:rsidRPr="00475CE3">
              <w:rPr>
                <w:rFonts w:ascii="VIC" w:hAnsi="VIC"/>
              </w:rPr>
              <w:t xml:space="preserve"> </w:t>
            </w:r>
            <w:r w:rsidR="004A47EB">
              <w:rPr>
                <w:rFonts w:ascii="VIC" w:hAnsi="VIC"/>
              </w:rPr>
              <w:t>including</w:t>
            </w:r>
            <w:r w:rsidRPr="00475CE3">
              <w:rPr>
                <w:rFonts w:ascii="VIC" w:hAnsi="VIC"/>
              </w:rPr>
              <w:t xml:space="preserve"> </w:t>
            </w:r>
            <w:r w:rsidR="004A47EB">
              <w:rPr>
                <w:rFonts w:ascii="VIC" w:hAnsi="VIC"/>
              </w:rPr>
              <w:t>m</w:t>
            </w:r>
            <w:r w:rsidRPr="00475CE3">
              <w:rPr>
                <w:rFonts w:ascii="VIC" w:hAnsi="VIC"/>
              </w:rPr>
              <w:t>inisterial and financial delegate approvals</w:t>
            </w:r>
            <w:r w:rsidR="004A47EB">
              <w:rPr>
                <w:rFonts w:ascii="VIC" w:hAnsi="VIC"/>
              </w:rPr>
              <w:t xml:space="preserve"> where required</w:t>
            </w:r>
            <w:r w:rsidRPr="00475CE3">
              <w:rPr>
                <w:rFonts w:ascii="VIC" w:hAnsi="VIC"/>
              </w:rPr>
              <w:t>.</w:t>
            </w:r>
          </w:p>
          <w:p w14:paraId="440CDD4C" w14:textId="3A06B43C" w:rsidR="001718E3" w:rsidRPr="00BE41D4" w:rsidRDefault="001718E3" w:rsidP="00F7602B">
            <w:pPr>
              <w:rPr>
                <w:rFonts w:ascii="VIC" w:eastAsiaTheme="minorEastAsia" w:hAnsi="VIC"/>
              </w:rPr>
            </w:pPr>
            <w:r>
              <w:rPr>
                <w:rFonts w:ascii="VIC" w:hAnsi="VIC"/>
              </w:rPr>
              <w:t>T</w:t>
            </w:r>
            <w:r w:rsidRPr="00756179">
              <w:rPr>
                <w:rFonts w:ascii="VIC" w:hAnsi="VIC"/>
              </w:rPr>
              <w:t>he SRO usually sits with the client department</w:t>
            </w:r>
            <w:r>
              <w:rPr>
                <w:rFonts w:ascii="VIC" w:hAnsi="VIC"/>
              </w:rPr>
              <w:t xml:space="preserve"> w</w:t>
            </w:r>
            <w:r w:rsidRPr="00BE41D4">
              <w:rPr>
                <w:rFonts w:ascii="VIC" w:eastAsiaTheme="minorEastAsia" w:hAnsi="VIC"/>
              </w:rPr>
              <w:t xml:space="preserve">here </w:t>
            </w:r>
            <w:r>
              <w:rPr>
                <w:rFonts w:ascii="VIC" w:hAnsi="VIC"/>
              </w:rPr>
              <w:t>the agency is separate from the portfolio department</w:t>
            </w:r>
          </w:p>
          <w:p w14:paraId="3C9281A7" w14:textId="566AD663" w:rsidR="001718E3" w:rsidRPr="00475CE3" w:rsidRDefault="001718E3" w:rsidP="00F7602B">
            <w:pPr>
              <w:rPr>
                <w:rFonts w:ascii="VIC" w:hAnsi="VIC"/>
              </w:rPr>
            </w:pPr>
            <w:r w:rsidRPr="16924A8B">
              <w:rPr>
                <w:rFonts w:ascii="VIC" w:hAnsi="VIC"/>
              </w:rPr>
              <w:t>Refer to</w:t>
            </w:r>
            <w:r w:rsidR="00930195">
              <w:rPr>
                <w:rFonts w:ascii="VIC" w:hAnsi="VIC"/>
              </w:rPr>
              <w:t xml:space="preserve"> the</w:t>
            </w:r>
            <w:r w:rsidRPr="16924A8B">
              <w:rPr>
                <w:rFonts w:ascii="VIC" w:hAnsi="VIC"/>
              </w:rPr>
              <w:t xml:space="preserve"> </w:t>
            </w:r>
            <w:hyperlink r:id="rId142" w:history="1">
              <w:r w:rsidRPr="006722EE">
                <w:rPr>
                  <w:rStyle w:val="Hyperlink"/>
                  <w:rFonts w:ascii="VIC" w:eastAsiaTheme="minorEastAsia" w:hAnsi="VIC"/>
                  <w:spacing w:val="0"/>
                  <w:szCs w:val="17"/>
                  <w:lang w:eastAsia="en-AU"/>
                </w:rPr>
                <w:t>Business</w:t>
              </w:r>
              <w:r w:rsidRPr="003E7253">
                <w:rPr>
                  <w:rStyle w:val="Hyperlink"/>
                  <w:rFonts w:ascii="VIC" w:eastAsiaTheme="minorEastAsia" w:hAnsi="VIC"/>
                  <w:spacing w:val="0"/>
                  <w:sz w:val="20"/>
                  <w:szCs w:val="20"/>
                  <w:lang w:eastAsia="en-AU"/>
                </w:rPr>
                <w:t xml:space="preserve"> </w:t>
              </w:r>
              <w:r w:rsidRPr="006722EE">
                <w:rPr>
                  <w:rStyle w:val="Hyperlink"/>
                  <w:rFonts w:ascii="VIC" w:eastAsiaTheme="minorEastAsia" w:hAnsi="VIC"/>
                  <w:spacing w:val="0"/>
                  <w:szCs w:val="17"/>
                  <w:lang w:eastAsia="en-AU"/>
                </w:rPr>
                <w:t>Case</w:t>
              </w:r>
              <w:r w:rsidR="00ED5704" w:rsidRPr="0033748E">
                <w:rPr>
                  <w:rStyle w:val="Hyperlink"/>
                  <w:szCs w:val="17"/>
                </w:rPr>
                <w:t xml:space="preserve"> </w:t>
              </w:r>
              <w:r w:rsidR="004A47EB" w:rsidRPr="0033748E">
                <w:rPr>
                  <w:rStyle w:val="Hyperlink"/>
                  <w:szCs w:val="17"/>
                </w:rPr>
                <w:t>ILG</w:t>
              </w:r>
            </w:hyperlink>
            <w:r w:rsidR="00ED5704">
              <w:rPr>
                <w:rFonts w:ascii="VIC" w:hAnsi="VIC"/>
              </w:rPr>
              <w:t xml:space="preserve"> </w:t>
            </w:r>
            <w:r w:rsidRPr="16924A8B">
              <w:rPr>
                <w:rFonts w:ascii="VIC" w:hAnsi="VIC"/>
              </w:rPr>
              <w:t>for more information on the role of the SRO.</w:t>
            </w:r>
          </w:p>
        </w:tc>
      </w:tr>
      <w:tr w:rsidR="001718E3" w:rsidRPr="00475CE3" w14:paraId="2FB67FF8" w14:textId="77777777" w:rsidTr="00C72879">
        <w:tc>
          <w:tcPr>
            <w:tcW w:w="2448" w:type="dxa"/>
          </w:tcPr>
          <w:p w14:paraId="0F558B2B" w14:textId="2D8B33A1" w:rsidR="001718E3" w:rsidRPr="00475CE3" w:rsidRDefault="001718E3" w:rsidP="00F7602B">
            <w:pPr>
              <w:rPr>
                <w:rFonts w:ascii="VIC" w:hAnsi="VIC"/>
              </w:rPr>
            </w:pPr>
            <w:r w:rsidRPr="00475CE3">
              <w:rPr>
                <w:rFonts w:ascii="VIC" w:hAnsi="VIC"/>
              </w:rPr>
              <w:t>Project board/steering committee</w:t>
            </w:r>
          </w:p>
        </w:tc>
        <w:tc>
          <w:tcPr>
            <w:tcW w:w="5850" w:type="dxa"/>
          </w:tcPr>
          <w:p w14:paraId="5FC8A6DE" w14:textId="44E9020B" w:rsidR="001718E3" w:rsidRPr="00475CE3" w:rsidRDefault="001718E3" w:rsidP="00F7602B">
            <w:pPr>
              <w:rPr>
                <w:rFonts w:ascii="VIC" w:hAnsi="VIC"/>
              </w:rPr>
            </w:pPr>
            <w:r w:rsidRPr="00475CE3">
              <w:rPr>
                <w:rFonts w:ascii="VIC" w:hAnsi="VIC"/>
              </w:rPr>
              <w:t xml:space="preserve">Project boards are not involved in the day-to-day management of the project. </w:t>
            </w:r>
            <w:r>
              <w:rPr>
                <w:rFonts w:ascii="VIC" w:hAnsi="VIC"/>
              </w:rPr>
              <w:t>T</w:t>
            </w:r>
            <w:r w:rsidRPr="00475CE3">
              <w:rPr>
                <w:rFonts w:ascii="VIC" w:hAnsi="VIC"/>
              </w:rPr>
              <w:t xml:space="preserve">hey consider the recommendations of the project </w:t>
            </w:r>
            <w:r w:rsidRPr="00475CE3" w:rsidDel="00ED5704">
              <w:rPr>
                <w:rFonts w:ascii="VIC" w:hAnsi="VIC"/>
              </w:rPr>
              <w:t>team</w:t>
            </w:r>
            <w:r w:rsidR="00ED5704">
              <w:rPr>
                <w:rFonts w:ascii="VIC" w:hAnsi="VIC"/>
              </w:rPr>
              <w:t xml:space="preserve"> and</w:t>
            </w:r>
            <w:r w:rsidRPr="00475CE3">
              <w:rPr>
                <w:rFonts w:ascii="VIC" w:hAnsi="VIC"/>
              </w:rPr>
              <w:t xml:space="preserve"> provide expert advice</w:t>
            </w:r>
            <w:r>
              <w:rPr>
                <w:rFonts w:ascii="VIC" w:hAnsi="VIC"/>
              </w:rPr>
              <w:t xml:space="preserve"> and decisions</w:t>
            </w:r>
            <w:r w:rsidRPr="00475CE3">
              <w:rPr>
                <w:rFonts w:ascii="VIC" w:hAnsi="VIC"/>
              </w:rPr>
              <w:t xml:space="preserve"> to support the SRO and </w:t>
            </w:r>
            <w:r>
              <w:rPr>
                <w:rFonts w:ascii="VIC" w:hAnsi="VIC"/>
              </w:rPr>
              <w:t xml:space="preserve">project team. </w:t>
            </w:r>
          </w:p>
        </w:tc>
      </w:tr>
      <w:tr w:rsidR="001718E3" w:rsidRPr="00475CE3" w14:paraId="6A0776C2" w14:textId="77777777" w:rsidTr="00C72879">
        <w:tc>
          <w:tcPr>
            <w:tcW w:w="2448" w:type="dxa"/>
          </w:tcPr>
          <w:p w14:paraId="07582776" w14:textId="713C54E8" w:rsidR="001718E3" w:rsidRPr="00475CE3" w:rsidRDefault="001718E3" w:rsidP="00F7602B">
            <w:pPr>
              <w:rPr>
                <w:rFonts w:ascii="VIC" w:hAnsi="VIC"/>
              </w:rPr>
            </w:pPr>
            <w:r w:rsidRPr="00475CE3">
              <w:rPr>
                <w:rFonts w:ascii="VIC" w:hAnsi="VIC"/>
              </w:rPr>
              <w:t>Project director</w:t>
            </w:r>
            <w:r>
              <w:rPr>
                <w:rFonts w:ascii="VIC" w:hAnsi="VIC"/>
              </w:rPr>
              <w:t>/</w:t>
            </w:r>
            <w:r w:rsidRPr="00475CE3">
              <w:rPr>
                <w:rFonts w:ascii="VIC" w:hAnsi="VIC"/>
              </w:rPr>
              <w:t>manager</w:t>
            </w:r>
          </w:p>
        </w:tc>
        <w:tc>
          <w:tcPr>
            <w:tcW w:w="5850" w:type="dxa"/>
          </w:tcPr>
          <w:p w14:paraId="5BEE8F97" w14:textId="431FE40B" w:rsidR="001718E3" w:rsidRPr="00475CE3" w:rsidRDefault="001718E3" w:rsidP="00F7602B">
            <w:r w:rsidRPr="00475CE3">
              <w:rPr>
                <w:rFonts w:ascii="VIC" w:hAnsi="VIC"/>
              </w:rPr>
              <w:t xml:space="preserve">The project director should be a senior officer </w:t>
            </w:r>
            <w:r w:rsidR="004A47EB">
              <w:rPr>
                <w:rFonts w:ascii="VIC" w:hAnsi="VIC"/>
              </w:rPr>
              <w:t>lea</w:t>
            </w:r>
            <w:r w:rsidR="004A47EB" w:rsidRPr="00475CE3">
              <w:rPr>
                <w:rFonts w:ascii="VIC" w:hAnsi="VIC"/>
              </w:rPr>
              <w:t xml:space="preserve">ding </w:t>
            </w:r>
            <w:r w:rsidRPr="00475CE3">
              <w:rPr>
                <w:rFonts w:ascii="VIC" w:hAnsi="VIC"/>
              </w:rPr>
              <w:t xml:space="preserve">the project through tendering and delivery. </w:t>
            </w:r>
            <w:r>
              <w:rPr>
                <w:rFonts w:ascii="VIC" w:hAnsi="VIC"/>
              </w:rPr>
              <w:t>T</w:t>
            </w:r>
            <w:r w:rsidRPr="00475CE3">
              <w:rPr>
                <w:rFonts w:ascii="VIC" w:hAnsi="VIC"/>
              </w:rPr>
              <w:t>hey have clear accountability for delivering the project requirements in accordance with the approvals given</w:t>
            </w:r>
            <w:r w:rsidR="004A47EB">
              <w:rPr>
                <w:rFonts w:ascii="VIC" w:hAnsi="VIC"/>
              </w:rPr>
              <w:t>. They</w:t>
            </w:r>
            <w:r w:rsidRPr="00475CE3">
              <w:rPr>
                <w:rFonts w:ascii="VIC" w:hAnsi="VIC"/>
              </w:rPr>
              <w:t xml:space="preserve"> </w:t>
            </w:r>
            <w:r>
              <w:rPr>
                <w:rFonts w:ascii="VIC" w:hAnsi="VIC"/>
              </w:rPr>
              <w:t>are</w:t>
            </w:r>
            <w:r w:rsidRPr="00475CE3">
              <w:rPr>
                <w:rFonts w:ascii="VIC" w:hAnsi="VIC"/>
              </w:rPr>
              <w:t xml:space="preserve"> a single focal point for the daily management of the client organisation</w:t>
            </w:r>
            <w:r w:rsidR="00344D3F">
              <w:rPr>
                <w:rFonts w:ascii="VIC" w:hAnsi="VIC"/>
              </w:rPr>
              <w:t>’</w:t>
            </w:r>
            <w:r w:rsidRPr="00475CE3">
              <w:rPr>
                <w:rFonts w:ascii="VIC" w:hAnsi="VIC"/>
              </w:rPr>
              <w:t xml:space="preserve">s interest in a project. </w:t>
            </w:r>
          </w:p>
        </w:tc>
      </w:tr>
      <w:tr w:rsidR="001718E3" w:rsidRPr="00475CE3" w14:paraId="06CD589E" w14:textId="77777777" w:rsidTr="00C72879">
        <w:tc>
          <w:tcPr>
            <w:tcW w:w="2448" w:type="dxa"/>
          </w:tcPr>
          <w:p w14:paraId="3B63E7B0" w14:textId="77777777" w:rsidR="001718E3" w:rsidRPr="00475CE3" w:rsidRDefault="001718E3" w:rsidP="00F7602B">
            <w:pPr>
              <w:rPr>
                <w:rFonts w:ascii="VIC" w:hAnsi="VIC"/>
              </w:rPr>
            </w:pPr>
            <w:r w:rsidRPr="00475CE3">
              <w:rPr>
                <w:rFonts w:ascii="VIC" w:hAnsi="VIC"/>
              </w:rPr>
              <w:t>Reference group</w:t>
            </w:r>
          </w:p>
        </w:tc>
        <w:tc>
          <w:tcPr>
            <w:tcW w:w="5850" w:type="dxa"/>
          </w:tcPr>
          <w:p w14:paraId="02BC2468" w14:textId="2F1D61C0" w:rsidR="001718E3" w:rsidRPr="00475CE3" w:rsidRDefault="004A47EB" w:rsidP="00F7602B">
            <w:pPr>
              <w:rPr>
                <w:rFonts w:ascii="VIC" w:hAnsi="VIC"/>
              </w:rPr>
            </w:pPr>
            <w:r>
              <w:rPr>
                <w:rFonts w:ascii="VIC" w:hAnsi="VIC"/>
              </w:rPr>
              <w:t>The reference group should c</w:t>
            </w:r>
            <w:r w:rsidRPr="00475CE3">
              <w:rPr>
                <w:rFonts w:ascii="VIC" w:hAnsi="VIC"/>
              </w:rPr>
              <w:t xml:space="preserve">omprise </w:t>
            </w:r>
            <w:r w:rsidR="001718E3" w:rsidRPr="00475CE3">
              <w:rPr>
                <w:rFonts w:ascii="VIC" w:hAnsi="VIC"/>
              </w:rPr>
              <w:t xml:space="preserve">representatives from end users and other </w:t>
            </w:r>
            <w:r>
              <w:rPr>
                <w:rFonts w:ascii="VIC" w:hAnsi="VIC"/>
              </w:rPr>
              <w:t xml:space="preserve">relevant </w:t>
            </w:r>
            <w:r w:rsidR="001718E3" w:rsidRPr="00475CE3">
              <w:rPr>
                <w:rFonts w:ascii="VIC" w:hAnsi="VIC"/>
              </w:rPr>
              <w:t>stakeholders</w:t>
            </w:r>
            <w:r w:rsidR="00A73D13">
              <w:rPr>
                <w:rFonts w:ascii="VIC" w:hAnsi="VIC"/>
              </w:rPr>
              <w:t>,</w:t>
            </w:r>
            <w:r w:rsidR="001718E3" w:rsidRPr="00475CE3">
              <w:rPr>
                <w:rFonts w:ascii="VIC" w:hAnsi="VIC"/>
              </w:rPr>
              <w:t xml:space="preserve"> where appropriate</w:t>
            </w:r>
            <w:r w:rsidR="00A73D13">
              <w:rPr>
                <w:rFonts w:ascii="VIC" w:hAnsi="VIC"/>
              </w:rPr>
              <w:t>,</w:t>
            </w:r>
            <w:r w:rsidR="001718E3" w:rsidRPr="00475CE3">
              <w:rPr>
                <w:rFonts w:ascii="VIC" w:hAnsi="VIC"/>
              </w:rPr>
              <w:t xml:space="preserve"> to ensure the requirements of the users and occupants of the asset inform the design brief and technical specification.</w:t>
            </w:r>
          </w:p>
        </w:tc>
      </w:tr>
      <w:tr w:rsidR="001718E3" w:rsidRPr="00475CE3" w14:paraId="15684DA5" w14:textId="77777777" w:rsidTr="00C72879">
        <w:tc>
          <w:tcPr>
            <w:tcW w:w="2448" w:type="dxa"/>
          </w:tcPr>
          <w:p w14:paraId="0ECD46AC" w14:textId="77777777" w:rsidR="001718E3" w:rsidRDefault="001718E3" w:rsidP="00F7602B">
            <w:pPr>
              <w:rPr>
                <w:rFonts w:ascii="VIC" w:hAnsi="VIC"/>
              </w:rPr>
            </w:pPr>
            <w:r w:rsidRPr="00475CE3">
              <w:rPr>
                <w:rFonts w:ascii="VIC" w:hAnsi="VIC"/>
              </w:rPr>
              <w:t>Project team</w:t>
            </w:r>
          </w:p>
        </w:tc>
        <w:tc>
          <w:tcPr>
            <w:tcW w:w="5850" w:type="dxa"/>
          </w:tcPr>
          <w:p w14:paraId="741CF177" w14:textId="0C0E302F" w:rsidR="001718E3" w:rsidRDefault="004A47EB" w:rsidP="00F7602B">
            <w:pPr>
              <w:rPr>
                <w:rFonts w:ascii="VIC" w:hAnsi="VIC"/>
              </w:rPr>
            </w:pPr>
            <w:r>
              <w:rPr>
                <w:rFonts w:ascii="VIC" w:hAnsi="VIC"/>
              </w:rPr>
              <w:t>The project team comprises o</w:t>
            </w:r>
            <w:r w:rsidRPr="00475CE3">
              <w:rPr>
                <w:rFonts w:ascii="VIC" w:hAnsi="VIC"/>
              </w:rPr>
              <w:t xml:space="preserve">ne </w:t>
            </w:r>
            <w:r w:rsidR="001718E3" w:rsidRPr="00475CE3">
              <w:rPr>
                <w:rFonts w:ascii="VIC" w:hAnsi="VIC"/>
              </w:rPr>
              <w:t xml:space="preserve">or more </w:t>
            </w:r>
            <w:r w:rsidR="008A5516">
              <w:rPr>
                <w:rFonts w:ascii="VIC" w:hAnsi="VIC"/>
              </w:rPr>
              <w:t>people</w:t>
            </w:r>
            <w:r w:rsidR="001718E3" w:rsidRPr="00475CE3">
              <w:rPr>
                <w:rFonts w:ascii="VIC" w:hAnsi="VIC"/>
              </w:rPr>
              <w:t xml:space="preserve"> who</w:t>
            </w:r>
            <w:r>
              <w:rPr>
                <w:rFonts w:ascii="VIC" w:hAnsi="VIC"/>
              </w:rPr>
              <w:t>,</w:t>
            </w:r>
            <w:r w:rsidR="001718E3" w:rsidRPr="00475CE3">
              <w:rPr>
                <w:rFonts w:ascii="VIC" w:hAnsi="VIC"/>
              </w:rPr>
              <w:t xml:space="preserve"> </w:t>
            </w:r>
            <w:r>
              <w:rPr>
                <w:rFonts w:ascii="VIC" w:hAnsi="VIC"/>
              </w:rPr>
              <w:t>under the leadership of the</w:t>
            </w:r>
            <w:r w:rsidR="001718E3" w:rsidRPr="00475CE3">
              <w:rPr>
                <w:rFonts w:ascii="VIC" w:hAnsi="VIC"/>
              </w:rPr>
              <w:t xml:space="preserve"> project </w:t>
            </w:r>
            <w:r>
              <w:rPr>
                <w:rFonts w:ascii="VIC" w:hAnsi="VIC"/>
              </w:rPr>
              <w:t>director/</w:t>
            </w:r>
            <w:r w:rsidR="001718E3" w:rsidRPr="00475CE3">
              <w:rPr>
                <w:rFonts w:ascii="VIC" w:hAnsi="VIC"/>
              </w:rPr>
              <w:t>manager</w:t>
            </w:r>
            <w:r>
              <w:rPr>
                <w:rFonts w:ascii="VIC" w:hAnsi="VIC"/>
              </w:rPr>
              <w:t>,</w:t>
            </w:r>
            <w:r w:rsidR="001718E3" w:rsidRPr="00475CE3">
              <w:rPr>
                <w:rFonts w:ascii="VIC" w:hAnsi="VIC"/>
              </w:rPr>
              <w:t xml:space="preserve"> manag</w:t>
            </w:r>
            <w:r>
              <w:rPr>
                <w:rFonts w:ascii="VIC" w:hAnsi="VIC"/>
              </w:rPr>
              <w:t>e</w:t>
            </w:r>
            <w:r w:rsidR="001718E3" w:rsidRPr="00475CE3">
              <w:rPr>
                <w:rFonts w:ascii="VIC" w:hAnsi="VIC"/>
              </w:rPr>
              <w:t xml:space="preserve"> the administrative and reporting requirements of the procurement.</w:t>
            </w:r>
          </w:p>
        </w:tc>
      </w:tr>
      <w:tr w:rsidR="001718E3" w:rsidRPr="00475CE3" w14:paraId="07852473" w14:textId="77777777" w:rsidTr="00C72879">
        <w:tc>
          <w:tcPr>
            <w:tcW w:w="2448" w:type="dxa"/>
          </w:tcPr>
          <w:p w14:paraId="5D7761EC" w14:textId="77777777" w:rsidR="001718E3" w:rsidRPr="00475CE3" w:rsidRDefault="001718E3" w:rsidP="00F7602B">
            <w:pPr>
              <w:rPr>
                <w:rFonts w:ascii="VIC" w:hAnsi="VIC"/>
              </w:rPr>
            </w:pPr>
            <w:r>
              <w:rPr>
                <w:rFonts w:ascii="VIC" w:hAnsi="VIC"/>
              </w:rPr>
              <w:t>Working groups</w:t>
            </w:r>
          </w:p>
        </w:tc>
        <w:tc>
          <w:tcPr>
            <w:tcW w:w="5850" w:type="dxa"/>
          </w:tcPr>
          <w:p w14:paraId="47F4704D" w14:textId="7DD07C6F" w:rsidR="001718E3" w:rsidRPr="00475CE3" w:rsidRDefault="004A47EB" w:rsidP="00F7602B">
            <w:pPr>
              <w:rPr>
                <w:rFonts w:ascii="VIC" w:hAnsi="VIC"/>
              </w:rPr>
            </w:pPr>
            <w:r>
              <w:rPr>
                <w:rFonts w:ascii="VIC" w:hAnsi="VIC"/>
              </w:rPr>
              <w:t>In</w:t>
            </w:r>
            <w:r w:rsidR="001718E3">
              <w:rPr>
                <w:rFonts w:ascii="VIC" w:hAnsi="VIC"/>
              </w:rPr>
              <w:t xml:space="preserve"> larger projects the </w:t>
            </w:r>
            <w:r>
              <w:rPr>
                <w:rFonts w:ascii="VIC" w:hAnsi="VIC"/>
              </w:rPr>
              <w:t xml:space="preserve">project </w:t>
            </w:r>
            <w:r w:rsidR="001718E3">
              <w:rPr>
                <w:rFonts w:ascii="VIC" w:hAnsi="VIC"/>
              </w:rPr>
              <w:t xml:space="preserve">team </w:t>
            </w:r>
            <w:r>
              <w:rPr>
                <w:rFonts w:ascii="VIC" w:hAnsi="VIC"/>
              </w:rPr>
              <w:t xml:space="preserve">can be split </w:t>
            </w:r>
            <w:r w:rsidR="001718E3">
              <w:rPr>
                <w:rFonts w:ascii="VIC" w:hAnsi="VIC"/>
              </w:rPr>
              <w:t>into working groups</w:t>
            </w:r>
            <w:r>
              <w:rPr>
                <w:rFonts w:ascii="VIC" w:hAnsi="VIC"/>
              </w:rPr>
              <w:t xml:space="preserve"> for different aspects of the project. Working groups</w:t>
            </w:r>
            <w:r w:rsidR="001718E3">
              <w:rPr>
                <w:rFonts w:ascii="VIC" w:hAnsi="VIC"/>
              </w:rPr>
              <w:t xml:space="preserve"> develop tender documentation and</w:t>
            </w:r>
            <w:r>
              <w:rPr>
                <w:rFonts w:ascii="VIC" w:hAnsi="VIC"/>
              </w:rPr>
              <w:t xml:space="preserve"> undertake</w:t>
            </w:r>
            <w:r w:rsidR="001718E3">
              <w:rPr>
                <w:rFonts w:ascii="VIC" w:hAnsi="VIC"/>
              </w:rPr>
              <w:t xml:space="preserve"> associated </w:t>
            </w:r>
            <w:r>
              <w:rPr>
                <w:rFonts w:ascii="VIC" w:hAnsi="VIC"/>
              </w:rPr>
              <w:t xml:space="preserve">commercial, legal and technical </w:t>
            </w:r>
            <w:r w:rsidR="001718E3">
              <w:rPr>
                <w:rFonts w:ascii="VIC" w:hAnsi="VIC"/>
              </w:rPr>
              <w:t xml:space="preserve">activities. </w:t>
            </w:r>
          </w:p>
        </w:tc>
      </w:tr>
    </w:tbl>
    <w:p w14:paraId="76317EE9" w14:textId="2E3D29BB" w:rsidR="001718E3" w:rsidRDefault="001718E3" w:rsidP="00834461">
      <w:pPr>
        <w:pStyle w:val="NormalIndent"/>
      </w:pPr>
      <w:r>
        <w:t xml:space="preserve">Agencies consult with DTF on governance plans for HVHR projects, as required under the HVHR framework. </w:t>
      </w:r>
      <w:r w:rsidRPr="00E13593">
        <w:t xml:space="preserve">The </w:t>
      </w:r>
      <w:hyperlink r:id="rId143" w:history="1">
        <w:r w:rsidRPr="00B73C2C">
          <w:rPr>
            <w:rStyle w:val="Hyperlink"/>
          </w:rPr>
          <w:t>Cost Reimbursable Procurement Requirements</w:t>
        </w:r>
      </w:hyperlink>
      <w:r w:rsidRPr="00E13593">
        <w:t xml:space="preserve"> and </w:t>
      </w:r>
      <w:hyperlink r:id="rId144" w:history="1">
        <w:r w:rsidR="002030FC" w:rsidRPr="0074750B">
          <w:rPr>
            <w:rStyle w:val="Hyperlink"/>
          </w:rPr>
          <w:t>Whole</w:t>
        </w:r>
        <w:r w:rsidR="004A47EB" w:rsidRPr="0074750B">
          <w:rPr>
            <w:rStyle w:val="Hyperlink"/>
          </w:rPr>
          <w:t>-</w:t>
        </w:r>
        <w:r w:rsidR="002030FC" w:rsidRPr="0074750B">
          <w:rPr>
            <w:rStyle w:val="Hyperlink"/>
          </w:rPr>
          <w:t>of</w:t>
        </w:r>
        <w:r w:rsidR="004A47EB" w:rsidRPr="0074750B">
          <w:rPr>
            <w:rStyle w:val="Hyperlink"/>
          </w:rPr>
          <w:t>-</w:t>
        </w:r>
        <w:r w:rsidR="002030FC" w:rsidRPr="0074750B">
          <w:rPr>
            <w:rStyle w:val="Hyperlink"/>
          </w:rPr>
          <w:t xml:space="preserve">Life </w:t>
        </w:r>
        <w:r w:rsidR="007D117E" w:rsidRPr="0074750B">
          <w:rPr>
            <w:rStyle w:val="Hyperlink"/>
          </w:rPr>
          <w:t xml:space="preserve">Procurement </w:t>
        </w:r>
        <w:r w:rsidRPr="0074750B">
          <w:rPr>
            <w:rStyle w:val="Hyperlink"/>
          </w:rPr>
          <w:t>Requirements</w:t>
        </w:r>
      </w:hyperlink>
      <w:r w:rsidRPr="00E13593">
        <w:t xml:space="preserve"> </w:t>
      </w:r>
      <w:r>
        <w:t xml:space="preserve">detail requirements for potential </w:t>
      </w:r>
      <w:r w:rsidRPr="00E13593">
        <w:t xml:space="preserve">participation </w:t>
      </w:r>
      <w:r w:rsidR="00942998">
        <w:t>by</w:t>
      </w:r>
      <w:r w:rsidR="00942998" w:rsidRPr="00E13593">
        <w:t xml:space="preserve"> </w:t>
      </w:r>
      <w:r w:rsidRPr="00E13593">
        <w:t xml:space="preserve">DTF </w:t>
      </w:r>
      <w:r w:rsidR="004A47EB">
        <w:t>i</w:t>
      </w:r>
      <w:r w:rsidR="004A47EB" w:rsidRPr="00E13593">
        <w:t xml:space="preserve">n </w:t>
      </w:r>
      <w:r w:rsidRPr="00E13593">
        <w:t>governance and evaluation bodies.</w:t>
      </w:r>
    </w:p>
    <w:p w14:paraId="63DEABAD" w14:textId="5BFC89E8" w:rsidR="001718E3" w:rsidRPr="00E13593" w:rsidRDefault="001718E3" w:rsidP="00834461">
      <w:pPr>
        <w:pStyle w:val="NormalIndent"/>
      </w:pPr>
      <w:r>
        <w:t>A</w:t>
      </w:r>
      <w:r w:rsidRPr="00E13593">
        <w:t xml:space="preserve">gencies </w:t>
      </w:r>
      <w:r>
        <w:t xml:space="preserve">should </w:t>
      </w:r>
      <w:r w:rsidRPr="00E13593">
        <w:t>carefully consider what decision</w:t>
      </w:r>
      <w:r w:rsidR="00942998">
        <w:t>-making</w:t>
      </w:r>
      <w:r w:rsidRPr="00E13593">
        <w:t xml:space="preserve"> </w:t>
      </w:r>
      <w:r w:rsidR="00942998">
        <w:t>is</w:t>
      </w:r>
      <w:r>
        <w:t xml:space="preserve"> </w:t>
      </w:r>
      <w:r w:rsidRPr="00E13593">
        <w:t xml:space="preserve">retained by </w:t>
      </w:r>
      <w:r w:rsidR="00F11B52">
        <w:t xml:space="preserve">the </w:t>
      </w:r>
      <w:r w:rsidR="009E7C83">
        <w:t>G</w:t>
      </w:r>
      <w:r w:rsidRPr="00E13593">
        <w:t xml:space="preserve">overnment and what </w:t>
      </w:r>
      <w:r w:rsidR="00942998">
        <w:t>is</w:t>
      </w:r>
      <w:r w:rsidR="00942998" w:rsidRPr="00E13593">
        <w:t xml:space="preserve"> </w:t>
      </w:r>
      <w:r w:rsidRPr="00E13593">
        <w:t>undertaken in conjunction with the contractor in cost reimbursable models</w:t>
      </w:r>
      <w:r w:rsidRPr="00E750FC">
        <w:t>.</w:t>
      </w:r>
    </w:p>
    <w:p w14:paraId="706CEF93" w14:textId="77777777" w:rsidR="001718E3" w:rsidRDefault="001718E3" w:rsidP="001D2615">
      <w:pPr>
        <w:pStyle w:val="Heading4numbered"/>
      </w:pPr>
      <w:r>
        <w:t>Approval points</w:t>
      </w:r>
    </w:p>
    <w:p w14:paraId="1E2FD18A" w14:textId="4B10DD79" w:rsidR="001718E3" w:rsidRPr="00DB024E" w:rsidRDefault="001718E3" w:rsidP="0072412B">
      <w:pPr>
        <w:pStyle w:val="NormalIndent"/>
        <w:keepNext/>
      </w:pPr>
      <w:r w:rsidRPr="00DB024E">
        <w:t xml:space="preserve">The scope, cost and schedule for </w:t>
      </w:r>
      <w:r w:rsidR="00942998">
        <w:t xml:space="preserve">project </w:t>
      </w:r>
      <w:r w:rsidRPr="00DB024E">
        <w:t>delivery will typically be</w:t>
      </w:r>
      <w:r>
        <w:t xml:space="preserve"> </w:t>
      </w:r>
      <w:r w:rsidRPr="00DB024E">
        <w:t xml:space="preserve">approved as part of the business case or </w:t>
      </w:r>
      <w:r w:rsidR="00F11B52">
        <w:t>g</w:t>
      </w:r>
      <w:r w:rsidR="00942998">
        <w:t xml:space="preserve">overnment </w:t>
      </w:r>
      <w:r w:rsidRPr="00DB024E">
        <w:t xml:space="preserve">approval of the procurement. </w:t>
      </w:r>
      <w:r w:rsidR="008159C9">
        <w:t>A</w:t>
      </w:r>
      <w:r w:rsidRPr="00DB024E">
        <w:t xml:space="preserve">gencies should consider appropriate approval pathways for </w:t>
      </w:r>
      <w:r>
        <w:t xml:space="preserve">project milestones and </w:t>
      </w:r>
      <w:r w:rsidRPr="00DB024E">
        <w:t>changes during the procurement process.</w:t>
      </w:r>
    </w:p>
    <w:p w14:paraId="2B866DC8" w14:textId="4F834F85" w:rsidR="001718E3" w:rsidRDefault="001718E3" w:rsidP="00834461">
      <w:pPr>
        <w:pStyle w:val="NormalIndent"/>
      </w:pPr>
      <w:r w:rsidRPr="00387024">
        <w:t>Tendering is a costly process for purchasers and suppliers in terms of time, resources and money. Before commencing the process</w:t>
      </w:r>
      <w:r>
        <w:t>,</w:t>
      </w:r>
      <w:r w:rsidRPr="00387024">
        <w:t xml:space="preserve"> it is important to have a firm intention to proceed, with funds committed and available.</w:t>
      </w:r>
    </w:p>
    <w:p w14:paraId="5F2E528B" w14:textId="29B4A548" w:rsidR="001718E3" w:rsidRDefault="001718E3" w:rsidP="00834461">
      <w:pPr>
        <w:pStyle w:val="NormalIndent"/>
      </w:pPr>
      <w:r>
        <w:t>The approvals process will differ depending on the complexity and scale of the project</w:t>
      </w:r>
      <w:r w:rsidR="00942998">
        <w:t>, and the proposed procurement type</w:t>
      </w:r>
      <w:r>
        <w:t>.</w:t>
      </w:r>
    </w:p>
    <w:p w14:paraId="0F2183E1" w14:textId="123585F0" w:rsidR="001718E3" w:rsidRDefault="001718E3" w:rsidP="00834461">
      <w:pPr>
        <w:pStyle w:val="NormalIndent"/>
      </w:pPr>
      <w:r>
        <w:t xml:space="preserve">Approvals for </w:t>
      </w:r>
      <w:r w:rsidRPr="00387024">
        <w:t xml:space="preserve">HVHR projects </w:t>
      </w:r>
      <w:r>
        <w:t xml:space="preserve">will be </w:t>
      </w:r>
      <w:r w:rsidRPr="00387024">
        <w:t xml:space="preserve">in accordance with the HVHR </w:t>
      </w:r>
      <w:r w:rsidR="00ED5704">
        <w:t>p</w:t>
      </w:r>
      <w:r w:rsidRPr="00387024">
        <w:t xml:space="preserve">roject </w:t>
      </w:r>
      <w:r w:rsidR="00ED5704">
        <w:t>a</w:t>
      </w:r>
      <w:r w:rsidRPr="00387024">
        <w:t xml:space="preserve">ssurance </w:t>
      </w:r>
      <w:r w:rsidR="00ED5704">
        <w:t>p</w:t>
      </w:r>
      <w:r w:rsidRPr="00387024">
        <w:t>lan.</w:t>
      </w:r>
    </w:p>
    <w:p w14:paraId="13CCF900" w14:textId="7B037CE8" w:rsidR="001718E3" w:rsidRDefault="00942998" w:rsidP="00834461">
      <w:pPr>
        <w:pStyle w:val="NormalIndent"/>
      </w:pPr>
      <w:r>
        <w:t>A</w:t>
      </w:r>
      <w:r w:rsidR="001718E3">
        <w:t xml:space="preserve">pprovals for </w:t>
      </w:r>
      <w:hyperlink r:id="rId145" w:history="1">
        <w:r w:rsidR="001718E3" w:rsidRPr="00037647">
          <w:rPr>
            <w:rStyle w:val="Hyperlink"/>
          </w:rPr>
          <w:t>Partnerships Victoria</w:t>
        </w:r>
      </w:hyperlink>
      <w:r w:rsidR="001718E3">
        <w:t xml:space="preserve"> and </w:t>
      </w:r>
      <w:hyperlink r:id="rId146" w:history="1">
        <w:r w:rsidR="001718E3" w:rsidRPr="00132400">
          <w:rPr>
            <w:rStyle w:val="Hyperlink"/>
          </w:rPr>
          <w:t>cost reimbursable procurement</w:t>
        </w:r>
      </w:hyperlink>
      <w:r w:rsidR="001718E3">
        <w:t xml:space="preserve"> models are available in the relevant requirements documents.</w:t>
      </w:r>
    </w:p>
    <w:p w14:paraId="3979398F" w14:textId="77777777" w:rsidR="001718E3" w:rsidRPr="005B21A3" w:rsidRDefault="001718E3" w:rsidP="001D2615">
      <w:pPr>
        <w:pStyle w:val="Heading3numbered"/>
      </w:pPr>
      <w:r w:rsidRPr="005B21A3">
        <w:t>Resource requirements</w:t>
      </w:r>
    </w:p>
    <w:p w14:paraId="7AA20481" w14:textId="756F4616" w:rsidR="001718E3" w:rsidRDefault="00942998" w:rsidP="00834461">
      <w:pPr>
        <w:pStyle w:val="NormalIndent"/>
      </w:pPr>
      <w:r>
        <w:t>P</w:t>
      </w:r>
      <w:r w:rsidR="001718E3" w:rsidRPr="005B21A3">
        <w:t>rocurement process</w:t>
      </w:r>
      <w:r>
        <w:t>es</w:t>
      </w:r>
      <w:r w:rsidR="001718E3" w:rsidRPr="005B21A3">
        <w:t xml:space="preserve"> require</w:t>
      </w:r>
      <w:r>
        <w:t xml:space="preserve"> adequate</w:t>
      </w:r>
      <w:r w:rsidR="001718E3" w:rsidRPr="005B21A3">
        <w:t xml:space="preserve"> resourcing to ensure procurement tasks can be delivered according to the project schedule</w:t>
      </w:r>
      <w:r w:rsidR="001718E3">
        <w:t>. Agency teams will need access to the required capacity and skills for the type of procurement proposed.</w:t>
      </w:r>
    </w:p>
    <w:p w14:paraId="3493B5BC" w14:textId="32611C3E" w:rsidR="001718E3" w:rsidRDefault="001718E3" w:rsidP="00834461">
      <w:pPr>
        <w:pStyle w:val="NormalIndent"/>
      </w:pPr>
      <w:r w:rsidRPr="005B21A3">
        <w:t xml:space="preserve">It is common to engage a range of advisers to supplement in-house capacity. </w:t>
      </w:r>
      <w:r>
        <w:t>Depending on the size and complexity of the project, these could</w:t>
      </w:r>
      <w:r w:rsidRPr="005B21A3">
        <w:t xml:space="preserve"> include</w:t>
      </w:r>
      <w:r w:rsidDel="00ED5704">
        <w:t xml:space="preserve"> </w:t>
      </w:r>
      <w:r w:rsidRPr="005B21A3">
        <w:t>commercial, financial, technical, legal, risk,</w:t>
      </w:r>
      <w:r>
        <w:t xml:space="preserve"> transaction,</w:t>
      </w:r>
      <w:r w:rsidRPr="005B21A3">
        <w:t xml:space="preserve"> </w:t>
      </w:r>
      <w:r>
        <w:t xml:space="preserve">probity </w:t>
      </w:r>
      <w:r w:rsidRPr="005B21A3">
        <w:t xml:space="preserve">and taxation </w:t>
      </w:r>
      <w:r>
        <w:t>advis</w:t>
      </w:r>
      <w:r w:rsidR="00ED5704">
        <w:t>e</w:t>
      </w:r>
      <w:r>
        <w:t>rs.</w:t>
      </w:r>
    </w:p>
    <w:p w14:paraId="21AFC44A" w14:textId="54B63C0C" w:rsidR="001718E3" w:rsidRDefault="00942998" w:rsidP="00834461">
      <w:pPr>
        <w:pStyle w:val="NormalIndent"/>
      </w:pPr>
      <w:r>
        <w:t>R</w:t>
      </w:r>
      <w:r w:rsidR="001718E3">
        <w:t xml:space="preserve">esourcing requirements for </w:t>
      </w:r>
      <w:hyperlink r:id="rId147" w:history="1">
        <w:r w:rsidR="00EE6C78" w:rsidRPr="00037647">
          <w:rPr>
            <w:rStyle w:val="Hyperlink"/>
          </w:rPr>
          <w:t>Partnerships Victoria</w:t>
        </w:r>
      </w:hyperlink>
      <w:r w:rsidR="00EE6C78">
        <w:t xml:space="preserve"> </w:t>
      </w:r>
      <w:r w:rsidR="001718E3">
        <w:t xml:space="preserve">and </w:t>
      </w:r>
      <w:hyperlink r:id="rId148" w:history="1">
        <w:r w:rsidR="00EE6C78" w:rsidRPr="00132400">
          <w:rPr>
            <w:rStyle w:val="Hyperlink"/>
          </w:rPr>
          <w:t>cost reimbursable procurement</w:t>
        </w:r>
      </w:hyperlink>
      <w:r w:rsidR="001718E3">
        <w:t>procurement models are available in the relevant requirements documents.</w:t>
      </w:r>
    </w:p>
    <w:p w14:paraId="2DC560FF" w14:textId="0358C6D5" w:rsidR="000472B4" w:rsidRDefault="000472B4" w:rsidP="001D2615">
      <w:pPr>
        <w:pStyle w:val="Heading4numbered"/>
      </w:pPr>
      <w:r>
        <w:t>Use of pre</w:t>
      </w:r>
      <w:r w:rsidR="00F6549D">
        <w:rPr>
          <w:rFonts w:hint="eastAsia"/>
        </w:rPr>
        <w:t>qualified</w:t>
      </w:r>
      <w:r>
        <w:t xml:space="preserve"> registers</w:t>
      </w:r>
    </w:p>
    <w:tbl>
      <w:tblPr>
        <w:tblStyle w:val="DTFtexttable"/>
        <w:tblW w:w="8190" w:type="dxa"/>
        <w:tblInd w:w="810" w:type="dxa"/>
        <w:tblBorders>
          <w:bottom w:val="none" w:sz="0" w:space="0" w:color="auto"/>
          <w:insideH w:val="none" w:sz="0" w:space="0" w:color="auto"/>
        </w:tblBorders>
        <w:shd w:val="clear" w:color="auto" w:fill="F2F2F2" w:themeFill="background1" w:themeFillShade="F2"/>
        <w:tblLayout w:type="fixed"/>
        <w:tblLook w:val="04A0" w:firstRow="1" w:lastRow="0" w:firstColumn="1" w:lastColumn="0" w:noHBand="0" w:noVBand="1"/>
      </w:tblPr>
      <w:tblGrid>
        <w:gridCol w:w="810"/>
        <w:gridCol w:w="7380"/>
      </w:tblGrid>
      <w:tr w:rsidR="00C25F58" w:rsidRPr="00003B28" w14:paraId="68DE91DF" w14:textId="77777777" w:rsidTr="0033748E">
        <w:trPr>
          <w:cnfStyle w:val="100000000000" w:firstRow="1" w:lastRow="0" w:firstColumn="0" w:lastColumn="0" w:oddVBand="0" w:evenVBand="0" w:oddHBand="0" w:evenHBand="0" w:firstRowFirstColumn="0" w:firstRowLastColumn="0" w:lastRowFirstColumn="0" w:lastRowLastColumn="0"/>
          <w:cantSplit w:val="0"/>
          <w:trHeight w:val="300"/>
        </w:trPr>
        <w:tc>
          <w:tcPr>
            <w:cnfStyle w:val="001000000100" w:firstRow="0" w:lastRow="0" w:firstColumn="1" w:lastColumn="0" w:oddVBand="0" w:evenVBand="0" w:oddHBand="0" w:evenHBand="0" w:firstRowFirstColumn="1" w:firstRowLastColumn="0" w:lastRowFirstColumn="0" w:lastRowLastColumn="0"/>
            <w:tcW w:w="810" w:type="dxa"/>
            <w:shd w:val="clear" w:color="auto" w:fill="F2F2F2" w:themeFill="background1" w:themeFillShade="F2"/>
            <w:hideMark/>
          </w:tcPr>
          <w:p w14:paraId="312863A3" w14:textId="5E124452" w:rsidR="00C25F58" w:rsidRPr="00245999" w:rsidRDefault="003E6536" w:rsidP="00F7602B">
            <w:pPr>
              <w:pStyle w:val="Tabletext"/>
              <w:ind w:right="7187"/>
              <w:rPr>
                <w:rFonts w:asciiTheme="minorHAnsi" w:hAnsiTheme="minorHAnsi"/>
              </w:rPr>
            </w:pPr>
            <w:r w:rsidRPr="00245999">
              <w:rPr>
                <w:noProof/>
              </w:rPr>
              <w:drawing>
                <wp:inline distT="0" distB="0" distL="0" distR="0" wp14:anchorId="7DD3DDB2" wp14:editId="3E007B70">
                  <wp:extent cx="371475" cy="278607"/>
                  <wp:effectExtent l="0" t="0" r="0" b="7620"/>
                  <wp:docPr id="40" name="Picture 4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380" w:type="dxa"/>
            <w:shd w:val="clear" w:color="auto" w:fill="F2F2F2" w:themeFill="background1" w:themeFillShade="F2"/>
            <w:hideMark/>
          </w:tcPr>
          <w:p w14:paraId="75832673" w14:textId="707C9CE4" w:rsidR="00C25F58" w:rsidRPr="003E6536" w:rsidRDefault="00D8530E" w:rsidP="0024599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w:t>
            </w:r>
            <w:r w:rsidR="00423D19">
              <w:rPr>
                <w:rFonts w:asciiTheme="minorHAnsi" w:hAnsiTheme="minorHAnsi"/>
              </w:rPr>
              <w:t xml:space="preserve">inisterial Direction and Instruction </w:t>
            </w:r>
            <w:r w:rsidR="00C25F58" w:rsidRPr="003E6536">
              <w:rPr>
                <w:rFonts w:asciiTheme="minorHAnsi" w:hAnsiTheme="minorHAnsi"/>
              </w:rPr>
              <w:t>6.1 notes:</w:t>
            </w:r>
          </w:p>
          <w:p w14:paraId="4366F97F" w14:textId="349CED63" w:rsidR="00C25F58" w:rsidRPr="00BE41D4" w:rsidRDefault="00C25F58" w:rsidP="001D2615">
            <w:pPr>
              <w:pStyle w:val="Tablebulle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20"/>
                <w:szCs w:val="20"/>
              </w:rPr>
            </w:pPr>
            <w:r w:rsidRPr="003E6536">
              <w:rPr>
                <w:rFonts w:asciiTheme="minorHAnsi" w:hAnsiTheme="minorHAnsi"/>
              </w:rPr>
              <w:t xml:space="preserve">When conducting a </w:t>
            </w:r>
            <w:r w:rsidR="00CB1FA7" w:rsidRPr="003E6536">
              <w:rPr>
                <w:rFonts w:asciiTheme="minorHAnsi" w:hAnsiTheme="minorHAnsi"/>
              </w:rPr>
              <w:t>s</w:t>
            </w:r>
            <w:r w:rsidRPr="003E6536">
              <w:rPr>
                <w:rFonts w:asciiTheme="minorHAnsi" w:hAnsiTheme="minorHAnsi"/>
              </w:rPr>
              <w:t xml:space="preserve">elective </w:t>
            </w:r>
            <w:r w:rsidR="00CB1FA7" w:rsidRPr="003E6536">
              <w:rPr>
                <w:rFonts w:asciiTheme="minorHAnsi" w:hAnsiTheme="minorHAnsi"/>
              </w:rPr>
              <w:t>t</w:t>
            </w:r>
            <w:r w:rsidRPr="003E6536">
              <w:rPr>
                <w:rFonts w:asciiTheme="minorHAnsi" w:hAnsiTheme="minorHAnsi"/>
              </w:rPr>
              <w:t xml:space="preserve">ender </w:t>
            </w:r>
            <w:r w:rsidR="00BA528A">
              <w:rPr>
                <w:rFonts w:asciiTheme="minorHAnsi" w:hAnsiTheme="minorHAnsi"/>
              </w:rPr>
              <w:t xml:space="preserve">process </w:t>
            </w:r>
            <w:r w:rsidR="00BA528A" w:rsidRPr="00C547BB">
              <w:rPr>
                <w:rFonts w:asciiTheme="minorHAnsi" w:hAnsiTheme="minorHAnsi"/>
              </w:rPr>
              <w:t>o</w:t>
            </w:r>
            <w:r w:rsidR="00BA528A" w:rsidRPr="0047136C">
              <w:rPr>
                <w:rFonts w:asciiTheme="minorHAnsi" w:hAnsiTheme="minorHAnsi"/>
              </w:rPr>
              <w:t>r</w:t>
            </w:r>
            <w:r w:rsidRPr="003E6536">
              <w:rPr>
                <w:rFonts w:asciiTheme="minorHAnsi" w:hAnsiTheme="minorHAnsi"/>
              </w:rPr>
              <w:t xml:space="preserve"> engaging a supplier from a </w:t>
            </w:r>
            <w:r w:rsidR="00CB1FA7" w:rsidRPr="003E6536">
              <w:rPr>
                <w:rFonts w:asciiTheme="minorHAnsi" w:hAnsiTheme="minorHAnsi"/>
              </w:rPr>
              <w:t>r</w:t>
            </w:r>
            <w:r w:rsidRPr="003E6536">
              <w:rPr>
                <w:rFonts w:asciiTheme="minorHAnsi" w:hAnsiTheme="minorHAnsi"/>
              </w:rPr>
              <w:t xml:space="preserve">egister or </w:t>
            </w:r>
            <w:r w:rsidR="00CB1FA7" w:rsidRPr="003E6536">
              <w:rPr>
                <w:rFonts w:asciiTheme="minorHAnsi" w:hAnsiTheme="minorHAnsi"/>
              </w:rPr>
              <w:t>s</w:t>
            </w:r>
            <w:r w:rsidRPr="003E6536">
              <w:rPr>
                <w:rFonts w:asciiTheme="minorHAnsi" w:hAnsiTheme="minorHAnsi"/>
              </w:rPr>
              <w:t xml:space="preserve">upplier </w:t>
            </w:r>
            <w:r w:rsidR="00CB1FA7" w:rsidRPr="003E6536">
              <w:rPr>
                <w:rFonts w:asciiTheme="minorHAnsi" w:hAnsiTheme="minorHAnsi"/>
              </w:rPr>
              <w:t>p</w:t>
            </w:r>
            <w:r w:rsidRPr="003E6536">
              <w:rPr>
                <w:rFonts w:asciiTheme="minorHAnsi" w:hAnsiTheme="minorHAnsi"/>
              </w:rPr>
              <w:t xml:space="preserve">anel to perform </w:t>
            </w:r>
            <w:r w:rsidR="00CB1FA7" w:rsidRPr="003E6536">
              <w:rPr>
                <w:rFonts w:asciiTheme="minorHAnsi" w:hAnsiTheme="minorHAnsi"/>
              </w:rPr>
              <w:t>w</w:t>
            </w:r>
            <w:r w:rsidRPr="003E6536">
              <w:rPr>
                <w:rFonts w:asciiTheme="minorHAnsi" w:hAnsiTheme="minorHAnsi"/>
              </w:rPr>
              <w:t xml:space="preserve">orks or </w:t>
            </w:r>
            <w:r w:rsidR="00CB1FA7" w:rsidRPr="003E6536">
              <w:rPr>
                <w:rFonts w:asciiTheme="minorHAnsi" w:hAnsiTheme="minorHAnsi"/>
              </w:rPr>
              <w:t>c</w:t>
            </w:r>
            <w:r w:rsidRPr="003E6536">
              <w:rPr>
                <w:rFonts w:asciiTheme="minorHAnsi" w:hAnsiTheme="minorHAnsi"/>
              </w:rPr>
              <w:t xml:space="preserve">onstruction </w:t>
            </w:r>
            <w:r w:rsidR="00CB1FA7" w:rsidRPr="003E6536">
              <w:rPr>
                <w:rFonts w:asciiTheme="minorHAnsi" w:hAnsiTheme="minorHAnsi"/>
              </w:rPr>
              <w:t>s</w:t>
            </w:r>
            <w:r w:rsidRPr="003E6536">
              <w:rPr>
                <w:rFonts w:asciiTheme="minorHAnsi" w:hAnsiTheme="minorHAnsi"/>
              </w:rPr>
              <w:t xml:space="preserve">ervices, </w:t>
            </w:r>
            <w:r w:rsidR="0025066A">
              <w:rPr>
                <w:rFonts w:asciiTheme="minorHAnsi" w:hAnsiTheme="minorHAnsi"/>
              </w:rPr>
              <w:t>a</w:t>
            </w:r>
            <w:r w:rsidR="0025066A" w:rsidRPr="003E6536">
              <w:rPr>
                <w:rFonts w:asciiTheme="minorHAnsi" w:hAnsiTheme="minorHAnsi"/>
              </w:rPr>
              <w:t xml:space="preserve">gencies </w:t>
            </w:r>
            <w:r w:rsidRPr="003E6536">
              <w:rPr>
                <w:rFonts w:asciiTheme="minorHAnsi" w:hAnsiTheme="minorHAnsi"/>
              </w:rPr>
              <w:t xml:space="preserve">must use a </w:t>
            </w:r>
            <w:r w:rsidR="0025066A">
              <w:rPr>
                <w:rFonts w:asciiTheme="minorHAnsi" w:hAnsiTheme="minorHAnsi"/>
              </w:rPr>
              <w:t>r</w:t>
            </w:r>
            <w:r w:rsidRPr="003E6536">
              <w:rPr>
                <w:rFonts w:asciiTheme="minorHAnsi" w:hAnsiTheme="minorHAnsi"/>
              </w:rPr>
              <w:t xml:space="preserve">egister or </w:t>
            </w:r>
            <w:r w:rsidR="0025066A">
              <w:rPr>
                <w:rFonts w:asciiTheme="minorHAnsi" w:hAnsiTheme="minorHAnsi"/>
              </w:rPr>
              <w:t>s</w:t>
            </w:r>
            <w:r w:rsidRPr="003E6536">
              <w:rPr>
                <w:rFonts w:asciiTheme="minorHAnsi" w:hAnsiTheme="minorHAnsi"/>
              </w:rPr>
              <w:t xml:space="preserve">upplier </w:t>
            </w:r>
            <w:r w:rsidR="0025066A">
              <w:rPr>
                <w:rFonts w:asciiTheme="minorHAnsi" w:hAnsiTheme="minorHAnsi"/>
              </w:rPr>
              <w:t>p</w:t>
            </w:r>
            <w:r w:rsidRPr="003E6536">
              <w:rPr>
                <w:rFonts w:asciiTheme="minorHAnsi" w:hAnsiTheme="minorHAnsi"/>
              </w:rPr>
              <w:t xml:space="preserve">anel established and operated in accordance with the </w:t>
            </w:r>
            <w:r w:rsidR="00230FA8">
              <w:rPr>
                <w:rFonts w:asciiTheme="minorHAnsi" w:hAnsiTheme="minorHAnsi"/>
              </w:rPr>
              <w:t>I</w:t>
            </w:r>
            <w:r w:rsidRPr="003E6536">
              <w:rPr>
                <w:rFonts w:asciiTheme="minorHAnsi" w:hAnsiTheme="minorHAnsi"/>
              </w:rPr>
              <w:t>nstructions.</w:t>
            </w:r>
          </w:p>
          <w:p w14:paraId="607E5061" w14:textId="73D2C012" w:rsidR="00C25F58" w:rsidRPr="00245999" w:rsidRDefault="00C25F58" w:rsidP="001D2615">
            <w:pPr>
              <w:pStyle w:val="Tablebulle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E6536">
              <w:rPr>
                <w:rFonts w:asciiTheme="minorHAnsi" w:hAnsiTheme="minorHAnsi"/>
              </w:rPr>
              <w:t xml:space="preserve">Agencies may only establish, operate and use a </w:t>
            </w:r>
            <w:r w:rsidR="00CB1FA7" w:rsidRPr="003E6536">
              <w:rPr>
                <w:rFonts w:asciiTheme="minorHAnsi" w:hAnsiTheme="minorHAnsi"/>
              </w:rPr>
              <w:t>r</w:t>
            </w:r>
            <w:r w:rsidRPr="003E6536">
              <w:rPr>
                <w:rFonts w:asciiTheme="minorHAnsi" w:hAnsiTheme="minorHAnsi"/>
              </w:rPr>
              <w:t xml:space="preserve">egister with the prior approval of the </w:t>
            </w:r>
            <w:r w:rsidR="0025066A">
              <w:rPr>
                <w:rFonts w:asciiTheme="minorHAnsi" w:hAnsiTheme="minorHAnsi"/>
              </w:rPr>
              <w:t xml:space="preserve">department </w:t>
            </w:r>
            <w:r w:rsidRPr="003E6536">
              <w:rPr>
                <w:rFonts w:asciiTheme="minorHAnsi" w:hAnsiTheme="minorHAnsi"/>
              </w:rPr>
              <w:t>Secretary</w:t>
            </w:r>
            <w:r w:rsidR="0025066A">
              <w:rPr>
                <w:rFonts w:asciiTheme="minorHAnsi" w:hAnsiTheme="minorHAnsi"/>
              </w:rPr>
              <w:t>,</w:t>
            </w:r>
            <w:r w:rsidRPr="003E6536">
              <w:rPr>
                <w:rFonts w:asciiTheme="minorHAnsi" w:hAnsiTheme="minorHAnsi"/>
              </w:rPr>
              <w:t xml:space="preserve"> as set out in the </w:t>
            </w:r>
            <w:r w:rsidR="00230FA8">
              <w:rPr>
                <w:rFonts w:asciiTheme="minorHAnsi" w:hAnsiTheme="minorHAnsi"/>
              </w:rPr>
              <w:t>I</w:t>
            </w:r>
            <w:r w:rsidR="0025066A" w:rsidRPr="003E6536">
              <w:rPr>
                <w:rFonts w:asciiTheme="minorHAnsi" w:hAnsiTheme="minorHAnsi"/>
              </w:rPr>
              <w:t>nstructions</w:t>
            </w:r>
            <w:r w:rsidRPr="003E6536">
              <w:rPr>
                <w:rFonts w:asciiTheme="minorHAnsi" w:hAnsiTheme="minorHAnsi"/>
              </w:rPr>
              <w:t>.</w:t>
            </w:r>
          </w:p>
        </w:tc>
      </w:tr>
    </w:tbl>
    <w:p w14:paraId="7B8BEB57" w14:textId="779BCA24" w:rsidR="009522E1" w:rsidRDefault="009522E1" w:rsidP="00834461">
      <w:pPr>
        <w:pStyle w:val="NormalIndent"/>
      </w:pPr>
      <w:r w:rsidRPr="00387024">
        <w:t>Pre</w:t>
      </w:r>
      <w:r w:rsidR="00F6549D">
        <w:rPr>
          <w:rFonts w:hint="eastAsia"/>
        </w:rPr>
        <w:t>qualified</w:t>
      </w:r>
      <w:r>
        <w:t xml:space="preserve"> </w:t>
      </w:r>
      <w:r w:rsidR="00804942">
        <w:t>advis</w:t>
      </w:r>
      <w:r w:rsidR="00ED5704">
        <w:t>e</w:t>
      </w:r>
      <w:r w:rsidR="00804942">
        <w:t>rs</w:t>
      </w:r>
      <w:r>
        <w:t xml:space="preserve"> </w:t>
      </w:r>
      <w:r w:rsidRPr="00387024">
        <w:t xml:space="preserve">can be used where appropriate to </w:t>
      </w:r>
      <w:r>
        <w:t>supplement agency capacity in managing procurement</w:t>
      </w:r>
      <w:r w:rsidRPr="00387024">
        <w:t>.</w:t>
      </w:r>
    </w:p>
    <w:p w14:paraId="41D06FB4" w14:textId="2BDE4D7C" w:rsidR="009522E1" w:rsidRPr="005B21A3" w:rsidRDefault="009522E1" w:rsidP="00834461">
      <w:pPr>
        <w:pStyle w:val="NormalIndent"/>
      </w:pPr>
      <w:r>
        <w:t>Government practitioners can use t</w:t>
      </w:r>
      <w:r w:rsidRPr="005B21A3">
        <w:t>hese registers to efficiently identify and engage experienced and appropriate advisers.</w:t>
      </w:r>
    </w:p>
    <w:p w14:paraId="745A130C" w14:textId="54F06AE5" w:rsidR="009522E1" w:rsidRPr="00844D2C" w:rsidRDefault="009522E1" w:rsidP="00834461">
      <w:pPr>
        <w:pStyle w:val="NormalIndent"/>
      </w:pPr>
      <w:r w:rsidRPr="005B21A3">
        <w:t xml:space="preserve">The </w:t>
      </w:r>
      <w:r w:rsidR="0025066A">
        <w:t>C</w:t>
      </w:r>
      <w:r w:rsidRPr="005B21A3">
        <w:t xml:space="preserve">onstruction </w:t>
      </w:r>
      <w:r w:rsidR="0025066A">
        <w:t>S</w:t>
      </w:r>
      <w:r w:rsidR="0025066A" w:rsidRPr="005B21A3">
        <w:t xml:space="preserve">upplier </w:t>
      </w:r>
      <w:r w:rsidR="0025066A">
        <w:t>R</w:t>
      </w:r>
      <w:r w:rsidR="0025066A" w:rsidRPr="005B21A3">
        <w:t xml:space="preserve">egister </w:t>
      </w:r>
      <w:r w:rsidRPr="005B21A3">
        <w:t>is a pre</w:t>
      </w:r>
      <w:r w:rsidR="00F6549D">
        <w:rPr>
          <w:rFonts w:hint="eastAsia"/>
        </w:rPr>
        <w:t>qualification</w:t>
      </w:r>
      <w:r w:rsidRPr="005B21A3">
        <w:t xml:space="preserve"> scheme for building and construction industry consultants and contractors</w:t>
      </w:r>
      <w:r>
        <w:t xml:space="preserve">. It is </w:t>
      </w:r>
      <w:r w:rsidRPr="005B21A3">
        <w:t xml:space="preserve">managed by </w:t>
      </w:r>
      <w:r>
        <w:t>DTF and includes categories for a range of technical advis</w:t>
      </w:r>
      <w:r w:rsidR="00ED5704">
        <w:t>e</w:t>
      </w:r>
      <w:r>
        <w:t xml:space="preserve">rs. </w:t>
      </w:r>
      <w:r w:rsidRPr="005B21A3">
        <w:t xml:space="preserve">Further information is available </w:t>
      </w:r>
      <w:r w:rsidR="00654D7B">
        <w:t>on the DTF website at</w:t>
      </w:r>
      <w:r w:rsidR="00ED5704">
        <w:t>:</w:t>
      </w:r>
      <w:r w:rsidRPr="005B21A3">
        <w:t xml:space="preserve"> </w:t>
      </w:r>
      <w:hyperlink r:id="rId149" w:history="1">
        <w:r w:rsidR="00DD7231">
          <w:rPr>
            <w:rStyle w:val="Hyperlink"/>
          </w:rPr>
          <w:t>https://www.dtf.vic.gov.au/infrastructure-investment/construction-supplier-register</w:t>
        </w:r>
      </w:hyperlink>
      <w:r>
        <w:t>.</w:t>
      </w:r>
    </w:p>
    <w:p w14:paraId="3E999837" w14:textId="33D6593B" w:rsidR="009522E1" w:rsidRPr="005B21A3" w:rsidRDefault="009522E1" w:rsidP="0072412B">
      <w:pPr>
        <w:pStyle w:val="NormalIndent"/>
        <w:keepNext/>
        <w:ind w:right="116"/>
      </w:pPr>
      <w:r w:rsidRPr="005B21A3">
        <w:t xml:space="preserve">The Victorian Government Purchasing Board supports </w:t>
      </w:r>
      <w:r w:rsidR="00654D7B">
        <w:t>a number of</w:t>
      </w:r>
      <w:r w:rsidR="00654D7B" w:rsidRPr="005B21A3">
        <w:t xml:space="preserve"> </w:t>
      </w:r>
      <w:r w:rsidR="00ED5704">
        <w:t>s</w:t>
      </w:r>
      <w:r>
        <w:t xml:space="preserve">tate </w:t>
      </w:r>
      <w:r w:rsidR="00ED5704">
        <w:t>p</w:t>
      </w:r>
      <w:r>
        <w:t>urchas</w:t>
      </w:r>
      <w:r w:rsidR="00786CD6">
        <w:t>ing</w:t>
      </w:r>
      <w:r>
        <w:t xml:space="preserve"> contracts and</w:t>
      </w:r>
      <w:r w:rsidRPr="005B21A3">
        <w:t xml:space="preserve"> registers</w:t>
      </w:r>
      <w:r>
        <w:t xml:space="preserve"> that could be used to engage project consultants</w:t>
      </w:r>
      <w:r w:rsidRPr="005B21A3">
        <w:t>:</w:t>
      </w:r>
    </w:p>
    <w:p w14:paraId="25713C57" w14:textId="355A5C4B" w:rsidR="009522E1" w:rsidRPr="005B21A3" w:rsidRDefault="00654D7B" w:rsidP="001D2615">
      <w:pPr>
        <w:pStyle w:val="Bulletindent"/>
      </w:pPr>
      <w:r w:rsidRPr="00F97F3F">
        <w:t xml:space="preserve">the </w:t>
      </w:r>
      <w:r w:rsidR="70AB4104" w:rsidRPr="76AB2BEA">
        <w:rPr>
          <w:b/>
          <w:bCs/>
        </w:rPr>
        <w:t>Professional Advisory Services Panel</w:t>
      </w:r>
      <w:r w:rsidR="00ED5704">
        <w:t xml:space="preserve"> </w:t>
      </w:r>
      <w:r w:rsidR="70AB4104">
        <w:t xml:space="preserve">includes consultants experienced in strategic </w:t>
      </w:r>
      <w:r>
        <w:t xml:space="preserve">project </w:t>
      </w:r>
      <w:r w:rsidR="70AB4104">
        <w:t>development, business case development, procurement, project auditing, project management and commercial advice</w:t>
      </w:r>
    </w:p>
    <w:p w14:paraId="04249E97" w14:textId="669379B8" w:rsidR="009522E1" w:rsidRDefault="00654D7B" w:rsidP="001D2615">
      <w:pPr>
        <w:pStyle w:val="Bulletindent"/>
      </w:pPr>
      <w:r w:rsidRPr="00E5770A">
        <w:t xml:space="preserve">the </w:t>
      </w:r>
      <w:r w:rsidR="70AB4104" w:rsidRPr="76AB2BEA">
        <w:rPr>
          <w:b/>
          <w:bCs/>
        </w:rPr>
        <w:t>Legal Services Panel</w:t>
      </w:r>
      <w:r w:rsidR="00ED5704">
        <w:t xml:space="preserve"> </w:t>
      </w:r>
      <w:r w:rsidR="70AB4104">
        <w:t>provides a range of legal services</w:t>
      </w:r>
      <w:r>
        <w:t>,</w:t>
      </w:r>
      <w:r w:rsidR="70AB4104">
        <w:t xml:space="preserve"> including for commercial projects</w:t>
      </w:r>
    </w:p>
    <w:p w14:paraId="0BE4B730" w14:textId="42B164D4" w:rsidR="009522E1" w:rsidRDefault="00654D7B" w:rsidP="001D2615">
      <w:pPr>
        <w:pStyle w:val="Bulletindent"/>
      </w:pPr>
      <w:r w:rsidRPr="00E5770A">
        <w:t xml:space="preserve">the </w:t>
      </w:r>
      <w:r w:rsidR="70AB4104" w:rsidRPr="76AB2BEA">
        <w:rPr>
          <w:b/>
          <w:bCs/>
        </w:rPr>
        <w:t>Geospatial Data and Analytics Panel</w:t>
      </w:r>
      <w:r w:rsidR="00ED5704">
        <w:t xml:space="preserve"> </w:t>
      </w:r>
      <w:r w:rsidR="70AB4104" w:rsidDel="00ED5704">
        <w:t>p</w:t>
      </w:r>
      <w:r w:rsidR="70AB4104">
        <w:t>rovides geospatial imagery, elevation and analytical products and services.</w:t>
      </w:r>
    </w:p>
    <w:p w14:paraId="67856EEC" w14:textId="06DA49F6" w:rsidR="00C70217" w:rsidRDefault="00C70217" w:rsidP="0033748E">
      <w:pPr>
        <w:pStyle w:val="Bullet2"/>
        <w:numPr>
          <w:ilvl w:val="0"/>
          <w:numId w:val="0"/>
        </w:numPr>
        <w:ind w:left="360"/>
      </w:pPr>
      <w:r>
        <w:t xml:space="preserve">Further information is available </w:t>
      </w:r>
      <w:r w:rsidR="00D84EBE">
        <w:t xml:space="preserve">on the Buying for Victoria website at: </w:t>
      </w:r>
      <w:r w:rsidR="00D84EBE" w:rsidRPr="00D84EBE">
        <w:t>https://www.buyingfor.vic.gov.au/victorian-government-purchasing-board-vgpb</w:t>
      </w:r>
      <w:r>
        <w:t xml:space="preserve"> </w:t>
      </w:r>
    </w:p>
    <w:p w14:paraId="605465FB" w14:textId="62EC1C2C" w:rsidR="009522E1" w:rsidRPr="00387024" w:rsidRDefault="009522E1" w:rsidP="001D2615">
      <w:pPr>
        <w:pStyle w:val="Heading2numbered"/>
      </w:pPr>
      <w:bookmarkStart w:id="375" w:name="_Ref144388261"/>
      <w:bookmarkStart w:id="376" w:name="_Toc161321770"/>
      <w:r w:rsidRPr="00387024">
        <w:t xml:space="preserve">The </w:t>
      </w:r>
      <w:r>
        <w:t>procurement p</w:t>
      </w:r>
      <w:r w:rsidRPr="00387024">
        <w:t>lan</w:t>
      </w:r>
      <w:bookmarkEnd w:id="375"/>
      <w:bookmarkEnd w:id="376"/>
    </w:p>
    <w:p w14:paraId="20D93B35" w14:textId="4C9D04E8" w:rsidR="009522E1" w:rsidRDefault="00D84EBE" w:rsidP="00834461">
      <w:pPr>
        <w:pStyle w:val="NormalIndent"/>
      </w:pPr>
      <w:r>
        <w:t>A</w:t>
      </w:r>
      <w:r w:rsidR="009522E1" w:rsidRPr="00387024">
        <w:t xml:space="preserve">gencies </w:t>
      </w:r>
      <w:r w:rsidR="009522E1">
        <w:t>should</w:t>
      </w:r>
      <w:r w:rsidR="009522E1" w:rsidRPr="00387024">
        <w:t xml:space="preserve"> develop a </w:t>
      </w:r>
      <w:r w:rsidR="009522E1">
        <w:t>procurement</w:t>
      </w:r>
      <w:r w:rsidR="009522E1" w:rsidRPr="00387024">
        <w:t xml:space="preserve"> plan to guide </w:t>
      </w:r>
      <w:r w:rsidR="00654D7B">
        <w:t>the</w:t>
      </w:r>
      <w:r w:rsidR="009522E1" w:rsidRPr="00387024">
        <w:t xml:space="preserve"> procurement</w:t>
      </w:r>
      <w:r w:rsidR="00654D7B">
        <w:t>,</w:t>
      </w:r>
      <w:r w:rsidR="009522E1" w:rsidRPr="00387024">
        <w:t xml:space="preserve"> from tender development, through contract award, </w:t>
      </w:r>
      <w:r w:rsidR="00654D7B">
        <w:t xml:space="preserve">to </w:t>
      </w:r>
      <w:r w:rsidR="009522E1" w:rsidRPr="00387024">
        <w:t>commissioning, transition-in</w:t>
      </w:r>
      <w:r w:rsidR="00654D7B">
        <w:t>,</w:t>
      </w:r>
      <w:r w:rsidR="009522E1" w:rsidRPr="00387024">
        <w:t xml:space="preserve"> and establish</w:t>
      </w:r>
      <w:r w:rsidR="00654D7B">
        <w:t>ing</w:t>
      </w:r>
      <w:r w:rsidR="009522E1" w:rsidRPr="00387024">
        <w:t xml:space="preserve"> operations and maintenance.</w:t>
      </w:r>
    </w:p>
    <w:p w14:paraId="48C11EBE" w14:textId="1F5C61C0" w:rsidR="009522E1" w:rsidRPr="00387024" w:rsidRDefault="009522E1" w:rsidP="00834461">
      <w:pPr>
        <w:pStyle w:val="NormalIndent"/>
      </w:pPr>
      <w:r w:rsidRPr="00387024">
        <w:t xml:space="preserve">A </w:t>
      </w:r>
      <w:r w:rsidRPr="007067D3">
        <w:t>procurement plan</w:t>
      </w:r>
      <w:r w:rsidRPr="00387024">
        <w:t xml:space="preserve"> is developed after funding approval</w:t>
      </w:r>
      <w:r>
        <w:t xml:space="preserve">. It </w:t>
      </w:r>
      <w:r w:rsidRPr="00387024">
        <w:t xml:space="preserve">should be </w:t>
      </w:r>
      <w:r w:rsidR="00654D7B">
        <w:t>based on</w:t>
      </w:r>
      <w:r w:rsidRPr="00387024">
        <w:t xml:space="preserve"> the procurement strategy</w:t>
      </w:r>
      <w:r>
        <w:t xml:space="preserve"> </w:t>
      </w:r>
      <w:r w:rsidRPr="00387024">
        <w:t>and be continuously improved and amended throughout project delivery to reflect changes in the delivery environment.</w:t>
      </w:r>
    </w:p>
    <w:p w14:paraId="33C54B98" w14:textId="77777777" w:rsidR="009522E1" w:rsidRPr="00387024" w:rsidRDefault="009522E1" w:rsidP="001D2615">
      <w:pPr>
        <w:pStyle w:val="Heading3numbered"/>
      </w:pPr>
      <w:r>
        <w:t>Confirming the procurement decision</w:t>
      </w:r>
    </w:p>
    <w:p w14:paraId="32F1E7A0" w14:textId="1FFD1B2E" w:rsidR="009522E1" w:rsidRDefault="009522E1" w:rsidP="00834461">
      <w:pPr>
        <w:pStyle w:val="NormalIndent"/>
      </w:pPr>
      <w:r w:rsidRPr="00387024">
        <w:t>The first step in developing a procurement plan is review</w:t>
      </w:r>
      <w:r w:rsidR="00654D7B">
        <w:t>ing</w:t>
      </w:r>
      <w:r w:rsidRPr="00387024">
        <w:t xml:space="preserve"> the project business case and procurement strategy</w:t>
      </w:r>
      <w:r w:rsidR="00ED5704">
        <w:t xml:space="preserve">. </w:t>
      </w:r>
      <w:r w:rsidR="00654D7B">
        <w:t>It</w:t>
      </w:r>
      <w:r w:rsidR="00ED5704">
        <w:t xml:space="preserve"> is essential </w:t>
      </w:r>
      <w:r w:rsidR="00654D7B">
        <w:t>to</w:t>
      </w:r>
      <w:r w:rsidR="00ED5704">
        <w:t xml:space="preserve"> </w:t>
      </w:r>
      <w:r w:rsidRPr="00387024">
        <w:t xml:space="preserve">reassess and reconfirm the validity of the procurement decision. This stage is particularly </w:t>
      </w:r>
      <w:r w:rsidR="00654D7B">
        <w:t>important wh</w:t>
      </w:r>
      <w:r w:rsidRPr="00387024">
        <w:t>e</w:t>
      </w:r>
      <w:r w:rsidR="00654D7B">
        <w:t>n</w:t>
      </w:r>
      <w:r w:rsidRPr="00387024">
        <w:t xml:space="preserve"> the procurement team differs from the business case development team.</w:t>
      </w:r>
    </w:p>
    <w:p w14:paraId="054FC410" w14:textId="3DC6711C" w:rsidR="009522E1" w:rsidRPr="00BE41D4" w:rsidRDefault="00654D7B" w:rsidP="00834461">
      <w:pPr>
        <w:pStyle w:val="NormalIndent"/>
      </w:pPr>
      <w:r>
        <w:t>T</w:t>
      </w:r>
      <w:r w:rsidR="009522E1" w:rsidRPr="00BE41D4">
        <w:t xml:space="preserve">he procurement team </w:t>
      </w:r>
      <w:r>
        <w:t xml:space="preserve">may </w:t>
      </w:r>
      <w:r w:rsidRPr="00BE41D4">
        <w:t>de</w:t>
      </w:r>
      <w:r>
        <w:t>termine</w:t>
      </w:r>
      <w:r w:rsidRPr="00BE41D4">
        <w:t xml:space="preserve"> </w:t>
      </w:r>
      <w:r w:rsidR="009522E1" w:rsidRPr="00BE41D4">
        <w:t xml:space="preserve">that </w:t>
      </w:r>
      <w:r>
        <w:t>a different</w:t>
      </w:r>
      <w:r w:rsidR="009522E1" w:rsidRPr="00BE41D4">
        <w:t xml:space="preserve"> procurement approach</w:t>
      </w:r>
      <w:r>
        <w:t xml:space="preserve"> is required</w:t>
      </w:r>
      <w:r w:rsidR="009522E1" w:rsidRPr="00BE41D4">
        <w:t xml:space="preserve"> </w:t>
      </w:r>
      <w:r>
        <w:t xml:space="preserve">than </w:t>
      </w:r>
      <w:r w:rsidRPr="00BE41D4">
        <w:t xml:space="preserve">the </w:t>
      </w:r>
      <w:r>
        <w:t>approach</w:t>
      </w:r>
      <w:r w:rsidRPr="00BE41D4">
        <w:t xml:space="preserve"> identified in the business case</w:t>
      </w:r>
      <w:r>
        <w:t xml:space="preserve">. The team should document </w:t>
      </w:r>
      <w:r w:rsidR="009522E1" w:rsidRPr="00BE41D4">
        <w:t>the justification for taking a different approach</w:t>
      </w:r>
      <w:r w:rsidR="00817AC0">
        <w:t>,</w:t>
      </w:r>
      <w:r w:rsidR="009522E1" w:rsidRPr="00BE41D4">
        <w:t xml:space="preserve"> </w:t>
      </w:r>
      <w:r w:rsidR="009522E1">
        <w:t>address</w:t>
      </w:r>
      <w:r w:rsidR="00817AC0">
        <w:t>ing</w:t>
      </w:r>
      <w:r w:rsidR="009522E1" w:rsidRPr="00BE41D4">
        <w:t xml:space="preserve"> what has changed since the procurement strategy was developed</w:t>
      </w:r>
      <w:r w:rsidR="009522E1">
        <w:t>.</w:t>
      </w:r>
    </w:p>
    <w:p w14:paraId="6021529B" w14:textId="0872DC77" w:rsidR="009522E1" w:rsidRPr="00387024" w:rsidRDefault="009522E1" w:rsidP="00834461">
      <w:pPr>
        <w:pStyle w:val="NormalIndent"/>
      </w:pPr>
      <w:r w:rsidRPr="00BE41D4">
        <w:t xml:space="preserve">Appropriate government approval </w:t>
      </w:r>
      <w:r w:rsidR="00ED5704">
        <w:t>is</w:t>
      </w:r>
      <w:r w:rsidRPr="00BE41D4">
        <w:t xml:space="preserve"> required before the procurement can commence using an alternative approach.</w:t>
      </w:r>
    </w:p>
    <w:p w14:paraId="796AF85F" w14:textId="77777777" w:rsidR="009522E1" w:rsidRPr="00387024" w:rsidRDefault="009522E1" w:rsidP="001D2615">
      <w:pPr>
        <w:pStyle w:val="Heading3numbered"/>
      </w:pPr>
      <w:r>
        <w:t xml:space="preserve">Preparing </w:t>
      </w:r>
      <w:r w:rsidRPr="00387024">
        <w:t>the procurement plan</w:t>
      </w:r>
    </w:p>
    <w:p w14:paraId="515DCC71" w14:textId="383B9079" w:rsidR="009522E1" w:rsidRPr="00387024" w:rsidRDefault="009522E1" w:rsidP="003E6536">
      <w:pPr>
        <w:pStyle w:val="NormalIndent"/>
        <w:keepNext/>
      </w:pPr>
      <w:r w:rsidRPr="00387024">
        <w:t>There is no one-size-fits-all procurement plan</w:t>
      </w:r>
      <w:r w:rsidR="00882AF0">
        <w:t xml:space="preserve"> –</w:t>
      </w:r>
      <w:r w:rsidRPr="00387024">
        <w:t xml:space="preserve"> </w:t>
      </w:r>
      <w:r w:rsidR="00882AF0">
        <w:t>c</w:t>
      </w:r>
      <w:r w:rsidRPr="00387024">
        <w:t xml:space="preserve">ontent </w:t>
      </w:r>
      <w:r w:rsidR="00ED5704">
        <w:t>is</w:t>
      </w:r>
      <w:r w:rsidR="00ED5704" w:rsidRPr="00387024">
        <w:t xml:space="preserve"> </w:t>
      </w:r>
      <w:r w:rsidRPr="00387024" w:rsidDel="00ED5704">
        <w:t>project</w:t>
      </w:r>
      <w:r w:rsidR="00ED5704" w:rsidRPr="00387024">
        <w:t xml:space="preserve"> dependent</w:t>
      </w:r>
      <w:r w:rsidRPr="00387024">
        <w:t xml:space="preserve">. </w:t>
      </w:r>
      <w:r w:rsidR="00ED5704">
        <w:t>In genera</w:t>
      </w:r>
      <w:r w:rsidR="00BE57D8">
        <w:t>l</w:t>
      </w:r>
      <w:r w:rsidR="00F1225E">
        <w:t xml:space="preserve">, </w:t>
      </w:r>
      <w:r w:rsidR="00ED5704">
        <w:t>s</w:t>
      </w:r>
      <w:r w:rsidRPr="00387024">
        <w:t>ome important</w:t>
      </w:r>
      <w:r>
        <w:t xml:space="preserve"> i</w:t>
      </w:r>
      <w:r w:rsidRPr="00387024">
        <w:t>nclusions are:</w:t>
      </w:r>
    </w:p>
    <w:p w14:paraId="4B7C0484" w14:textId="79C2A31D" w:rsidR="009522E1" w:rsidRPr="00CC511A" w:rsidRDefault="5BC5F207" w:rsidP="001D2615">
      <w:pPr>
        <w:pStyle w:val="Bulletindent"/>
        <w:keepNext/>
      </w:pPr>
      <w:r>
        <w:t>confirmation of procurement methodology</w:t>
      </w:r>
    </w:p>
    <w:p w14:paraId="61A4AD6C" w14:textId="5FDBAA5D" w:rsidR="009522E1" w:rsidRPr="00CC511A" w:rsidRDefault="5BC5F207" w:rsidP="001D2615">
      <w:pPr>
        <w:pStyle w:val="Bulletindent"/>
      </w:pPr>
      <w:r>
        <w:t>project overview and objectives</w:t>
      </w:r>
    </w:p>
    <w:p w14:paraId="319C0974" w14:textId="03CC2DD6" w:rsidR="009522E1" w:rsidRPr="00CC511A" w:rsidRDefault="5BC5F207" w:rsidP="001D2615">
      <w:pPr>
        <w:pStyle w:val="Bulletindent"/>
      </w:pPr>
      <w:r>
        <w:t>project budget, funding and approvals</w:t>
      </w:r>
    </w:p>
    <w:p w14:paraId="14CB9429" w14:textId="509CEE99" w:rsidR="009522E1" w:rsidRPr="00CC511A" w:rsidRDefault="5BC5F207" w:rsidP="001D2615">
      <w:pPr>
        <w:pStyle w:val="Bulletindent"/>
      </w:pPr>
      <w:r>
        <w:t>governance and resourcing for procurement</w:t>
      </w:r>
    </w:p>
    <w:p w14:paraId="6B1400F7" w14:textId="696009CF" w:rsidR="009522E1" w:rsidRPr="00CC511A" w:rsidRDefault="5BC5F207" w:rsidP="001D2615">
      <w:pPr>
        <w:pStyle w:val="Bulletindent"/>
      </w:pPr>
      <w:r>
        <w:t>tender engagement strategy</w:t>
      </w:r>
    </w:p>
    <w:p w14:paraId="750A00AF" w14:textId="7FDBA0FF" w:rsidR="009522E1" w:rsidRPr="00CC511A" w:rsidRDefault="5BC5F207" w:rsidP="001D2615">
      <w:pPr>
        <w:pStyle w:val="Bulletindent"/>
      </w:pPr>
      <w:r w:rsidRPr="76AB2BEA">
        <w:rPr>
          <w:rFonts w:ascii="VIC" w:hAnsi="VIC"/>
        </w:rPr>
        <w:t>risk management</w:t>
      </w:r>
    </w:p>
    <w:p w14:paraId="01E9ABF0" w14:textId="2F801155" w:rsidR="009522E1" w:rsidRPr="00CC511A" w:rsidRDefault="5BC5F207" w:rsidP="001D2615">
      <w:pPr>
        <w:pStyle w:val="Bulletindent"/>
      </w:pPr>
      <w:r w:rsidRPr="76AB2BEA">
        <w:rPr>
          <w:rFonts w:ascii="VIC" w:hAnsi="VIC"/>
        </w:rPr>
        <w:t>probity</w:t>
      </w:r>
    </w:p>
    <w:p w14:paraId="03C152D6" w14:textId="1E3C1602" w:rsidR="009522E1" w:rsidRPr="00CC511A" w:rsidRDefault="428B2489" w:rsidP="001D2615">
      <w:pPr>
        <w:pStyle w:val="Bulletindent"/>
      </w:pPr>
      <w:r w:rsidRPr="76AB2BEA">
        <w:rPr>
          <w:rFonts w:ascii="VIC" w:hAnsi="VIC"/>
        </w:rPr>
        <w:t>m</w:t>
      </w:r>
      <w:r w:rsidR="5BC5F207" w:rsidRPr="76AB2BEA">
        <w:rPr>
          <w:rFonts w:ascii="VIC" w:hAnsi="VIC"/>
        </w:rPr>
        <w:t xml:space="preserve">arket </w:t>
      </w:r>
      <w:r w:rsidR="2DD71A40" w:rsidRPr="76AB2BEA">
        <w:rPr>
          <w:rFonts w:ascii="VIC" w:hAnsi="VIC"/>
        </w:rPr>
        <w:t>consultation</w:t>
      </w:r>
      <w:r w:rsidR="5BC5F207" w:rsidRPr="76AB2BEA">
        <w:rPr>
          <w:rFonts w:ascii="VIC" w:hAnsi="VIC"/>
        </w:rPr>
        <w:t xml:space="preserve"> and stakeholder engagement</w:t>
      </w:r>
    </w:p>
    <w:p w14:paraId="1074700C" w14:textId="34988D26" w:rsidR="009522E1" w:rsidRPr="00CC511A" w:rsidRDefault="6D525D60" w:rsidP="001D2615">
      <w:pPr>
        <w:pStyle w:val="Bulletindent"/>
      </w:pPr>
      <w:r>
        <w:t xml:space="preserve">due diligence and </w:t>
      </w:r>
      <w:r w:rsidR="5BC5F207">
        <w:t>project documentation</w:t>
      </w:r>
    </w:p>
    <w:p w14:paraId="431A2A92" w14:textId="5538A2AC" w:rsidR="009522E1" w:rsidRPr="00387024" w:rsidRDefault="5BC5F207" w:rsidP="001D2615">
      <w:pPr>
        <w:pStyle w:val="Bulletindent"/>
      </w:pPr>
      <w:r>
        <w:t xml:space="preserve">governance plan, probity plan, stakeholder engagement plan and risk management plan for the procurement stage, if </w:t>
      </w:r>
      <w:r w:rsidR="00060BA0">
        <w:t xml:space="preserve">they are </w:t>
      </w:r>
      <w:r>
        <w:t>not contained in the overarching project plan.</w:t>
      </w:r>
    </w:p>
    <w:p w14:paraId="106FDBF3" w14:textId="23F571F7" w:rsidR="00CD55D4" w:rsidRDefault="058A084D" w:rsidP="003E6536">
      <w:pPr>
        <w:pStyle w:val="Captionindent"/>
      </w:pPr>
      <w:bookmarkStart w:id="377" w:name="_Toc145621485"/>
      <w:bookmarkStart w:id="378" w:name="_Toc145621614"/>
      <w:bookmarkStart w:id="379" w:name="_Toc160457790"/>
      <w:r>
        <w:t xml:space="preserve">Figure </w:t>
      </w:r>
      <w:r w:rsidR="00CD55D4" w:rsidRPr="76AB2BEA">
        <w:fldChar w:fldCharType="begin"/>
      </w:r>
      <w:r w:rsidR="00CD55D4">
        <w:instrText xml:space="preserve"> SEQ Figure \* ARABIC </w:instrText>
      </w:r>
      <w:r w:rsidR="00CD55D4" w:rsidRPr="76AB2BEA">
        <w:fldChar w:fldCharType="separate"/>
      </w:r>
      <w:r w:rsidR="008A4B3E">
        <w:rPr>
          <w:noProof/>
        </w:rPr>
        <w:t>21</w:t>
      </w:r>
      <w:r w:rsidR="00CD55D4" w:rsidRPr="76AB2BEA">
        <w:rPr>
          <w:noProof/>
        </w:rPr>
        <w:fldChar w:fldCharType="end"/>
      </w:r>
      <w:r w:rsidR="005504CB">
        <w:t xml:space="preserve"> –</w:t>
      </w:r>
      <w:r w:rsidR="00AE3F0F">
        <w:t xml:space="preserve"> </w:t>
      </w:r>
      <w:r>
        <w:t>Key elements of the procurement plan</w:t>
      </w:r>
      <w:bookmarkEnd w:id="377"/>
      <w:bookmarkEnd w:id="378"/>
      <w:bookmarkEnd w:id="379"/>
    </w:p>
    <w:p w14:paraId="4F2FE347" w14:textId="0CDC7B3F" w:rsidR="005A5BC6" w:rsidRDefault="005A5BC6" w:rsidP="00245999">
      <w:pPr>
        <w:pStyle w:val="NormalIndent"/>
        <w:spacing w:before="0"/>
      </w:pPr>
      <w:r w:rsidRPr="005A5BC6">
        <w:rPr>
          <w:noProof/>
        </w:rPr>
        <w:drawing>
          <wp:inline distT="0" distB="0" distL="0" distR="0" wp14:anchorId="0170E0DB" wp14:editId="598FB9BB">
            <wp:extent cx="5048597" cy="2979041"/>
            <wp:effectExtent l="0" t="0" r="0" b="0"/>
            <wp:docPr id="329790050" name="Graphic 329790050" descr="Figure 21 details the Key elements of a procurement plan including the Outline of procurement objectives, Market engagement and tender engagement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0050" name="Graphic 329790050" descr="Figure 21 details the Key elements of a procurement plan including the Outline of procurement objectives, Market engagement and tender engagement strategy.​"/>
                    <pic:cNvPicPr/>
                  </pic:nvPicPr>
                  <pic:blipFill>
                    <a:blip r:embed="rId150">
                      <a:extLst>
                        <a:ext uri="{28A0092B-C50C-407E-A947-70E740481C1C}">
                          <a14:useLocalDpi xmlns:a14="http://schemas.microsoft.com/office/drawing/2010/main"/>
                        </a:ext>
                        <a:ext uri="{96DAC541-7B7A-43D3-8B79-37D633B846F1}">
                          <asvg:svgBlip xmlns:asvg="http://schemas.microsoft.com/office/drawing/2016/SVG/main" r:embed="rId151"/>
                        </a:ext>
                      </a:extLst>
                    </a:blip>
                    <a:stretch>
                      <a:fillRect/>
                    </a:stretch>
                  </pic:blipFill>
                  <pic:spPr>
                    <a:xfrm>
                      <a:off x="0" y="0"/>
                      <a:ext cx="5055529" cy="2983131"/>
                    </a:xfrm>
                    <a:prstGeom prst="rect">
                      <a:avLst/>
                    </a:prstGeom>
                  </pic:spPr>
                </pic:pic>
              </a:graphicData>
            </a:graphic>
          </wp:inline>
        </w:drawing>
      </w:r>
    </w:p>
    <w:p w14:paraId="3E10F1A0" w14:textId="77777777" w:rsidR="00AB42C2" w:rsidRPr="00387024" w:rsidRDefault="00AB42C2" w:rsidP="003E6536">
      <w:pPr>
        <w:pStyle w:val="Spacer"/>
      </w:pPr>
    </w:p>
    <w:p w14:paraId="41B31BB7" w14:textId="77777777" w:rsidR="009522E1" w:rsidRDefault="009522E1" w:rsidP="00834461">
      <w:pPr>
        <w:pStyle w:val="NormalIndent"/>
      </w:pPr>
      <w:r w:rsidRPr="00387024">
        <w:t xml:space="preserve">The </w:t>
      </w:r>
      <w:r w:rsidRPr="007067D3">
        <w:t>procurement plan</w:t>
      </w:r>
      <w:r w:rsidRPr="00387024">
        <w:t xml:space="preserve"> is a living document. It should be reviewed at each stage of the procurement process to reflect and consider new information arising during procurement implementation.</w:t>
      </w:r>
    </w:p>
    <w:p w14:paraId="0F3B1207" w14:textId="2061E989" w:rsidR="009522E1" w:rsidRPr="00387024" w:rsidRDefault="00F85CFF" w:rsidP="00834461">
      <w:pPr>
        <w:pStyle w:val="NormalIndent"/>
      </w:pPr>
      <w:r>
        <w:fldChar w:fldCharType="begin"/>
      </w:r>
      <w:r>
        <w:instrText xml:space="preserve"> REF _Ref160461900 \n \h </w:instrText>
      </w:r>
      <w:r>
        <w:fldChar w:fldCharType="separate"/>
      </w:r>
      <w:r w:rsidR="008A4B3E">
        <w:t>Appendix D</w:t>
      </w:r>
      <w:r>
        <w:fldChar w:fldCharType="end"/>
      </w:r>
      <w:r w:rsidR="009522E1" w:rsidRPr="00CC511A">
        <w:t xml:space="preserve"> contains </w:t>
      </w:r>
      <w:r w:rsidR="00D9444A">
        <w:t>more</w:t>
      </w:r>
      <w:r w:rsidR="00D9444A" w:rsidRPr="00CC511A">
        <w:t xml:space="preserve"> </w:t>
      </w:r>
      <w:r w:rsidR="009522E1" w:rsidRPr="00CC511A">
        <w:t xml:space="preserve">detail on </w:t>
      </w:r>
      <w:r w:rsidR="009522E1">
        <w:t xml:space="preserve">potential content for the </w:t>
      </w:r>
      <w:r w:rsidR="009522E1" w:rsidRPr="00CC511A">
        <w:t>procurement plan</w:t>
      </w:r>
      <w:r w:rsidR="009522E1">
        <w:t xml:space="preserve">. </w:t>
      </w:r>
      <w:r w:rsidR="009522E1" w:rsidRPr="00CC511A">
        <w:t>It is indicative only and is not exhaustive. It should not be seen as a template</w:t>
      </w:r>
      <w:r w:rsidR="000B333F">
        <w:t>,</w:t>
      </w:r>
      <w:r w:rsidR="009522E1" w:rsidRPr="00CC511A">
        <w:t xml:space="preserve"> but adapted according to project requirements.</w:t>
      </w:r>
    </w:p>
    <w:p w14:paraId="682F4226" w14:textId="77777777" w:rsidR="009522E1" w:rsidRDefault="009522E1" w:rsidP="001D2615">
      <w:pPr>
        <w:pStyle w:val="Heading2numbered"/>
      </w:pPr>
      <w:bookmarkStart w:id="380" w:name="_Ref144283717"/>
      <w:bookmarkStart w:id="381" w:name="_Toc161321771"/>
      <w:r>
        <w:t>Risk management</w:t>
      </w:r>
      <w:bookmarkEnd w:id="380"/>
      <w:bookmarkEnd w:id="381"/>
    </w:p>
    <w:p w14:paraId="7809A110" w14:textId="57910216" w:rsidR="009522E1" w:rsidRDefault="009522E1" w:rsidP="00834461">
      <w:pPr>
        <w:pStyle w:val="NormalIndent"/>
      </w:pPr>
      <w:r>
        <w:t xml:space="preserve">Risk identification and management strategies are considered </w:t>
      </w:r>
      <w:r w:rsidR="000B333F">
        <w:t>when</w:t>
      </w:r>
      <w:r>
        <w:t xml:space="preserve"> developing the procurement strategy and are relevant throughout the project lifecycle.</w:t>
      </w:r>
    </w:p>
    <w:p w14:paraId="2474ED48" w14:textId="621DF8CF" w:rsidR="009522E1" w:rsidRPr="00756179" w:rsidRDefault="009522E1" w:rsidP="00834461">
      <w:pPr>
        <w:pStyle w:val="NormalIndent"/>
      </w:pPr>
      <w:r>
        <w:t>A</w:t>
      </w:r>
      <w:r w:rsidRPr="5500A5F5">
        <w:t>gencies</w:t>
      </w:r>
      <w:r>
        <w:rPr>
          <w:b/>
        </w:rPr>
        <w:t xml:space="preserve"> </w:t>
      </w:r>
      <w:r w:rsidRPr="00BE41D4">
        <w:rPr>
          <w:bCs/>
        </w:rPr>
        <w:t xml:space="preserve">should </w:t>
      </w:r>
      <w:r>
        <w:rPr>
          <w:bCs/>
        </w:rPr>
        <w:t xml:space="preserve">establish </w:t>
      </w:r>
      <w:r w:rsidRPr="5500A5F5">
        <w:t xml:space="preserve">processes to identify, analyse, </w:t>
      </w:r>
      <w:r>
        <w:t>mitigate and</w:t>
      </w:r>
      <w:r w:rsidRPr="5500A5F5">
        <w:t xml:space="preserve"> allocate risks that may impact the procurement</w:t>
      </w:r>
      <w:r>
        <w:t xml:space="preserve">. At a minimum this includes establishing a risk register, </w:t>
      </w:r>
      <w:r w:rsidRPr="00756179">
        <w:t>monitor</w:t>
      </w:r>
      <w:r>
        <w:t xml:space="preserve">ing </w:t>
      </w:r>
      <w:r w:rsidRPr="00756179">
        <w:t>risks and implement</w:t>
      </w:r>
      <w:r>
        <w:t>ing</w:t>
      </w:r>
      <w:r w:rsidRPr="00756179">
        <w:t xml:space="preserve"> appropriate treatments to promptly address issues when they arise</w:t>
      </w:r>
      <w:r>
        <w:t>.</w:t>
      </w:r>
      <w:r w:rsidRPr="00756179">
        <w:t xml:space="preserve"> The aim is to ensure the </w:t>
      </w:r>
      <w:r w:rsidR="000B333F">
        <w:t>project</w:t>
      </w:r>
      <w:r w:rsidR="000B333F" w:rsidRPr="00756179">
        <w:t xml:space="preserve"> </w:t>
      </w:r>
      <w:r w:rsidRPr="00756179">
        <w:t xml:space="preserve">remains on time, </w:t>
      </w:r>
      <w:r>
        <w:t>to</w:t>
      </w:r>
      <w:r w:rsidRPr="00756179">
        <w:t xml:space="preserve"> budget and likely to deliver the investment benefits.</w:t>
      </w:r>
    </w:p>
    <w:p w14:paraId="34BFB069" w14:textId="1C951ADC" w:rsidR="009522E1" w:rsidRDefault="009522E1" w:rsidP="00834461">
      <w:pPr>
        <w:pStyle w:val="NormalIndent"/>
        <w:rPr>
          <w:rFonts w:ascii="Calibri" w:hAnsi="Calibri" w:cs="Calibri"/>
        </w:rPr>
      </w:pPr>
      <w:r>
        <w:t>R</w:t>
      </w:r>
      <w:r w:rsidRPr="5500A5F5">
        <w:t>isk assessment and management practices should be commensurate with the scale, scope and risk of the</w:t>
      </w:r>
      <w:r w:rsidR="00A2529C">
        <w:t xml:space="preserve"> </w:t>
      </w:r>
      <w:r w:rsidRPr="5500A5F5">
        <w:t>procurement.</w:t>
      </w:r>
    </w:p>
    <w:tbl>
      <w:tblPr>
        <w:tblStyle w:val="DTFtexttableindent"/>
        <w:tblW w:w="8546" w:type="dxa"/>
        <w:tblBorders>
          <w:bottom w:val="none" w:sz="0" w:space="0" w:color="auto"/>
          <w:insideH w:val="none" w:sz="0" w:space="0" w:color="auto"/>
        </w:tblBorders>
        <w:shd w:val="clear" w:color="auto" w:fill="F2F2F2" w:themeFill="background1" w:themeFillShade="F2"/>
        <w:tblLayout w:type="fixed"/>
        <w:tblLook w:val="0680" w:firstRow="0" w:lastRow="0" w:firstColumn="1" w:lastColumn="0" w:noHBand="1" w:noVBand="1"/>
      </w:tblPr>
      <w:tblGrid>
        <w:gridCol w:w="828"/>
        <w:gridCol w:w="7718"/>
      </w:tblGrid>
      <w:tr w:rsidR="00ED5704" w14:paraId="39AB8284" w14:textId="77777777" w:rsidTr="008A4B3E">
        <w:trPr>
          <w:trHeight w:val="5799"/>
        </w:trPr>
        <w:tc>
          <w:tcPr>
            <w:cnfStyle w:val="001000000000" w:firstRow="0" w:lastRow="0" w:firstColumn="1" w:lastColumn="0" w:oddVBand="0" w:evenVBand="0" w:oddHBand="0" w:evenHBand="0" w:firstRowFirstColumn="0" w:firstRowLastColumn="0" w:lastRowFirstColumn="0" w:lastRowLastColumn="0"/>
            <w:tcW w:w="828" w:type="dxa"/>
          </w:tcPr>
          <w:p w14:paraId="38DF6A09" w14:textId="45AB6CE2" w:rsidR="00ED5704" w:rsidRDefault="005A5BC6" w:rsidP="008A4B3E">
            <w:pPr>
              <w:rPr>
                <w:rFonts w:ascii="VIC" w:hAnsi="VIC"/>
                <w:b/>
                <w:sz w:val="24"/>
                <w:szCs w:val="24"/>
              </w:rPr>
            </w:pPr>
            <w:r>
              <w:rPr>
                <w:noProof/>
              </w:rPr>
              <w:drawing>
                <wp:inline distT="0" distB="0" distL="0" distR="0" wp14:anchorId="043E1B30" wp14:editId="585D8B60">
                  <wp:extent cx="371475" cy="278607"/>
                  <wp:effectExtent l="0" t="0" r="0" b="7620"/>
                  <wp:docPr id="41" name="Picture 4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718" w:type="dxa"/>
            <w:shd w:val="clear" w:color="auto" w:fill="F2F2F2" w:themeFill="background1" w:themeFillShade="F2"/>
          </w:tcPr>
          <w:p w14:paraId="059F7808" w14:textId="12EA1FDA" w:rsidR="00F11188" w:rsidRDefault="00ED5704" w:rsidP="0069325F">
            <w:pPr>
              <w:pStyle w:val="Tabletext"/>
              <w:spacing w:before="70" w:after="70"/>
              <w:cnfStyle w:val="000000000000" w:firstRow="0" w:lastRow="0" w:firstColumn="0" w:lastColumn="0" w:oddVBand="0" w:evenVBand="0" w:oddHBand="0" w:evenHBand="0" w:firstRowFirstColumn="0" w:firstRowLastColumn="0" w:lastRowFirstColumn="0" w:lastRowLastColumn="0"/>
            </w:pPr>
            <w:r w:rsidRPr="003E6536">
              <w:t xml:space="preserve">The </w:t>
            </w:r>
            <w:bookmarkStart w:id="382" w:name="OLE_LINK67"/>
            <w:bookmarkStart w:id="383" w:name="OLE_LINK68"/>
            <w:bookmarkStart w:id="384" w:name="OLE_LINK71"/>
            <w:r w:rsidRPr="003E6536">
              <w:t xml:space="preserve">Victorian Government Risk Management Framework </w:t>
            </w:r>
            <w:bookmarkStart w:id="385" w:name="OLE_LINK69"/>
            <w:bookmarkStart w:id="386" w:name="OLE_LINK70"/>
            <w:bookmarkEnd w:id="382"/>
            <w:bookmarkEnd w:id="383"/>
            <w:bookmarkEnd w:id="384"/>
            <w:r w:rsidRPr="003E6536">
              <w:t>prescribe</w:t>
            </w:r>
            <w:bookmarkEnd w:id="385"/>
            <w:bookmarkEnd w:id="386"/>
            <w:r w:rsidRPr="003E6536">
              <w:t xml:space="preserve">s the minimum risk management requirements agencies must apply. Compliance with the risk management framework is mandated under Direction 3.7.1 of the </w:t>
            </w:r>
            <w:r w:rsidRPr="00C428E6">
              <w:rPr>
                <w:iCs/>
              </w:rPr>
              <w:t>Standing Directions 2018</w:t>
            </w:r>
            <w:r w:rsidRPr="003E6536">
              <w:t xml:space="preserve"> </w:t>
            </w:r>
            <w:r w:rsidR="000B333F">
              <w:t xml:space="preserve">under </w:t>
            </w:r>
            <w:r w:rsidRPr="003E6536">
              <w:t xml:space="preserve">the </w:t>
            </w:r>
            <w:r w:rsidRPr="003E6536">
              <w:rPr>
                <w:i/>
              </w:rPr>
              <w:t>Financial Management Act 1994</w:t>
            </w:r>
            <w:r w:rsidRPr="003E6536">
              <w:t xml:space="preserve">. </w:t>
            </w:r>
            <w:r w:rsidR="005A5BC6" w:rsidRPr="003E6536">
              <w:t xml:space="preserve">It aligns with ISO 31000 and is available at: </w:t>
            </w:r>
          </w:p>
          <w:p w14:paraId="1045302F" w14:textId="53307904" w:rsidR="00ED5704" w:rsidRPr="003E6536" w:rsidRDefault="00894832" w:rsidP="00F11188">
            <w:pPr>
              <w:pStyle w:val="Tablebullet"/>
              <w:cnfStyle w:val="000000000000" w:firstRow="0" w:lastRow="0" w:firstColumn="0" w:lastColumn="0" w:oddVBand="0" w:evenVBand="0" w:oddHBand="0" w:evenHBand="0" w:firstRowFirstColumn="0" w:firstRowLastColumn="0" w:lastRowFirstColumn="0" w:lastRowLastColumn="0"/>
              <w:rPr>
                <w:rStyle w:val="Hyperlink"/>
              </w:rPr>
            </w:pPr>
            <w:hyperlink r:id="rId152" w:history="1">
              <w:r w:rsidR="005A5BC6" w:rsidRPr="003E6536">
                <w:rPr>
                  <w:rStyle w:val="Hyperlink"/>
                </w:rPr>
                <w:t>https://www.dtf.vic.gov.au/planning-budgeting-and-financial-reporting-frameworks/victorian-risk-management-framework-and-insurance-management-policy</w:t>
              </w:r>
            </w:hyperlink>
          </w:p>
          <w:p w14:paraId="65D01E54" w14:textId="77777777" w:rsidR="00ED5704" w:rsidRPr="001F6068" w:rsidRDefault="00ED5704" w:rsidP="001F6068">
            <w:pPr>
              <w:pStyle w:val="Tabletext"/>
              <w:cnfStyle w:val="000000000000" w:firstRow="0" w:lastRow="0" w:firstColumn="0" w:lastColumn="0" w:oddVBand="0" w:evenVBand="0" w:oddHBand="0" w:evenHBand="0" w:firstRowFirstColumn="0" w:firstRowLastColumn="0" w:lastRowFirstColumn="0" w:lastRowLastColumn="0"/>
            </w:pPr>
            <w:r w:rsidRPr="001F6068">
              <w:rPr>
                <w:rStyle w:val="Hyperlink"/>
                <w:color w:val="232B39" w:themeColor="text1"/>
                <w:u w:val="none"/>
              </w:rPr>
              <w:t>Further information on other applicable guidance can be found at:</w:t>
            </w:r>
          </w:p>
          <w:p w14:paraId="7C287705" w14:textId="0D6042E6" w:rsidR="00ED5704" w:rsidRPr="003E6536" w:rsidRDefault="00894832" w:rsidP="00F11188">
            <w:pPr>
              <w:pStyle w:val="Tablebullet"/>
              <w:cnfStyle w:val="000000000000" w:firstRow="0" w:lastRow="0" w:firstColumn="0" w:lastColumn="0" w:oddVBand="0" w:evenVBand="0" w:oddHBand="0" w:evenHBand="0" w:firstRowFirstColumn="0" w:firstRowLastColumn="0" w:lastRowFirstColumn="0" w:lastRowLastColumn="0"/>
              <w:rPr>
                <w:rStyle w:val="Hyperlink"/>
              </w:rPr>
            </w:pPr>
            <w:hyperlink r:id="rId153" w:history="1">
              <w:r w:rsidR="005A5BC6" w:rsidRPr="003E6536">
                <w:rPr>
                  <w:rStyle w:val="Hyperlink"/>
                </w:rPr>
                <w:t>https://www.dtf.vic.gov.au/planning-budgeting-and-financial-reporting-frameworks/victorian-risk-management-framework-and-insurance-management-policy</w:t>
              </w:r>
            </w:hyperlink>
            <w:r w:rsidR="005A5BC6" w:rsidRPr="003E6536">
              <w:rPr>
                <w:rStyle w:val="Hyperlink"/>
              </w:rPr>
              <w:t>.</w:t>
            </w:r>
          </w:p>
          <w:p w14:paraId="152EA76F" w14:textId="77777777" w:rsidR="00F11188" w:rsidRDefault="005A5BC6" w:rsidP="0069325F">
            <w:pPr>
              <w:pStyle w:val="Tabletext"/>
              <w:spacing w:before="70" w:after="70"/>
              <w:cnfStyle w:val="000000000000" w:firstRow="0" w:lastRow="0" w:firstColumn="0" w:lastColumn="0" w:oddVBand="0" w:evenVBand="0" w:oddHBand="0" w:evenHBand="0" w:firstRowFirstColumn="0" w:firstRowLastColumn="0" w:lastRowFirstColumn="0" w:lastRowLastColumn="0"/>
            </w:pPr>
            <w:r w:rsidRPr="003E6536">
              <w:t>The Victorian Managed Insurance Authority provides practical guidance, tools and templates for managing risk at:</w:t>
            </w:r>
          </w:p>
          <w:p w14:paraId="376AFA58" w14:textId="540522B1" w:rsidR="00ED5704" w:rsidRPr="003E6536" w:rsidRDefault="00894832" w:rsidP="00F11188">
            <w:pPr>
              <w:pStyle w:val="Tablebullet"/>
              <w:cnfStyle w:val="000000000000" w:firstRow="0" w:lastRow="0" w:firstColumn="0" w:lastColumn="0" w:oddVBand="0" w:evenVBand="0" w:oddHBand="0" w:evenHBand="0" w:firstRowFirstColumn="0" w:firstRowLastColumn="0" w:lastRowFirstColumn="0" w:lastRowLastColumn="0"/>
              <w:rPr>
                <w:rFonts w:eastAsia="VIC" w:cstheme="minorHAnsi"/>
                <w:color w:val="212529"/>
                <w:sz w:val="22"/>
                <w:szCs w:val="22"/>
              </w:rPr>
            </w:pPr>
            <w:hyperlink r:id="rId154" w:history="1">
              <w:hyperlink r:id="rId155" w:history="1">
                <w:r w:rsidR="005A5BC6" w:rsidRPr="003E6536">
                  <w:rPr>
                    <w:rStyle w:val="Hyperlink"/>
                  </w:rPr>
                  <w:t>https://www.vmia.vic.gov.au/tools-and-insights/practical-guidance-for-managing-risk</w:t>
                </w:r>
              </w:hyperlink>
            </w:hyperlink>
            <w:r w:rsidR="005A5BC6" w:rsidRPr="003E6536">
              <w:rPr>
                <w:rFonts w:eastAsia="VIC" w:cstheme="minorHAnsi"/>
                <w:color w:val="212529"/>
                <w:sz w:val="22"/>
                <w:szCs w:val="22"/>
              </w:rPr>
              <w:t>.</w:t>
            </w:r>
          </w:p>
          <w:p w14:paraId="7D054CCF" w14:textId="732D837C" w:rsidR="001A5D02" w:rsidRPr="005B687A" w:rsidRDefault="00ED5704" w:rsidP="0069325F">
            <w:pPr>
              <w:pStyle w:val="Tabletext"/>
              <w:spacing w:before="70" w:after="70"/>
              <w:cnfStyle w:val="000000000000" w:firstRow="0" w:lastRow="0" w:firstColumn="0" w:lastColumn="0" w:oddVBand="0" w:evenVBand="0" w:oddHBand="0" w:evenHBand="0" w:firstRowFirstColumn="0" w:firstRowLastColumn="0" w:lastRowFirstColumn="0" w:lastRowLastColumn="0"/>
              <w:rPr>
                <w:rStyle w:val="Hyperlink"/>
              </w:rPr>
            </w:pPr>
            <w:r w:rsidRPr="003E6536">
              <w:t xml:space="preserve">The </w:t>
            </w:r>
            <w:r w:rsidRPr="003E6536" w:rsidDel="00B9760F">
              <w:t xml:space="preserve">Risk, Time, Cost and Contingency Guideline </w:t>
            </w:r>
            <w:r w:rsidRPr="003E6536">
              <w:t xml:space="preserve">provides supplementary guidance for identifying, quantifying and managing risk and is available at: </w:t>
            </w:r>
            <w:r w:rsidR="001A5D02">
              <w:fldChar w:fldCharType="begin"/>
            </w:r>
            <w:r w:rsidR="00164E67" w:rsidRPr="0067018E">
              <w:rPr>
                <w:rFonts w:eastAsiaTheme="minorEastAsia"/>
                <w:spacing w:val="0"/>
                <w:szCs w:val="20"/>
                <w:lang w:eastAsia="en-AU"/>
              </w:rPr>
              <w:instrText>HYPERLINK "file://\\\\mac\\Users\\atwood\\Library\\CloudStorage\\OneDrive-SharedLibraries-RedPonyConsulting\\Internal - Projects (Clients)\\DTF\\1717. WoVG Infrastructure Procurement Framework\\Modified Documents\\Proofreading\\ILGHVHR\\https:\\www.dtf.vic.gov.au\\investment-lifecycle-and-high-value-high-risk-guidelines\\stage-1-business-cas"</w:instrText>
            </w:r>
            <w:r w:rsidR="001A5D02">
              <w:fldChar w:fldCharType="separate"/>
            </w:r>
          </w:p>
          <w:p w14:paraId="1E12E1CE" w14:textId="4F60A7B2" w:rsidR="00ED5704" w:rsidRPr="003E6536" w:rsidRDefault="001A5D02" w:rsidP="00F11188">
            <w:pPr>
              <w:pStyle w:val="Tablebullet"/>
              <w:cnfStyle w:val="000000000000" w:firstRow="0" w:lastRow="0" w:firstColumn="0" w:lastColumn="0" w:oddVBand="0" w:evenVBand="0" w:oddHBand="0" w:evenHBand="0" w:firstRowFirstColumn="0" w:firstRowLastColumn="0" w:lastRowFirstColumn="0" w:lastRowLastColumn="0"/>
            </w:pPr>
            <w:r w:rsidRPr="005B687A">
              <w:rPr>
                <w:rStyle w:val="Hyperlink"/>
              </w:rPr>
              <w:t>https://www.dtf.vic.gov.au/investment-lifecycle-and-high-value-high-risk-guidelines/stage-1-business-cas</w:t>
            </w:r>
            <w:r>
              <w:fldChar w:fldCharType="end"/>
            </w:r>
            <w:r w:rsidR="00ED5704" w:rsidRPr="0067018E">
              <w:rPr>
                <w:rStyle w:val="Hyperlink"/>
              </w:rPr>
              <w:t>e.</w:t>
            </w:r>
          </w:p>
          <w:p w14:paraId="5DF3F67D" w14:textId="77777777" w:rsidR="00F11188" w:rsidRDefault="00ED5704" w:rsidP="0069325F">
            <w:pPr>
              <w:pStyle w:val="Tabletext"/>
              <w:spacing w:before="70" w:after="70"/>
              <w:cnfStyle w:val="000000000000" w:firstRow="0" w:lastRow="0" w:firstColumn="0" w:lastColumn="0" w:oddVBand="0" w:evenVBand="0" w:oddHBand="0" w:evenHBand="0" w:firstRowFirstColumn="0" w:firstRowLastColumn="0" w:lastRowFirstColumn="0" w:lastRowLastColumn="0"/>
            </w:pPr>
            <w:r w:rsidRPr="003E6536">
              <w:t xml:space="preserve">The PDDD Guideline provides supplementary technical guidance on how to integrate PDDD activities into project delivery. </w:t>
            </w:r>
            <w:r w:rsidR="005A5BC6" w:rsidRPr="003E6536">
              <w:t xml:space="preserve">This is available at: </w:t>
            </w:r>
          </w:p>
          <w:p w14:paraId="6DF3B674" w14:textId="43EFB4B2" w:rsidR="00ED5704" w:rsidRPr="003E6536" w:rsidRDefault="00894832" w:rsidP="00F11188">
            <w:pPr>
              <w:pStyle w:val="Tablebullet"/>
              <w:cnfStyle w:val="000000000000" w:firstRow="0" w:lastRow="0" w:firstColumn="0" w:lastColumn="0" w:oddVBand="0" w:evenVBand="0" w:oddHBand="0" w:evenHBand="0" w:firstRowFirstColumn="0" w:firstRowLastColumn="0" w:lastRowFirstColumn="0" w:lastRowLastColumn="0"/>
            </w:pPr>
            <w:hyperlink r:id="rId156" w:tgtFrame="_blank" w:history="1">
              <w:r w:rsidR="005A5BC6" w:rsidRPr="003E6536">
                <w:rPr>
                  <w:rStyle w:val="Hyperlink"/>
                </w:rPr>
                <w:t>https://www.dtf.vic.gov.au/investment-lifecycle-and-high-value-high-risk-guidelines/stage-1-business-case</w:t>
              </w:r>
              <w:r w:rsidR="005A5BC6" w:rsidRPr="003E6536">
                <w:t>.</w:t>
              </w:r>
            </w:hyperlink>
            <w:r w:rsidR="005A5BC6" w:rsidRPr="003E6536">
              <w:rPr>
                <w:rFonts w:ascii="Calibri" w:hAnsi="Calibri" w:cs="Calibri"/>
                <w:sz w:val="20"/>
                <w:szCs w:val="20"/>
              </w:rPr>
              <w:t> </w:t>
            </w:r>
          </w:p>
        </w:tc>
      </w:tr>
    </w:tbl>
    <w:p w14:paraId="62E4B3C2" w14:textId="77777777" w:rsidR="009522E1" w:rsidRPr="00F45416" w:rsidRDefault="009522E1" w:rsidP="001D2615">
      <w:pPr>
        <w:pStyle w:val="Heading3numbered"/>
      </w:pPr>
      <w:r w:rsidRPr="00F45416">
        <w:t>Risk allocation</w:t>
      </w:r>
    </w:p>
    <w:p w14:paraId="7AD1163B" w14:textId="6D5FBD48" w:rsidR="009522E1" w:rsidRDefault="009522E1" w:rsidP="00834461">
      <w:pPr>
        <w:pStyle w:val="NormalIndent"/>
      </w:pPr>
      <w:r w:rsidRPr="00756179">
        <w:t>Ensuring all parties have a clear and consistent understanding of their risk management responsibilities is essential to timely, efficient and economical risk management.</w:t>
      </w:r>
    </w:p>
    <w:p w14:paraId="424EBFD5" w14:textId="77777777" w:rsidR="009522E1" w:rsidRDefault="009522E1" w:rsidP="00834461">
      <w:pPr>
        <w:pStyle w:val="NormalIndent"/>
      </w:pPr>
      <w:r w:rsidRPr="00756179">
        <w:t>Risk management responsibilities should be established or confirmed at procurement commencement. Preferred risk allocation positions</w:t>
      </w:r>
      <w:r>
        <w:t>:</w:t>
      </w:r>
    </w:p>
    <w:p w14:paraId="62222585" w14:textId="2C3F0EB2" w:rsidR="009522E1" w:rsidRDefault="009522E1" w:rsidP="00EC1234">
      <w:pPr>
        <w:pStyle w:val="Bulletindent"/>
      </w:pPr>
      <w:r>
        <w:t xml:space="preserve">should </w:t>
      </w:r>
      <w:r w:rsidRPr="00756179">
        <w:t xml:space="preserve">be clearly communicated to the market during market </w:t>
      </w:r>
      <w:r>
        <w:t>consultation</w:t>
      </w:r>
    </w:p>
    <w:p w14:paraId="530642AC" w14:textId="6FB984B7" w:rsidR="009522E1" w:rsidRDefault="009522E1" w:rsidP="00EC1234">
      <w:pPr>
        <w:pStyle w:val="Bulletindent"/>
      </w:pPr>
      <w:r>
        <w:t>clearly communicated in tender documents</w:t>
      </w:r>
    </w:p>
    <w:p w14:paraId="323894C8" w14:textId="46AF9FAA" w:rsidR="009522E1" w:rsidRDefault="009522E1" w:rsidP="0033748E">
      <w:pPr>
        <w:pStyle w:val="Bulletindent"/>
        <w:numPr>
          <w:ilvl w:val="0"/>
          <w:numId w:val="26"/>
        </w:numPr>
        <w:ind w:left="1152"/>
      </w:pPr>
      <w:r>
        <w:t>once negotiated and agreed, be reflected in contract documents</w:t>
      </w:r>
      <w:r w:rsidR="00AA4D78">
        <w:t>.</w:t>
      </w:r>
    </w:p>
    <w:p w14:paraId="3FB07D65" w14:textId="77777777" w:rsidR="009522E1" w:rsidRPr="00756179" w:rsidRDefault="009522E1" w:rsidP="0069325F">
      <w:pPr>
        <w:pStyle w:val="NormalIndent"/>
        <w:keepNext/>
      </w:pPr>
      <w:r>
        <w:t>T</w:t>
      </w:r>
      <w:r w:rsidRPr="00756179">
        <w:t>he objective of risk allocation is to distribute risk appropriately across all parties – not to transfer as much risk as possible.</w:t>
      </w:r>
    </w:p>
    <w:p w14:paraId="70C76321" w14:textId="1F341B14" w:rsidR="009522E1" w:rsidRDefault="009522E1" w:rsidP="00834461">
      <w:pPr>
        <w:pStyle w:val="NormalIndent"/>
      </w:pPr>
      <w:r w:rsidRPr="00756179">
        <w:t xml:space="preserve">As a general principle, risks should be allocated to the party best </w:t>
      </w:r>
      <w:r w:rsidRPr="00756179" w:rsidDel="00091019">
        <w:t xml:space="preserve">able to </w:t>
      </w:r>
      <w:r w:rsidRPr="00756179">
        <w:t xml:space="preserve">manage them. The agency should seek to retain any risks that </w:t>
      </w:r>
      <w:r w:rsidR="009E7C83">
        <w:t>G</w:t>
      </w:r>
      <w:r w:rsidRPr="00756179">
        <w:t>overnment is best placed to manage and to allocate risks which another party is better placed to manage.</w:t>
      </w:r>
    </w:p>
    <w:p w14:paraId="2C32E838" w14:textId="095F88DA" w:rsidR="009522E1" w:rsidRPr="00756179" w:rsidRDefault="009522E1" w:rsidP="00834461">
      <w:pPr>
        <w:pStyle w:val="NormalIndent"/>
      </w:pPr>
      <w:r w:rsidRPr="00756179">
        <w:t xml:space="preserve">Allocating an inappropriate balance of </w:t>
      </w:r>
      <w:r w:rsidRPr="1B43530C">
        <w:t>risks</w:t>
      </w:r>
      <w:r w:rsidRPr="00756179">
        <w:t xml:space="preserve"> to the contractor or other party can drive </w:t>
      </w:r>
      <w:r w:rsidRPr="00756179" w:rsidDel="0058293F">
        <w:t xml:space="preserve">perverse </w:t>
      </w:r>
      <w:r w:rsidRPr="00756179">
        <w:t>outcomes</w:t>
      </w:r>
      <w:r>
        <w:t xml:space="preserve">, including high premiums for risk pricing by contractors </w:t>
      </w:r>
      <w:r w:rsidRPr="00756179">
        <w:t xml:space="preserve">which would diminish </w:t>
      </w:r>
      <w:r w:rsidR="00C56F3D">
        <w:rPr>
          <w:rFonts w:hint="eastAsia"/>
        </w:rPr>
        <w:t>VfM</w:t>
      </w:r>
      <w:r>
        <w:t xml:space="preserve"> </w:t>
      </w:r>
      <w:r w:rsidRPr="00756179">
        <w:t>outcomes.</w:t>
      </w:r>
    </w:p>
    <w:p w14:paraId="3803704E" w14:textId="06744D61" w:rsidR="009522E1" w:rsidRPr="00756179" w:rsidRDefault="009522E1" w:rsidP="00834461">
      <w:pPr>
        <w:pStyle w:val="NormalIndent"/>
      </w:pPr>
      <w:r w:rsidRPr="00756179">
        <w:t xml:space="preserve">Where it is difficult to accurately quantify and price a risk, it may be appropriate for </w:t>
      </w:r>
      <w:r w:rsidR="009E7C83">
        <w:t>G</w:t>
      </w:r>
      <w:r w:rsidRPr="00756179">
        <w:t>overnment to retain or share responsibility for the risk</w:t>
      </w:r>
      <w:r>
        <w:t>. T</w:t>
      </w:r>
      <w:r w:rsidRPr="00756179">
        <w:t xml:space="preserve">he </w:t>
      </w:r>
      <w:r w:rsidR="009E7C83">
        <w:t>G</w:t>
      </w:r>
      <w:r w:rsidRPr="00756179">
        <w:t>overnment may retain responsibility for bearing the cost and other consequences of a risk occurring on a project while incentivising the contractor to effectively manage it and reduce its likelihood and impact.</w:t>
      </w:r>
    </w:p>
    <w:p w14:paraId="76F83082" w14:textId="6AF158E3" w:rsidR="009522E1" w:rsidRPr="00BE41D4" w:rsidRDefault="009522E1" w:rsidP="00834461">
      <w:pPr>
        <w:pStyle w:val="NormalIndent"/>
      </w:pPr>
      <w:r>
        <w:t>D</w:t>
      </w:r>
      <w:r w:rsidRPr="00BE41D4">
        <w:t xml:space="preserve">ifferent procurement models can have very different approaches to the way risks are treated and managed. Further information on appropriate risk allocation can be found in the </w:t>
      </w:r>
      <w:hyperlink r:id="rId157" w:history="1">
        <w:r w:rsidRPr="008D2A37">
          <w:rPr>
            <w:rStyle w:val="Hyperlink"/>
          </w:rPr>
          <w:t>Cost Reimbursable Procurement Requirements</w:t>
        </w:r>
      </w:hyperlink>
      <w:r w:rsidRPr="00BE41D4">
        <w:t xml:space="preserve"> for cost reimbursable models and the </w:t>
      </w:r>
      <w:hyperlink r:id="rId158" w:history="1">
        <w:r w:rsidR="00892A4F" w:rsidRPr="005041E5">
          <w:rPr>
            <w:rStyle w:val="Hyperlink"/>
          </w:rPr>
          <w:t>Whole</w:t>
        </w:r>
        <w:r w:rsidR="007334C6" w:rsidRPr="005041E5">
          <w:rPr>
            <w:rStyle w:val="Hyperlink"/>
            <w:rFonts w:hint="eastAsia"/>
          </w:rPr>
          <w:t>-</w:t>
        </w:r>
        <w:r w:rsidR="00892A4F" w:rsidRPr="005041E5">
          <w:rPr>
            <w:rStyle w:val="Hyperlink"/>
          </w:rPr>
          <w:t>of</w:t>
        </w:r>
        <w:r w:rsidR="007334C6" w:rsidRPr="005041E5">
          <w:rPr>
            <w:rStyle w:val="Hyperlink"/>
            <w:rFonts w:hint="eastAsia"/>
          </w:rPr>
          <w:t>-</w:t>
        </w:r>
        <w:r w:rsidR="00892A4F" w:rsidRPr="005041E5">
          <w:rPr>
            <w:rStyle w:val="Hyperlink"/>
          </w:rPr>
          <w:t>Life</w:t>
        </w:r>
        <w:r w:rsidRPr="005041E5">
          <w:rPr>
            <w:rStyle w:val="Hyperlink"/>
          </w:rPr>
          <w:t xml:space="preserve"> </w:t>
        </w:r>
        <w:r w:rsidR="007D117E" w:rsidRPr="005041E5">
          <w:rPr>
            <w:rStyle w:val="Hyperlink"/>
          </w:rPr>
          <w:t xml:space="preserve">Procurements </w:t>
        </w:r>
        <w:r w:rsidRPr="005041E5">
          <w:rPr>
            <w:rStyle w:val="Hyperlink"/>
          </w:rPr>
          <w:t>Requirements</w:t>
        </w:r>
      </w:hyperlink>
      <w:r w:rsidRPr="00BE41D4">
        <w:t xml:space="preserve"> for </w:t>
      </w:r>
      <w:r>
        <w:t xml:space="preserve">these </w:t>
      </w:r>
      <w:r w:rsidRPr="00BE41D4">
        <w:t>projects</w:t>
      </w:r>
      <w:r>
        <w:t>.</w:t>
      </w:r>
    </w:p>
    <w:p w14:paraId="2A69D2B4" w14:textId="269556E9" w:rsidR="009522E1" w:rsidRDefault="009522E1" w:rsidP="001D2615">
      <w:pPr>
        <w:pStyle w:val="Heading3numbered"/>
      </w:pPr>
      <w:r>
        <w:t>Techniques to de</w:t>
      </w:r>
      <w:r w:rsidR="00A40F35">
        <w:t>-</w:t>
      </w:r>
      <w:r>
        <w:t>risk projects</w:t>
      </w:r>
    </w:p>
    <w:p w14:paraId="38C51763" w14:textId="4D9E9745" w:rsidR="009522E1" w:rsidRPr="00BE41D4" w:rsidRDefault="009522E1" w:rsidP="00834461">
      <w:pPr>
        <w:pStyle w:val="NormalIndent"/>
      </w:pPr>
      <w:r w:rsidRPr="00BE41D4">
        <w:t>There are a range of risk management strategies that can be employed to de</w:t>
      </w:r>
      <w:r w:rsidR="00A40F35">
        <w:t>-</w:t>
      </w:r>
      <w:r w:rsidRPr="00BE41D4">
        <w:t>risk an investment. These should align with the complexity and risk profile of the investment. Key strategies include (but are not limited to):</w:t>
      </w:r>
    </w:p>
    <w:p w14:paraId="7C1EFC31" w14:textId="61184B99" w:rsidR="009522E1" w:rsidRPr="00A95969" w:rsidRDefault="000C68B9" w:rsidP="001D2615">
      <w:pPr>
        <w:pStyle w:val="Bulletindent"/>
      </w:pPr>
      <w:r w:rsidRPr="00A95969">
        <w:rPr>
          <w:b/>
          <w:bCs/>
        </w:rPr>
        <w:t>P</w:t>
      </w:r>
      <w:r w:rsidR="009522E1" w:rsidRPr="00DA0E57">
        <w:rPr>
          <w:b/>
          <w:bCs/>
        </w:rPr>
        <w:t>roject</w:t>
      </w:r>
      <w:r w:rsidR="009522E1" w:rsidRPr="00DA0E57">
        <w:rPr>
          <w:b/>
        </w:rPr>
        <w:t xml:space="preserve"> development and due diligence (PDDD)</w:t>
      </w:r>
      <w:r w:rsidR="009522E1" w:rsidRPr="00A95969">
        <w:t>: PDDD involves detailed investigations into certain project characteristics or risks to improve the agency</w:t>
      </w:r>
      <w:r w:rsidR="00344D3F">
        <w:t>’</w:t>
      </w:r>
      <w:r w:rsidR="009522E1" w:rsidRPr="00A95969">
        <w:t>s understanding and level of certainty of those risks. It allows more accurate quantification and pricing of risks. It is commonly used to mitigate site and in-ground conditions, including utility risk and interface risks</w:t>
      </w:r>
      <w:r w:rsidRPr="00A95969">
        <w:t>.</w:t>
      </w:r>
    </w:p>
    <w:p w14:paraId="4BBDCBBA" w14:textId="72B6E69B" w:rsidR="009522E1" w:rsidRPr="00A95969" w:rsidRDefault="000C68B9" w:rsidP="001D2615">
      <w:pPr>
        <w:pStyle w:val="Bulletindent"/>
      </w:pPr>
      <w:r w:rsidRPr="00A95969">
        <w:rPr>
          <w:b/>
          <w:bCs/>
        </w:rPr>
        <w:t>E</w:t>
      </w:r>
      <w:r w:rsidR="009522E1" w:rsidRPr="00DA0E57">
        <w:rPr>
          <w:b/>
          <w:bCs/>
        </w:rPr>
        <w:t>arly</w:t>
      </w:r>
      <w:r w:rsidR="009522E1" w:rsidRPr="00DA0E57">
        <w:rPr>
          <w:b/>
        </w:rPr>
        <w:t xml:space="preserve"> work</w:t>
      </w:r>
      <w:r w:rsidR="009522E1" w:rsidRPr="00C428E6">
        <w:t>s</w:t>
      </w:r>
      <w:r w:rsidR="009522E1" w:rsidRPr="00A95969">
        <w:t>: Early works packages can be undertaken prior to the commencement of main works that address common risks, in particular the relocation of utilities and the investigation and remediation of in-ground conditions</w:t>
      </w:r>
      <w:r w:rsidRPr="00A95969">
        <w:t>.</w:t>
      </w:r>
    </w:p>
    <w:p w14:paraId="4B3D7603" w14:textId="4E8AA9DF" w:rsidR="009522E1" w:rsidRPr="00BE41D4" w:rsidRDefault="000C68B9" w:rsidP="001D2615">
      <w:pPr>
        <w:pStyle w:val="Bulletindent"/>
      </w:pPr>
      <w:r w:rsidRPr="00A95969">
        <w:rPr>
          <w:b/>
          <w:bCs/>
        </w:rPr>
        <w:t>E</w:t>
      </w:r>
      <w:r w:rsidR="009522E1" w:rsidRPr="00DA0E57">
        <w:rPr>
          <w:b/>
          <w:bCs/>
        </w:rPr>
        <w:t>arly</w:t>
      </w:r>
      <w:r w:rsidR="009522E1" w:rsidRPr="00DA0E57">
        <w:rPr>
          <w:b/>
        </w:rPr>
        <w:t xml:space="preserve"> contractor involvement (ECI</w:t>
      </w:r>
      <w:r w:rsidR="009522E1" w:rsidRPr="00C428E6">
        <w:t>)</w:t>
      </w:r>
      <w:r w:rsidR="009522E1" w:rsidRPr="00A95969">
        <w:t>: ECI facilitates a contractor</w:t>
      </w:r>
      <w:r w:rsidR="00344D3F">
        <w:t>’</w:t>
      </w:r>
      <w:r w:rsidR="009522E1" w:rsidRPr="00A95969">
        <w:t>s technical input, in relation to risk identification, quantification and treatment, early in the project</w:t>
      </w:r>
      <w:r w:rsidR="00344D3F">
        <w:t>’</w:t>
      </w:r>
      <w:r w:rsidR="009522E1" w:rsidRPr="00A95969">
        <w:t xml:space="preserve">s development phase to inform project solutions and reference designs (see </w:t>
      </w:r>
      <w:r w:rsidR="009729CB">
        <w:t>S</w:t>
      </w:r>
      <w:r w:rsidR="009522E1" w:rsidRPr="00A95969">
        <w:t>ection</w:t>
      </w:r>
      <w:r w:rsidR="00A5728B" w:rsidRPr="00A95969">
        <w:t xml:space="preserve"> </w:t>
      </w:r>
      <w:r w:rsidR="00A5728B" w:rsidRPr="00A95969">
        <w:fldChar w:fldCharType="begin" w:fldLock="1"/>
      </w:r>
      <w:r w:rsidR="00A5728B" w:rsidRPr="00A95969">
        <w:instrText xml:space="preserve"> REF _Ref144388641 \r \h </w:instrText>
      </w:r>
      <w:r w:rsidR="002D673C" w:rsidRPr="00A95969">
        <w:instrText xml:space="preserve"> \* MERGEFORMAT </w:instrText>
      </w:r>
      <w:r w:rsidR="00A5728B" w:rsidRPr="00A95969">
        <w:fldChar w:fldCharType="separate"/>
      </w:r>
      <w:r w:rsidR="003D4A19">
        <w:t>4.1</w:t>
      </w:r>
      <w:r w:rsidR="00A5728B" w:rsidRPr="00A95969">
        <w:fldChar w:fldCharType="end"/>
      </w:r>
      <w:r w:rsidR="009522E1" w:rsidRPr="00A95969">
        <w:t>)</w:t>
      </w:r>
      <w:r w:rsidRPr="00A95969">
        <w:t>.</w:t>
      </w:r>
    </w:p>
    <w:p w14:paraId="0FE529F5" w14:textId="77777777" w:rsidR="009522E1" w:rsidRPr="00E13593" w:rsidRDefault="009522E1" w:rsidP="001D2615">
      <w:pPr>
        <w:pStyle w:val="Heading3numbered"/>
      </w:pPr>
      <w:r w:rsidRPr="1E9CBDF4">
        <w:t>Considering investment uncertainty</w:t>
      </w:r>
    </w:p>
    <w:p w14:paraId="65875FD0" w14:textId="4CB3C8AB" w:rsidR="009522E1" w:rsidRDefault="009522E1" w:rsidP="0069325F">
      <w:pPr>
        <w:pStyle w:val="NormalIndent"/>
        <w:keepNext/>
      </w:pPr>
      <w:r w:rsidRPr="00E13593">
        <w:rPr>
          <w:iCs/>
        </w:rPr>
        <w:t>Uncertainties are</w:t>
      </w:r>
      <w:r w:rsidRPr="00E13593">
        <w:t xml:space="preserve"> external factors beyond the investor</w:t>
      </w:r>
      <w:r w:rsidR="00344D3F">
        <w:t>’</w:t>
      </w:r>
      <w:r w:rsidRPr="00E13593">
        <w:t>s control that can impact the delivery of intended investment outcomes.</w:t>
      </w:r>
    </w:p>
    <w:p w14:paraId="1573972A" w14:textId="334A5B05" w:rsidR="009522E1" w:rsidRDefault="009522E1" w:rsidP="0069325F">
      <w:pPr>
        <w:pStyle w:val="NormalIndent"/>
        <w:keepNext/>
      </w:pPr>
      <w:r w:rsidRPr="00E13593">
        <w:t xml:space="preserve">When planning an investment that may be impacted by uncertainty, agencies should </w:t>
      </w:r>
      <w:r w:rsidRPr="00E13593" w:rsidDel="00F21EE7">
        <w:t xml:space="preserve">consider </w:t>
      </w:r>
      <w:r w:rsidR="00F21EE7">
        <w:t>the right amount of flexibility</w:t>
      </w:r>
      <w:r w:rsidDel="00F21EE7">
        <w:t xml:space="preserve"> </w:t>
      </w:r>
      <w:r>
        <w:t>required to adapt the project to these changing circumstances.</w:t>
      </w:r>
    </w:p>
    <w:p w14:paraId="0E7AEF9E" w14:textId="45FDC84E" w:rsidR="009522E1" w:rsidRPr="00F47818" w:rsidRDefault="009522E1" w:rsidP="00834461">
      <w:pPr>
        <w:pStyle w:val="NormalIndent"/>
      </w:pPr>
      <w:r w:rsidRPr="00E13593">
        <w:t xml:space="preserve">Further information on managing uncertainty is available in </w:t>
      </w:r>
      <w:r w:rsidR="00BF01B9">
        <w:t xml:space="preserve">the </w:t>
      </w:r>
      <w:r w:rsidR="008540D8">
        <w:t xml:space="preserve">Risk, Time, Cost and Contingency Guidelines </w:t>
      </w:r>
      <w:r w:rsidR="002D7606">
        <w:t xml:space="preserve">available </w:t>
      </w:r>
      <w:r w:rsidR="00B20E02">
        <w:t xml:space="preserve">at </w:t>
      </w:r>
      <w:r w:rsidR="00B20E02" w:rsidRPr="00B20E02">
        <w:t>https://www.dtf.vic.gov.au/investment-lifecycle-and-high-value-high-risk-guidelines/stage-1-business-case</w:t>
      </w:r>
      <w:r w:rsidRPr="00E13593">
        <w:t>.</w:t>
      </w:r>
      <w:r w:rsidR="004B41F2" w:rsidDel="004B41F2">
        <w:rPr>
          <w:rFonts w:ascii="ZWAdobeF" w:hAnsi="ZWAdobeF" w:cs="ZWAdobeF"/>
          <w:color w:val="auto"/>
          <w:sz w:val="2"/>
          <w:szCs w:val="2"/>
        </w:rPr>
        <w:t xml:space="preserve"> </w:t>
      </w:r>
      <w:r w:rsidRPr="00E13593">
        <w:rPr>
          <w:rStyle w:val="FootnoteReference"/>
          <w:rFonts w:ascii="VIC" w:hAnsi="VIC"/>
          <w:sz w:val="22"/>
          <w:szCs w:val="22"/>
        </w:rPr>
        <w:footnoteReference w:id="16"/>
      </w:r>
    </w:p>
    <w:p w14:paraId="1D472D35" w14:textId="77777777" w:rsidR="009522E1" w:rsidRDefault="009522E1" w:rsidP="001D2615">
      <w:pPr>
        <w:pStyle w:val="Heading2numbered"/>
      </w:pPr>
      <w:bookmarkStart w:id="387" w:name="_Ref144388936"/>
      <w:bookmarkStart w:id="388" w:name="_Toc161321772"/>
      <w:r>
        <w:t>Probity management</w:t>
      </w:r>
      <w:bookmarkEnd w:id="387"/>
      <w:bookmarkEnd w:id="388"/>
    </w:p>
    <w:tbl>
      <w:tblPr>
        <w:tblStyle w:val="DTFtexttable"/>
        <w:tblW w:w="8298" w:type="dxa"/>
        <w:tblInd w:w="792" w:type="dxa"/>
        <w:tblBorders>
          <w:bottom w:val="none" w:sz="0" w:space="0" w:color="auto"/>
          <w:insideH w:val="none" w:sz="0" w:space="0" w:color="auto"/>
        </w:tblBorders>
        <w:shd w:val="clear" w:color="auto" w:fill="F2F2F2" w:themeFill="background1" w:themeFillShade="F2"/>
        <w:tblLayout w:type="fixed"/>
        <w:tblLook w:val="04A0" w:firstRow="1" w:lastRow="0" w:firstColumn="1" w:lastColumn="0" w:noHBand="0" w:noVBand="1"/>
      </w:tblPr>
      <w:tblGrid>
        <w:gridCol w:w="630"/>
        <w:gridCol w:w="7668"/>
      </w:tblGrid>
      <w:tr w:rsidR="009522E1" w:rsidRPr="00003B28" w14:paraId="4B69E8BB" w14:textId="77777777" w:rsidTr="00144F94">
        <w:trPr>
          <w:cnfStyle w:val="100000000000" w:firstRow="1" w:lastRow="0" w:firstColumn="0" w:lastColumn="0" w:oddVBand="0" w:evenVBand="0" w:oddHBand="0" w:evenHBand="0" w:firstRowFirstColumn="0" w:firstRowLastColumn="0" w:lastRowFirstColumn="0" w:lastRowLastColumn="0"/>
          <w:cantSplit w:val="0"/>
          <w:trHeight w:val="300"/>
        </w:trPr>
        <w:tc>
          <w:tcPr>
            <w:cnfStyle w:val="001000000100" w:firstRow="0" w:lastRow="0" w:firstColumn="1" w:lastColumn="0" w:oddVBand="0" w:evenVBand="0" w:oddHBand="0" w:evenHBand="0" w:firstRowFirstColumn="1" w:firstRowLastColumn="0" w:lastRowFirstColumn="0" w:lastRowLastColumn="0"/>
            <w:tcW w:w="630" w:type="dxa"/>
            <w:shd w:val="clear" w:color="auto" w:fill="F2F2F2" w:themeFill="background1" w:themeFillShade="F2"/>
            <w:hideMark/>
          </w:tcPr>
          <w:p w14:paraId="4E9E158E" w14:textId="2C9A547F" w:rsidR="009522E1" w:rsidRDefault="00134063" w:rsidP="00F7602B">
            <w:pPr>
              <w:pStyle w:val="Tabletext"/>
              <w:ind w:right="7187"/>
            </w:pPr>
            <w:r>
              <w:rPr>
                <w:noProof/>
              </w:rPr>
              <w:drawing>
                <wp:inline distT="0" distB="0" distL="0" distR="0" wp14:anchorId="37A84C47" wp14:editId="54262BCB">
                  <wp:extent cx="371475" cy="278607"/>
                  <wp:effectExtent l="0" t="0" r="0" b="7620"/>
                  <wp:docPr id="329790079" name="Picture 32979007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90079" name="Picture 329790079"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668" w:type="dxa"/>
            <w:shd w:val="clear" w:color="auto" w:fill="F2F2F2" w:themeFill="background1" w:themeFillShade="F2"/>
            <w:hideMark/>
          </w:tcPr>
          <w:p w14:paraId="21ADD77B" w14:textId="2323FA56" w:rsidR="009522E1" w:rsidRPr="007D48FA" w:rsidRDefault="00D8530E" w:rsidP="14D09561">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w:t>
            </w:r>
            <w:r w:rsidR="00487BDD">
              <w:rPr>
                <w:rFonts w:asciiTheme="minorHAnsi" w:hAnsiTheme="minorHAnsi"/>
              </w:rPr>
              <w:t xml:space="preserve">inisterial Directions and Instructions </w:t>
            </w:r>
            <w:r w:rsidR="00731C2F">
              <w:rPr>
                <w:rFonts w:asciiTheme="minorHAnsi" w:hAnsiTheme="minorHAnsi"/>
              </w:rPr>
              <w:t xml:space="preserve">for Public Construction Procurement </w:t>
            </w:r>
            <w:r w:rsidR="009522E1" w:rsidRPr="007D48FA">
              <w:rPr>
                <w:rFonts w:asciiTheme="minorHAnsi" w:hAnsiTheme="minorHAnsi"/>
              </w:rPr>
              <w:t xml:space="preserve"> 4.1 and 4.2 detail the probity requirements for public construction procurement.</w:t>
            </w:r>
          </w:p>
          <w:p w14:paraId="25305CEE" w14:textId="25D57DD8" w:rsidR="009522E1" w:rsidRPr="00003B28" w:rsidRDefault="009522E1" w:rsidP="14D09561">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14D09561">
              <w:rPr>
                <w:rFonts w:asciiTheme="minorHAnsi" w:eastAsiaTheme="minorEastAsia" w:hAnsiTheme="minorHAnsi"/>
              </w:rPr>
              <w:t xml:space="preserve">Agencies must have appropriate systems in place to ensure probity for all </w:t>
            </w:r>
            <w:r w:rsidR="007278BF">
              <w:rPr>
                <w:rFonts w:asciiTheme="minorHAnsi" w:eastAsiaTheme="minorEastAsia" w:hAnsiTheme="minorHAnsi"/>
              </w:rPr>
              <w:t>p</w:t>
            </w:r>
            <w:r w:rsidRPr="14D09561">
              <w:rPr>
                <w:rFonts w:asciiTheme="minorHAnsi" w:eastAsiaTheme="minorEastAsia" w:hAnsiTheme="minorHAnsi"/>
              </w:rPr>
              <w:t xml:space="preserve">ublic </w:t>
            </w:r>
            <w:r w:rsidR="007278BF">
              <w:rPr>
                <w:rFonts w:asciiTheme="minorHAnsi" w:eastAsiaTheme="minorEastAsia" w:hAnsiTheme="minorHAnsi"/>
              </w:rPr>
              <w:t>c</w:t>
            </w:r>
            <w:r w:rsidRPr="14D09561">
              <w:rPr>
                <w:rFonts w:asciiTheme="minorHAnsi" w:eastAsiaTheme="minorEastAsia" w:hAnsiTheme="minorHAnsi"/>
              </w:rPr>
              <w:t xml:space="preserve">onstruction </w:t>
            </w:r>
            <w:r w:rsidR="007278BF">
              <w:rPr>
                <w:rFonts w:asciiTheme="minorHAnsi" w:eastAsiaTheme="minorEastAsia" w:hAnsiTheme="minorHAnsi"/>
              </w:rPr>
              <w:t>p</w:t>
            </w:r>
            <w:r w:rsidRPr="14D09561">
              <w:rPr>
                <w:rFonts w:asciiTheme="minorHAnsi" w:eastAsiaTheme="minorEastAsia" w:hAnsiTheme="minorHAnsi"/>
              </w:rPr>
              <w:t>rocurement including completing a probity plan for projects that exceed $10</w:t>
            </w:r>
            <w:r w:rsidR="00D04694">
              <w:rPr>
                <w:rFonts w:ascii="Calibri" w:eastAsiaTheme="minorEastAsia" w:hAnsi="Calibri" w:cs="Calibri"/>
              </w:rPr>
              <w:t> </w:t>
            </w:r>
            <w:r w:rsidRPr="14D09561">
              <w:rPr>
                <w:rFonts w:asciiTheme="minorHAnsi" w:eastAsiaTheme="minorEastAsia" w:hAnsiTheme="minorHAnsi"/>
              </w:rPr>
              <w:t>million or are complex or otherwise high risk.</w:t>
            </w:r>
          </w:p>
        </w:tc>
      </w:tr>
    </w:tbl>
    <w:p w14:paraId="391238B5" w14:textId="0A497CBF" w:rsidR="009522E1" w:rsidRDefault="009522E1" w:rsidP="002C4E08">
      <w:pPr>
        <w:pStyle w:val="NormalIndent"/>
      </w:pPr>
      <w:r>
        <w:t>P</w:t>
      </w:r>
      <w:r w:rsidRPr="00BE41D4">
        <w:t>rocurement must be transparent, fair and ethical. This helps ensure there is confidence in government processes. Probity is considered at all stages</w:t>
      </w:r>
      <w:r>
        <w:t xml:space="preserve"> </w:t>
      </w:r>
      <w:r w:rsidRPr="00BE41D4">
        <w:t>of procurement</w:t>
      </w:r>
      <w:r w:rsidR="00267088">
        <w:t xml:space="preserve"> and </w:t>
      </w:r>
      <w:r w:rsidR="00C824A3">
        <w:t xml:space="preserve">the application of probity </w:t>
      </w:r>
      <w:r w:rsidR="008F27A9">
        <w:t xml:space="preserve">is addressed throughout </w:t>
      </w:r>
      <w:r w:rsidR="0022036C">
        <w:t>P</w:t>
      </w:r>
      <w:r w:rsidR="008F27A9">
        <w:t xml:space="preserve">art </w:t>
      </w:r>
      <w:r w:rsidR="00383589">
        <w:t>3</w:t>
      </w:r>
      <w:r w:rsidR="008F27A9">
        <w:t>.</w:t>
      </w:r>
    </w:p>
    <w:p w14:paraId="0B164B61" w14:textId="77777777" w:rsidR="009522E1" w:rsidRDefault="009522E1" w:rsidP="002C4E08">
      <w:pPr>
        <w:pStyle w:val="NormalIndent"/>
      </w:pPr>
      <w:r w:rsidRPr="00BE41D4">
        <w:t>Proper probity</w:t>
      </w:r>
      <w:r>
        <w:t xml:space="preserve"> management involves:</w:t>
      </w:r>
    </w:p>
    <w:p w14:paraId="7156709F" w14:textId="77777777" w:rsidR="009522E1" w:rsidRPr="008514FE" w:rsidRDefault="009522E1" w:rsidP="001D2615">
      <w:pPr>
        <w:pStyle w:val="Bulletindent"/>
      </w:pPr>
      <w:r>
        <w:t>e</w:t>
      </w:r>
      <w:r w:rsidRPr="008514FE">
        <w:t xml:space="preserve">nsuring procurement participants act with integrity and impartiality. This includes participants being aware of their probity obligations, including </w:t>
      </w:r>
      <w:r>
        <w:t xml:space="preserve">applicable </w:t>
      </w:r>
      <w:r w:rsidRPr="008514FE">
        <w:t>laws</w:t>
      </w:r>
      <w:r>
        <w:t>, rules and policies</w:t>
      </w:r>
    </w:p>
    <w:p w14:paraId="1C2B804C" w14:textId="572CF608" w:rsidR="009522E1" w:rsidRPr="008514FE" w:rsidRDefault="009522E1" w:rsidP="001D2615">
      <w:pPr>
        <w:pStyle w:val="Bulletindent"/>
      </w:pPr>
      <w:r>
        <w:t>e</w:t>
      </w:r>
      <w:r w:rsidRPr="00BE41D4">
        <w:t>nsuring</w:t>
      </w:r>
      <w:r w:rsidRPr="008514FE">
        <w:t xml:space="preserve"> key tender and evaluation documents and processes comply with probity requirements, including equitable treatment of tenderers, management of intellectual property</w:t>
      </w:r>
      <w:r>
        <w:t xml:space="preserve"> and</w:t>
      </w:r>
      <w:r w:rsidRPr="008514FE">
        <w:t xml:space="preserve"> staging of negotiations with tenderers</w:t>
      </w:r>
    </w:p>
    <w:p w14:paraId="4BE592E4" w14:textId="77777777" w:rsidR="009522E1" w:rsidRDefault="009522E1" w:rsidP="001D2615">
      <w:pPr>
        <w:pStyle w:val="Bulletindent"/>
      </w:pPr>
      <w:r>
        <w:t>e</w:t>
      </w:r>
      <w:r w:rsidRPr="008514FE">
        <w:t>stablishing procedures</w:t>
      </w:r>
      <w:r>
        <w:t xml:space="preserve"> </w:t>
      </w:r>
      <w:r w:rsidRPr="008514FE">
        <w:t>for identifying, assessing and managing actual and perceived conflict of interests</w:t>
      </w:r>
    </w:p>
    <w:p w14:paraId="4140FFE8" w14:textId="77777777" w:rsidR="009522E1" w:rsidRPr="008514FE" w:rsidRDefault="009522E1" w:rsidP="001D2615">
      <w:pPr>
        <w:pStyle w:val="Bulletindent"/>
      </w:pPr>
      <w:r>
        <w:t>Identifying probity risks and implementing effective management strategies</w:t>
      </w:r>
    </w:p>
    <w:p w14:paraId="75A64144" w14:textId="77777777" w:rsidR="009522E1" w:rsidRPr="008514FE" w:rsidRDefault="009522E1" w:rsidP="001D2615">
      <w:pPr>
        <w:pStyle w:val="Bulletindent"/>
      </w:pPr>
      <w:r>
        <w:t>e</w:t>
      </w:r>
      <w:r w:rsidRPr="008514FE">
        <w:t xml:space="preserve">stablishing </w:t>
      </w:r>
      <w:r>
        <w:t xml:space="preserve">tender and probity </w:t>
      </w:r>
      <w:r w:rsidRPr="008514FE">
        <w:t>procedures</w:t>
      </w:r>
      <w:r>
        <w:t xml:space="preserve"> that are transparent, auditable and accountable, including </w:t>
      </w:r>
      <w:r w:rsidRPr="008514FE">
        <w:t>processes</w:t>
      </w:r>
      <w:r>
        <w:t xml:space="preserve"> </w:t>
      </w:r>
      <w:r w:rsidRPr="008514FE">
        <w:t>for</w:t>
      </w:r>
      <w:r>
        <w:t xml:space="preserve"> record keeping, </w:t>
      </w:r>
      <w:r w:rsidRPr="008514FE">
        <w:t>managing confidentiality in the tender process and keeping supplier information secure</w:t>
      </w:r>
    </w:p>
    <w:p w14:paraId="0622D3AE" w14:textId="202E5659" w:rsidR="009522E1" w:rsidRPr="005C4B62" w:rsidRDefault="009522E1" w:rsidP="001D2615">
      <w:pPr>
        <w:pStyle w:val="Bulletindent"/>
      </w:pPr>
      <w:r w:rsidRPr="005C4B62">
        <w:t>establishing procedures for reporting and managing breaches of probity</w:t>
      </w:r>
      <w:r w:rsidR="00AA4D78">
        <w:t>.</w:t>
      </w:r>
    </w:p>
    <w:p w14:paraId="011F6500" w14:textId="4043647B" w:rsidR="009522E1" w:rsidRDefault="009522E1" w:rsidP="00791C7E">
      <w:pPr>
        <w:pStyle w:val="NormalIndent"/>
        <w:ind w:right="-244"/>
      </w:pPr>
      <w:r>
        <w:t xml:space="preserve">These elements </w:t>
      </w:r>
      <w:r w:rsidR="00825153">
        <w:t xml:space="preserve">are </w:t>
      </w:r>
      <w:r>
        <w:t xml:space="preserve">captured in a </w:t>
      </w:r>
      <w:r w:rsidRPr="007067D3">
        <w:t>probity plan for construction procurement of more than $10</w:t>
      </w:r>
      <w:r w:rsidR="005F2B23">
        <w:rPr>
          <w:rFonts w:ascii="Calibri" w:hAnsi="Calibri" w:cs="Calibri"/>
        </w:rPr>
        <w:t> </w:t>
      </w:r>
      <w:r w:rsidRPr="007067D3">
        <w:t>million</w:t>
      </w:r>
      <w:r>
        <w:t xml:space="preserve"> and for complex and high</w:t>
      </w:r>
      <w:r w:rsidR="005B208C">
        <w:t>-</w:t>
      </w:r>
      <w:r>
        <w:t>risk procurement</w:t>
      </w:r>
      <w:r w:rsidRPr="007067D3">
        <w:t>.</w:t>
      </w:r>
      <w:r>
        <w:t xml:space="preserve"> Probity practitioners may be used for more complex procurements.</w:t>
      </w:r>
      <w:r w:rsidRPr="1B43530C">
        <w:t xml:space="preserve"> </w:t>
      </w:r>
      <w:r w:rsidRPr="007067D3">
        <w:t>For further information on applying probity to government procurements, including requirements for appointing a probity adviser and or auditor, see</w:t>
      </w:r>
      <w:r w:rsidR="005F2B23">
        <w:t>:</w:t>
      </w:r>
      <w:r w:rsidR="00791C7E">
        <w:t xml:space="preserve"> </w:t>
      </w:r>
      <w:hyperlink r:id="rId159" w:history="1">
        <w:r w:rsidR="001F6068">
          <w:rPr>
            <w:rStyle w:val="Hyperlink"/>
          </w:rPr>
          <w:t>https://www.buyingfor.vic.gov.au/plan-probity</w:t>
        </w:r>
      </w:hyperlink>
    </w:p>
    <w:p w14:paraId="2C72599D" w14:textId="77777777" w:rsidR="009522E1" w:rsidRPr="00381445" w:rsidRDefault="009522E1" w:rsidP="001D2615">
      <w:pPr>
        <w:pStyle w:val="Heading2numbered"/>
      </w:pPr>
      <w:bookmarkStart w:id="389" w:name="_Ref144388175"/>
      <w:bookmarkStart w:id="390" w:name="_Toc161321773"/>
      <w:r w:rsidRPr="00381445">
        <w:t xml:space="preserve">Market </w:t>
      </w:r>
      <w:r w:rsidRPr="00BE41D4">
        <w:t>consultation</w:t>
      </w:r>
      <w:bookmarkEnd w:id="389"/>
      <w:bookmarkEnd w:id="390"/>
    </w:p>
    <w:p w14:paraId="39E4A0BF" w14:textId="425FF820" w:rsidR="009522E1" w:rsidRDefault="009522E1" w:rsidP="002C4E08">
      <w:pPr>
        <w:pStyle w:val="NormalIndent"/>
        <w:keepNext/>
      </w:pPr>
      <w:r w:rsidRPr="00387024">
        <w:t xml:space="preserve">Determining </w:t>
      </w:r>
      <w:r>
        <w:t>the form and content of gover</w:t>
      </w:r>
      <w:r w:rsidRPr="00387024">
        <w:t xml:space="preserve">nment </w:t>
      </w:r>
      <w:r>
        <w:t xml:space="preserve">consultation with industry is </w:t>
      </w:r>
      <w:r w:rsidRPr="00387024">
        <w:t>an important element of the procurement plan.</w:t>
      </w:r>
    </w:p>
    <w:p w14:paraId="12F79405" w14:textId="4339806F" w:rsidR="009522E1" w:rsidRDefault="009522E1" w:rsidP="002C4E08">
      <w:pPr>
        <w:pStyle w:val="NormalIndent"/>
        <w:keepNext/>
      </w:pPr>
      <w:r w:rsidRPr="00387024">
        <w:t xml:space="preserve">Appropriate market </w:t>
      </w:r>
      <w:r>
        <w:t xml:space="preserve">consultation </w:t>
      </w:r>
      <w:r w:rsidRPr="00387024">
        <w:t xml:space="preserve">can </w:t>
      </w:r>
      <w:r>
        <w:t xml:space="preserve">inform </w:t>
      </w:r>
      <w:r w:rsidRPr="00387024">
        <w:t xml:space="preserve">whether a </w:t>
      </w:r>
      <w:r w:rsidRPr="00381445">
        <w:t xml:space="preserve">proposed tender engagement </w:t>
      </w:r>
      <w:r w:rsidRPr="00BE41D4">
        <w:t>strategy</w:t>
      </w:r>
      <w:r w:rsidRPr="00381445">
        <w:t xml:space="preserve"> will result in procurement success or failure.</w:t>
      </w:r>
    </w:p>
    <w:p w14:paraId="3EF650B1" w14:textId="3401508F" w:rsidR="009522E1" w:rsidRDefault="009522E1" w:rsidP="00834461">
      <w:pPr>
        <w:pStyle w:val="NormalIndent"/>
      </w:pPr>
      <w:r>
        <w:t xml:space="preserve">Consultation can identify supply side issues and </w:t>
      </w:r>
      <w:r w:rsidRPr="00387024">
        <w:t xml:space="preserve">provide </w:t>
      </w:r>
      <w:r w:rsidR="009E7C83">
        <w:t>G</w:t>
      </w:r>
      <w:r w:rsidRPr="00387024">
        <w:t>overnment with confidence that there is a competitive market capable of supplying its needs</w:t>
      </w:r>
      <w:r>
        <w:t xml:space="preserve"> that will </w:t>
      </w:r>
      <w:r w:rsidRPr="00387024">
        <w:t xml:space="preserve">meet </w:t>
      </w:r>
      <w:r w:rsidR="00C56F3D">
        <w:t>VfM</w:t>
      </w:r>
      <w:r w:rsidRPr="00387024">
        <w:t xml:space="preserve"> outcomes.</w:t>
      </w:r>
    </w:p>
    <w:p w14:paraId="65D37DE2" w14:textId="223CC1C4" w:rsidR="00D14CC6" w:rsidRDefault="009522E1" w:rsidP="007D48FA">
      <w:pPr>
        <w:pStyle w:val="NormalIndent"/>
        <w:keepNext/>
      </w:pPr>
      <w:r>
        <w:t>Market consultation can vary greatly. The extent of consultation required depends</w:t>
      </w:r>
      <w:r w:rsidR="002C4E08">
        <w:rPr>
          <w:rFonts w:ascii="Calibri" w:hAnsi="Calibri" w:cs="Calibri"/>
        </w:rPr>
        <w:t> </w:t>
      </w:r>
      <w:r>
        <w:t>on</w:t>
      </w:r>
      <w:r w:rsidR="00D14CC6">
        <w:t>:</w:t>
      </w:r>
    </w:p>
    <w:p w14:paraId="0E8DACB1" w14:textId="1A3BD128" w:rsidR="00D14CC6" w:rsidRDefault="009522E1" w:rsidP="001D2615">
      <w:pPr>
        <w:pStyle w:val="Bulletindent"/>
        <w:keepNext/>
      </w:pPr>
      <w:r>
        <w:t>the scale and complexity of the investment</w:t>
      </w:r>
    </w:p>
    <w:p w14:paraId="4B38045B" w14:textId="6721F4E8" w:rsidR="00D14CC6" w:rsidRDefault="00D14CC6" w:rsidP="001D2615">
      <w:pPr>
        <w:pStyle w:val="Bulletindent"/>
      </w:pPr>
      <w:r>
        <w:t xml:space="preserve">the </w:t>
      </w:r>
      <w:r w:rsidR="009522E1">
        <w:t>level of risk or uncertainty</w:t>
      </w:r>
    </w:p>
    <w:p w14:paraId="473929C0" w14:textId="3850D782" w:rsidR="00D14CC6" w:rsidRDefault="005F5D86" w:rsidP="001D2615">
      <w:pPr>
        <w:pStyle w:val="Bulletindent"/>
      </w:pPr>
      <w:r>
        <w:t xml:space="preserve">the level of </w:t>
      </w:r>
      <w:r w:rsidR="009522E1">
        <w:t>experience in the procurement methodology</w:t>
      </w:r>
    </w:p>
    <w:p w14:paraId="0A827E14" w14:textId="73C31F52" w:rsidR="009522E1" w:rsidRDefault="009522E1" w:rsidP="001D2615">
      <w:pPr>
        <w:pStyle w:val="Bulletindent"/>
      </w:pPr>
      <w:r>
        <w:t>delivery constraints</w:t>
      </w:r>
      <w:r w:rsidR="001554F8">
        <w:t>,</w:t>
      </w:r>
      <w:r>
        <w:t xml:space="preserve"> such as managing a difficult physical environment or ambitious timelines.</w:t>
      </w:r>
    </w:p>
    <w:p w14:paraId="4B2B8EB2" w14:textId="77777777" w:rsidR="009522E1" w:rsidRDefault="009522E1" w:rsidP="00834461">
      <w:pPr>
        <w:pStyle w:val="NormalIndent"/>
      </w:pPr>
      <w:r>
        <w:t>Options for consultation may include:</w:t>
      </w:r>
    </w:p>
    <w:p w14:paraId="610E1CCD" w14:textId="77777777" w:rsidR="009522E1" w:rsidRDefault="009522E1" w:rsidP="001D2615">
      <w:pPr>
        <w:pStyle w:val="Bulletindent"/>
      </w:pPr>
      <w:r>
        <w:t>m</w:t>
      </w:r>
      <w:r w:rsidRPr="00387024">
        <w:t>arket soundings</w:t>
      </w:r>
      <w:r>
        <w:t xml:space="preserve">, including structured processes seeking market comment or input, </w:t>
      </w:r>
      <w:r w:rsidRPr="00387024">
        <w:t xml:space="preserve">participating in industry </w:t>
      </w:r>
      <w:r>
        <w:t xml:space="preserve">briefings and forums or </w:t>
      </w:r>
      <w:r w:rsidRPr="00387024">
        <w:t>undertaking market surveys</w:t>
      </w:r>
    </w:p>
    <w:p w14:paraId="7573D204" w14:textId="6463D2AC" w:rsidR="009522E1" w:rsidRPr="007067D3" w:rsidRDefault="009522E1" w:rsidP="001D2615">
      <w:pPr>
        <w:pStyle w:val="Bulletindent"/>
      </w:pPr>
      <w:r>
        <w:t xml:space="preserve">a </w:t>
      </w:r>
      <w:r w:rsidR="00F81787">
        <w:t>r</w:t>
      </w:r>
      <w:r>
        <w:t>equest</w:t>
      </w:r>
      <w:r w:rsidRPr="007067D3">
        <w:t xml:space="preserve"> for information</w:t>
      </w:r>
      <w:r w:rsidR="00DF6E1F">
        <w:t xml:space="preserve">, </w:t>
      </w:r>
      <w:r>
        <w:t xml:space="preserve">which is a process primarily </w:t>
      </w:r>
      <w:r w:rsidRPr="007067D3">
        <w:t>used to formally collect written information</w:t>
      </w:r>
      <w:r>
        <w:t xml:space="preserve"> from industry.</w:t>
      </w:r>
    </w:p>
    <w:p w14:paraId="774CD2B8" w14:textId="044A5F39" w:rsidR="009522E1" w:rsidRPr="00387024" w:rsidRDefault="009E7C83" w:rsidP="00834461">
      <w:pPr>
        <w:pStyle w:val="NormalIndent"/>
      </w:pPr>
      <w:r>
        <w:t xml:space="preserve">The </w:t>
      </w:r>
      <w:r w:rsidR="009522E1">
        <w:t>Government may test a range of issues, including to:</w:t>
      </w:r>
    </w:p>
    <w:p w14:paraId="593CD301" w14:textId="64B31E4A" w:rsidR="009522E1" w:rsidRPr="00A5298A" w:rsidRDefault="70AB4104" w:rsidP="001D2615">
      <w:pPr>
        <w:pStyle w:val="Bulletindent"/>
      </w:pPr>
      <w:r>
        <w:t>determine whether there is sufficient market interest and maturity to drive a competitive tender response</w:t>
      </w:r>
    </w:p>
    <w:p w14:paraId="0D77B870" w14:textId="72CFA790" w:rsidR="009522E1" w:rsidRDefault="70AB4104" w:rsidP="001D2615">
      <w:pPr>
        <w:pStyle w:val="Bulletindent"/>
      </w:pPr>
      <w:r>
        <w:t>seek information from the market on ability and appetite to meet project requirements, risk allocation and timelines</w:t>
      </w:r>
    </w:p>
    <w:p w14:paraId="44EB69D1" w14:textId="7AA1B006" w:rsidR="009522E1" w:rsidRPr="00387024" w:rsidRDefault="70AB4104" w:rsidP="001D2615">
      <w:pPr>
        <w:pStyle w:val="Bulletindent"/>
      </w:pPr>
      <w:r>
        <w:t>seek feedback on design and other technical elements</w:t>
      </w:r>
    </w:p>
    <w:p w14:paraId="16475B8F" w14:textId="787C41FB" w:rsidR="009522E1" w:rsidRPr="00A5298A" w:rsidRDefault="70AB4104" w:rsidP="001D2615">
      <w:pPr>
        <w:pStyle w:val="Bulletindent"/>
      </w:pPr>
      <w:r>
        <w:t>determine whether there is an appetite to consider alternative solutions/procurement options that could deliver improved outcomes and value</w:t>
      </w:r>
      <w:r w:rsidR="007334C6">
        <w:t>-</w:t>
      </w:r>
      <w:r>
        <w:t>for</w:t>
      </w:r>
      <w:r w:rsidR="007334C6">
        <w:t>-</w:t>
      </w:r>
      <w:r>
        <w:t>money</w:t>
      </w:r>
    </w:p>
    <w:p w14:paraId="4A902E40" w14:textId="798CDDA8" w:rsidR="009522E1" w:rsidRPr="00A5298A" w:rsidRDefault="70AB4104" w:rsidP="001D2615">
      <w:pPr>
        <w:pStyle w:val="Bulletindent"/>
      </w:pPr>
      <w:r>
        <w:t xml:space="preserve">identify technological developments or innovations that could impact on </w:t>
      </w:r>
      <w:r w:rsidR="006706CC">
        <w:t>delivery of the project</w:t>
      </w:r>
    </w:p>
    <w:p w14:paraId="184B3B06" w14:textId="4076F0DB" w:rsidR="009522E1" w:rsidRPr="00387024" w:rsidRDefault="009522E1" w:rsidP="00834461">
      <w:pPr>
        <w:pStyle w:val="NormalIndent"/>
      </w:pPr>
      <w:r>
        <w:t>P</w:t>
      </w:r>
      <w:r w:rsidRPr="00387024">
        <w:t>rocurement practitioners</w:t>
      </w:r>
      <w:r>
        <w:t xml:space="preserve"> </w:t>
      </w:r>
      <w:r w:rsidRPr="00387024">
        <w:t>must consider confidentiality and probity</w:t>
      </w:r>
      <w:r>
        <w:t xml:space="preserve"> in undertaking all consultation activities. Practitioners should also consider that market feedback will be influenced by a range of factors including commercial incentives. Procurement plans should be updated based on market consultation, where appropriate.</w:t>
      </w:r>
    </w:p>
    <w:p w14:paraId="19240CA1" w14:textId="77777777" w:rsidR="009522E1" w:rsidRPr="00387024" w:rsidRDefault="009522E1" w:rsidP="001D2615">
      <w:pPr>
        <w:pStyle w:val="Heading2numbered"/>
      </w:pPr>
      <w:bookmarkStart w:id="391" w:name="_Ref144390615"/>
      <w:bookmarkStart w:id="392" w:name="_Toc161321774"/>
      <w:r w:rsidRPr="00387024">
        <w:t xml:space="preserve">Tender </w:t>
      </w:r>
      <w:r>
        <w:t xml:space="preserve">engagement </w:t>
      </w:r>
      <w:r w:rsidRPr="00387024">
        <w:t>strategy</w:t>
      </w:r>
      <w:bookmarkEnd w:id="391"/>
      <w:bookmarkEnd w:id="392"/>
    </w:p>
    <w:p w14:paraId="17053FDA" w14:textId="739B800F" w:rsidR="009522E1" w:rsidRDefault="009522E1" w:rsidP="00834461">
      <w:pPr>
        <w:pStyle w:val="NormalIndent"/>
      </w:pPr>
      <w:r w:rsidRPr="00387024">
        <w:t xml:space="preserve">The tender </w:t>
      </w:r>
      <w:r>
        <w:t xml:space="preserve">engagement </w:t>
      </w:r>
      <w:r w:rsidRPr="00387024">
        <w:t xml:space="preserve">strategy is </w:t>
      </w:r>
      <w:r>
        <w:t xml:space="preserve">an </w:t>
      </w:r>
      <w:r w:rsidRPr="00387024">
        <w:t xml:space="preserve">important and mandatory element of the procurement plan. </w:t>
      </w:r>
      <w:r>
        <w:t>It details the method of engaging a contractor to perform the works. It</w:t>
      </w:r>
      <w:r w:rsidRPr="00387024">
        <w:t xml:space="preserve"> should outline</w:t>
      </w:r>
      <w:r>
        <w:t xml:space="preserve"> </w:t>
      </w:r>
      <w:r w:rsidRPr="00387024">
        <w:t>how the agency intends to offer the procurement opportunity to the market</w:t>
      </w:r>
      <w:r>
        <w:t>, including the type and form of tendering and whether to use si</w:t>
      </w:r>
      <w:r w:rsidRPr="00387024">
        <w:t>ngle-stage or multi</w:t>
      </w:r>
      <w:r w:rsidR="007334C6">
        <w:rPr>
          <w:rFonts w:hint="eastAsia"/>
        </w:rPr>
        <w:t>stage</w:t>
      </w:r>
      <w:r w:rsidRPr="00387024">
        <w:t xml:space="preserve"> tender approach</w:t>
      </w:r>
      <w:r>
        <w:t>es.</w:t>
      </w:r>
    </w:p>
    <w:p w14:paraId="3F6F4CFC" w14:textId="03540362" w:rsidR="009522E1" w:rsidRPr="00DE32D0" w:rsidRDefault="009522E1" w:rsidP="00834461">
      <w:pPr>
        <w:pStyle w:val="NormalIndent"/>
      </w:pPr>
      <w:r w:rsidRPr="00DE32D0">
        <w:t xml:space="preserve">Different procurement models will have defined stages of tendering and forms of invitation to tender. Further information on these approaches can be found in the </w:t>
      </w:r>
      <w:hyperlink r:id="rId160" w:history="1">
        <w:r w:rsidRPr="005F3985">
          <w:rPr>
            <w:rStyle w:val="Hyperlink"/>
          </w:rPr>
          <w:t>Cost Reimbursable Procurement Requirements</w:t>
        </w:r>
      </w:hyperlink>
      <w:r w:rsidRPr="00DE32D0">
        <w:t xml:space="preserve"> and the </w:t>
      </w:r>
      <w:hyperlink r:id="rId161" w:history="1">
        <w:r w:rsidR="00892A4F" w:rsidRPr="00D15358">
          <w:rPr>
            <w:rStyle w:val="Hyperlink"/>
          </w:rPr>
          <w:t>Whole</w:t>
        </w:r>
        <w:r w:rsidR="007334C6" w:rsidRPr="00D15358">
          <w:rPr>
            <w:rStyle w:val="Hyperlink"/>
            <w:rFonts w:hint="eastAsia"/>
          </w:rPr>
          <w:t>-</w:t>
        </w:r>
        <w:r w:rsidR="00892A4F" w:rsidRPr="00D15358">
          <w:rPr>
            <w:rStyle w:val="Hyperlink"/>
          </w:rPr>
          <w:t>of</w:t>
        </w:r>
        <w:r w:rsidR="007334C6" w:rsidRPr="00D15358">
          <w:rPr>
            <w:rStyle w:val="Hyperlink"/>
            <w:rFonts w:hint="eastAsia"/>
          </w:rPr>
          <w:t>-</w:t>
        </w:r>
        <w:r w:rsidR="00892A4F" w:rsidRPr="00D15358">
          <w:rPr>
            <w:rStyle w:val="Hyperlink"/>
          </w:rPr>
          <w:t xml:space="preserve">Life </w:t>
        </w:r>
        <w:r w:rsidRPr="00D15358">
          <w:rPr>
            <w:rStyle w:val="Hyperlink"/>
          </w:rPr>
          <w:t>Procurement Requirements</w:t>
        </w:r>
      </w:hyperlink>
      <w:r w:rsidRPr="00DE32D0">
        <w:t>.</w:t>
      </w:r>
    </w:p>
    <w:p w14:paraId="2BE941A1" w14:textId="6E473731" w:rsidR="009522E1" w:rsidRPr="00B437ED" w:rsidRDefault="00193FF1" w:rsidP="00834461">
      <w:pPr>
        <w:pStyle w:val="NormalIndent"/>
      </w:pPr>
      <w:r>
        <w:t xml:space="preserve">If </w:t>
      </w:r>
      <w:r w:rsidR="00936CD5">
        <w:t>the procurement team decides that a sole-sourced procurement process is required (</w:t>
      </w:r>
      <w:r w:rsidR="005B208C">
        <w:t xml:space="preserve">and this is </w:t>
      </w:r>
      <w:r w:rsidR="00936CD5">
        <w:t xml:space="preserve">inconsistent with </w:t>
      </w:r>
      <w:r w:rsidR="005B208C">
        <w:t xml:space="preserve">the approach approved in the </w:t>
      </w:r>
      <w:r w:rsidR="00936CD5">
        <w:t xml:space="preserve">business </w:t>
      </w:r>
      <w:r w:rsidR="00936CD5" w:rsidRPr="00BA4FB6">
        <w:t>case or</w:t>
      </w:r>
      <w:r w:rsidR="005B208C" w:rsidRPr="00BA4FB6">
        <w:t xml:space="preserve"> with </w:t>
      </w:r>
      <w:r w:rsidR="00BA4FB6" w:rsidRPr="00BA4FB6">
        <w:t xml:space="preserve">requirements for limited tendering set </w:t>
      </w:r>
      <w:r w:rsidR="005F3985">
        <w:t xml:space="preserve">out </w:t>
      </w:r>
      <w:r w:rsidR="00BA4FB6" w:rsidRPr="00BA4FB6">
        <w:t>in the</w:t>
      </w:r>
      <w:r w:rsidR="00936CD5" w:rsidRPr="00BA4FB6">
        <w:t xml:space="preserve"> </w:t>
      </w:r>
      <w:hyperlink r:id="rId162" w:history="1">
        <w:r w:rsidR="00D8530E" w:rsidRPr="00F46665">
          <w:rPr>
            <w:rStyle w:val="Hyperlink"/>
          </w:rPr>
          <w:t>M</w:t>
        </w:r>
        <w:r w:rsidR="005F3985" w:rsidRPr="00F46665">
          <w:rPr>
            <w:rStyle w:val="Hyperlink"/>
          </w:rPr>
          <w:t>inisterial Direction</w:t>
        </w:r>
        <w:r w:rsidR="00E96D28" w:rsidRPr="00F46665">
          <w:rPr>
            <w:rStyle w:val="Hyperlink"/>
          </w:rPr>
          <w:t>s and Instructions for Public Construction Procurement</w:t>
        </w:r>
      </w:hyperlink>
      <w:r w:rsidR="00F46665">
        <w:t xml:space="preserve"> (3.2)</w:t>
      </w:r>
      <w:r w:rsidR="00BA4FB6" w:rsidRPr="00BA4FB6">
        <w:t>,</w:t>
      </w:r>
      <w:r w:rsidR="00936CD5" w:rsidRPr="00BA4FB6">
        <w:t xml:space="preserve"> additional approvals may be </w:t>
      </w:r>
      <w:r w:rsidR="00936CD5" w:rsidRPr="00171CF8">
        <w:t>required</w:t>
      </w:r>
      <w:r w:rsidR="001559C0" w:rsidRPr="00171CF8">
        <w:t>.</w:t>
      </w:r>
    </w:p>
    <w:p w14:paraId="2E878E6A" w14:textId="5B42710E" w:rsidR="009522E1" w:rsidRPr="00195481" w:rsidRDefault="009522E1" w:rsidP="001D2615">
      <w:pPr>
        <w:pStyle w:val="Heading3numbered"/>
      </w:pPr>
      <w:r w:rsidRPr="00195481">
        <w:t>Form of invitation to tender</w:t>
      </w:r>
    </w:p>
    <w:p w14:paraId="1E89A8F7" w14:textId="7D97C7DF" w:rsidR="00F81787" w:rsidRDefault="009522E1" w:rsidP="00834461">
      <w:pPr>
        <w:pStyle w:val="NormalIndent"/>
      </w:pPr>
      <w:r w:rsidRPr="00950088">
        <w:t xml:space="preserve">Tender documentation will comprise the </w:t>
      </w:r>
      <w:r w:rsidR="00A30132">
        <w:t>expression of interest (</w:t>
      </w:r>
      <w:r w:rsidRPr="00950088">
        <w:t>EOI</w:t>
      </w:r>
      <w:r w:rsidR="00A30132">
        <w:t>)</w:t>
      </w:r>
      <w:r w:rsidRPr="00950088">
        <w:t xml:space="preserve">, </w:t>
      </w:r>
      <w:r w:rsidDel="00D82DBD">
        <w:t>RFP</w:t>
      </w:r>
      <w:r>
        <w:t xml:space="preserve"> </w:t>
      </w:r>
      <w:r w:rsidRPr="00950088">
        <w:t xml:space="preserve">or </w:t>
      </w:r>
      <w:r>
        <w:t>request for tender (R</w:t>
      </w:r>
      <w:r w:rsidRPr="00950088">
        <w:t>FT</w:t>
      </w:r>
      <w:r>
        <w:t>)</w:t>
      </w:r>
      <w:r w:rsidRPr="00950088">
        <w:t xml:space="preserve"> documents depending on the type of procurement model used. Typically</w:t>
      </w:r>
      <w:r w:rsidR="00F81787">
        <w:t xml:space="preserve"> </w:t>
      </w:r>
      <w:r w:rsidR="70AB4104">
        <w:t>a design specification is used when the client has specified a defined solution and this is used in conjunction with an RFT.</w:t>
      </w:r>
    </w:p>
    <w:p w14:paraId="4ECF881C" w14:textId="4AFA04B9" w:rsidR="009522E1" w:rsidRPr="00195481" w:rsidRDefault="00F81787" w:rsidP="00834461">
      <w:pPr>
        <w:pStyle w:val="NormalIndent"/>
      </w:pPr>
      <w:r>
        <w:t xml:space="preserve">A </w:t>
      </w:r>
      <w:r w:rsidR="70AB4104">
        <w:t>statement of requirements is used when the client has defined the services or outputs it requires but has not defined a single specific solution. It should be used in conjunction with an RFP. This approach is used for Partnerships Victoria projects.</w:t>
      </w:r>
    </w:p>
    <w:p w14:paraId="0AA5895E" w14:textId="027310CC" w:rsidR="009522E1" w:rsidRPr="00BF6E6B" w:rsidRDefault="009522E1" w:rsidP="00834461">
      <w:pPr>
        <w:pStyle w:val="NormalIndent"/>
      </w:pPr>
      <w:r>
        <w:t>Agencies should refer to</w:t>
      </w:r>
      <w:r w:rsidR="001200FF">
        <w:t xml:space="preserve"> Appe</w:t>
      </w:r>
      <w:r w:rsidR="00D4799B">
        <w:t>ndix E and</w:t>
      </w:r>
      <w:r w:rsidR="00F81787">
        <w:t xml:space="preserve"> see:</w:t>
      </w:r>
      <w:r>
        <w:t xml:space="preserve"> </w:t>
      </w:r>
      <w:hyperlink r:id="rId163" w:anchor="invite-offers">
        <w:r w:rsidRPr="561FA5B4">
          <w:rPr>
            <w:rStyle w:val="Hyperlink"/>
          </w:rPr>
          <w:t>https://www.buyingfor.vic.gov.au/source-supplier#invite-offers</w:t>
        </w:r>
      </w:hyperlink>
      <w:r>
        <w:t xml:space="preserve"> for further information on invitations to tender.</w:t>
      </w:r>
    </w:p>
    <w:p w14:paraId="0B93A3E8" w14:textId="167F1612" w:rsidR="009522E1" w:rsidRPr="00387024" w:rsidRDefault="009522E1" w:rsidP="001D2615">
      <w:pPr>
        <w:pStyle w:val="Heading3numbered"/>
      </w:pPr>
      <w:r w:rsidRPr="00387024">
        <w:t>Tender approach</w:t>
      </w:r>
    </w:p>
    <w:tbl>
      <w:tblPr>
        <w:tblStyle w:val="DTFtexttable"/>
        <w:tblW w:w="8505" w:type="dxa"/>
        <w:tblInd w:w="792" w:type="dxa"/>
        <w:tblBorders>
          <w:bottom w:val="none" w:sz="0" w:space="0" w:color="auto"/>
          <w:insideH w:val="none" w:sz="0" w:space="0" w:color="auto"/>
        </w:tblBorders>
        <w:shd w:val="clear" w:color="auto" w:fill="F2F2F2" w:themeFill="background1" w:themeFillShade="F2"/>
        <w:tblLayout w:type="fixed"/>
        <w:tblLook w:val="04A0" w:firstRow="1" w:lastRow="0" w:firstColumn="1" w:lastColumn="0" w:noHBand="0" w:noVBand="1"/>
      </w:tblPr>
      <w:tblGrid>
        <w:gridCol w:w="648"/>
        <w:gridCol w:w="7857"/>
      </w:tblGrid>
      <w:tr w:rsidR="009522E1" w:rsidRPr="00003B28" w14:paraId="45C316F2" w14:textId="77777777" w:rsidTr="007D48FA">
        <w:trPr>
          <w:cnfStyle w:val="100000000000" w:firstRow="1" w:lastRow="0" w:firstColumn="0" w:lastColumn="0" w:oddVBand="0" w:evenVBand="0" w:oddHBand="0" w:evenHBand="0" w:firstRowFirstColumn="0" w:firstRowLastColumn="0" w:lastRowFirstColumn="0" w:lastRowLastColumn="0"/>
          <w:cantSplit w:val="0"/>
          <w:trHeight w:val="300"/>
        </w:trPr>
        <w:tc>
          <w:tcPr>
            <w:cnfStyle w:val="001000000100" w:firstRow="0" w:lastRow="0" w:firstColumn="1" w:lastColumn="0" w:oddVBand="0" w:evenVBand="0" w:oddHBand="0" w:evenHBand="0" w:firstRowFirstColumn="1" w:firstRowLastColumn="0" w:lastRowFirstColumn="0" w:lastRowLastColumn="0"/>
            <w:tcW w:w="648" w:type="dxa"/>
            <w:shd w:val="clear" w:color="auto" w:fill="F2F2F2" w:themeFill="background1" w:themeFillShade="F2"/>
          </w:tcPr>
          <w:p w14:paraId="7BD3A21B" w14:textId="4DECF892" w:rsidR="007D48FA" w:rsidRPr="007D48FA" w:rsidRDefault="007D48FA" w:rsidP="007D48FA">
            <w:pPr>
              <w:pStyle w:val="Tabletext"/>
              <w:ind w:right="7187"/>
              <w:rPr>
                <w:noProof/>
              </w:rPr>
            </w:pPr>
            <w:r w:rsidRPr="007D48FA">
              <w:rPr>
                <w:noProof/>
              </w:rPr>
              <w:drawing>
                <wp:inline distT="0" distB="0" distL="0" distR="0" wp14:anchorId="1708D4FB" wp14:editId="7CA80073">
                  <wp:extent cx="371475" cy="278607"/>
                  <wp:effectExtent l="0" t="0" r="0" b="7620"/>
                  <wp:docPr id="37" name="Picture 3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857" w:type="dxa"/>
            <w:shd w:val="clear" w:color="auto" w:fill="F2F2F2" w:themeFill="background1" w:themeFillShade="F2"/>
            <w:hideMark/>
          </w:tcPr>
          <w:p w14:paraId="3C792173" w14:textId="3D1D3D20" w:rsidR="009522E1" w:rsidRPr="00BE41D4" w:rsidRDefault="009363DA" w:rsidP="561FA5B4">
            <w:pPr>
              <w:pStyle w:val="Tabletex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20"/>
                <w:szCs w:val="20"/>
              </w:rPr>
            </w:pPr>
            <w:r>
              <w:rPr>
                <w:rFonts w:asciiTheme="minorHAnsi" w:hAnsiTheme="minorHAnsi"/>
              </w:rPr>
              <w:t>The Ministerial Directions and Instructions for Public Construction Procurement</w:t>
            </w:r>
            <w:r w:rsidR="009522E1" w:rsidRPr="007D48FA">
              <w:rPr>
                <w:rFonts w:asciiTheme="minorHAnsi" w:hAnsiTheme="minorHAnsi"/>
              </w:rPr>
              <w:t xml:space="preserve"> 3.2 sets rules and minimum thresholds for open, selective and limited tendering.</w:t>
            </w:r>
          </w:p>
          <w:p w14:paraId="0E04FE50" w14:textId="47E6B90F" w:rsidR="009522E1" w:rsidRPr="00BE41D4" w:rsidRDefault="009522E1" w:rsidP="561FA5B4">
            <w:pPr>
              <w:pStyle w:val="Tabletex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sz w:val="20"/>
                <w:szCs w:val="20"/>
              </w:rPr>
            </w:pPr>
            <w:r w:rsidRPr="561FA5B4">
              <w:rPr>
                <w:rFonts w:asciiTheme="minorHAnsi" w:eastAsiaTheme="minorEastAsia" w:hAnsiTheme="minorHAnsi"/>
              </w:rPr>
              <w:t xml:space="preserve">To promote competition and contestability, when engaging a supplier to perform </w:t>
            </w:r>
            <w:r w:rsidR="0022036C">
              <w:rPr>
                <w:rFonts w:asciiTheme="minorHAnsi" w:eastAsiaTheme="minorEastAsia" w:hAnsiTheme="minorHAnsi"/>
              </w:rPr>
              <w:t>w</w:t>
            </w:r>
            <w:r w:rsidRPr="561FA5B4">
              <w:rPr>
                <w:rFonts w:asciiTheme="minorHAnsi" w:eastAsiaTheme="minorEastAsia" w:hAnsiTheme="minorHAnsi"/>
              </w:rPr>
              <w:t xml:space="preserve">orks or </w:t>
            </w:r>
            <w:r w:rsidR="0022036C">
              <w:rPr>
                <w:rFonts w:asciiTheme="minorHAnsi" w:eastAsiaTheme="minorEastAsia" w:hAnsiTheme="minorHAnsi"/>
              </w:rPr>
              <w:t>c</w:t>
            </w:r>
            <w:r w:rsidRPr="561FA5B4">
              <w:rPr>
                <w:rFonts w:asciiTheme="minorHAnsi" w:eastAsiaTheme="minorEastAsia" w:hAnsiTheme="minorHAnsi"/>
              </w:rPr>
              <w:t xml:space="preserve">onstruction </w:t>
            </w:r>
            <w:r w:rsidR="0022036C">
              <w:rPr>
                <w:rFonts w:asciiTheme="minorHAnsi" w:eastAsiaTheme="minorEastAsia" w:hAnsiTheme="minorHAnsi"/>
              </w:rPr>
              <w:t>s</w:t>
            </w:r>
            <w:r w:rsidRPr="561FA5B4">
              <w:rPr>
                <w:rFonts w:asciiTheme="minorHAnsi" w:eastAsiaTheme="minorEastAsia" w:hAnsiTheme="minorHAnsi"/>
              </w:rPr>
              <w:t xml:space="preserve">ervices, </w:t>
            </w:r>
            <w:r w:rsidR="0022036C">
              <w:rPr>
                <w:rFonts w:asciiTheme="minorHAnsi" w:eastAsiaTheme="minorEastAsia" w:hAnsiTheme="minorHAnsi"/>
              </w:rPr>
              <w:t>a</w:t>
            </w:r>
            <w:r w:rsidRPr="561FA5B4">
              <w:rPr>
                <w:rFonts w:asciiTheme="minorHAnsi" w:eastAsiaTheme="minorEastAsia" w:hAnsiTheme="minorHAnsi"/>
              </w:rPr>
              <w:t>gencies must use:</w:t>
            </w:r>
          </w:p>
          <w:p w14:paraId="709D0C1D" w14:textId="048C3E01" w:rsidR="009522E1" w:rsidRPr="007D48FA" w:rsidRDefault="009522E1" w:rsidP="001D2615">
            <w:pPr>
              <w:pStyle w:val="Tablebulle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D48FA">
              <w:rPr>
                <w:rFonts w:asciiTheme="minorHAnsi" w:hAnsiTheme="minorHAnsi"/>
              </w:rPr>
              <w:t>an open tender</w:t>
            </w:r>
          </w:p>
          <w:p w14:paraId="53E6B88F" w14:textId="4024F2B1" w:rsidR="009522E1" w:rsidRPr="007D48FA" w:rsidRDefault="009522E1" w:rsidP="001D2615">
            <w:pPr>
              <w:pStyle w:val="Tablebulle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D48FA">
              <w:rPr>
                <w:rFonts w:asciiTheme="minorHAnsi" w:hAnsiTheme="minorHAnsi"/>
              </w:rPr>
              <w:t xml:space="preserve">a </w:t>
            </w:r>
            <w:r w:rsidR="002C5856">
              <w:rPr>
                <w:rFonts w:asciiTheme="minorHAnsi" w:hAnsiTheme="minorHAnsi"/>
              </w:rPr>
              <w:t>s</w:t>
            </w:r>
            <w:r w:rsidRPr="007D48FA">
              <w:rPr>
                <w:rFonts w:asciiTheme="minorHAnsi" w:hAnsiTheme="minorHAnsi"/>
              </w:rPr>
              <w:t xml:space="preserve">elective </w:t>
            </w:r>
            <w:r w:rsidR="002C5856">
              <w:rPr>
                <w:rFonts w:asciiTheme="minorHAnsi" w:hAnsiTheme="minorHAnsi"/>
              </w:rPr>
              <w:t>t</w:t>
            </w:r>
            <w:r w:rsidRPr="007D48FA">
              <w:rPr>
                <w:rFonts w:asciiTheme="minorHAnsi" w:hAnsiTheme="minorHAnsi"/>
              </w:rPr>
              <w:t>ender open to</w:t>
            </w:r>
          </w:p>
          <w:p w14:paraId="554321E3" w14:textId="647F39BB" w:rsidR="009522E1" w:rsidRPr="007D48FA" w:rsidRDefault="009522E1" w:rsidP="001D2615">
            <w:pPr>
              <w:pStyle w:val="Tabledas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D48FA">
              <w:rPr>
                <w:rFonts w:asciiTheme="minorHAnsi" w:hAnsiTheme="minorHAnsi"/>
              </w:rPr>
              <w:t xml:space="preserve">all suppliers in the relevant category of a </w:t>
            </w:r>
            <w:r w:rsidR="0022036C">
              <w:rPr>
                <w:rFonts w:asciiTheme="minorHAnsi" w:hAnsiTheme="minorHAnsi"/>
              </w:rPr>
              <w:t>r</w:t>
            </w:r>
            <w:r w:rsidRPr="007D48FA">
              <w:rPr>
                <w:rFonts w:asciiTheme="minorHAnsi" w:hAnsiTheme="minorHAnsi"/>
              </w:rPr>
              <w:t>egister or</w:t>
            </w:r>
          </w:p>
          <w:p w14:paraId="0B77D670" w14:textId="7FD69512" w:rsidR="009522E1" w:rsidRPr="007D48FA" w:rsidRDefault="009522E1" w:rsidP="001D2615">
            <w:pPr>
              <w:pStyle w:val="Tabledash"/>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D48FA">
              <w:rPr>
                <w:rFonts w:asciiTheme="minorHAnsi" w:hAnsiTheme="minorHAnsi"/>
              </w:rPr>
              <w:t xml:space="preserve">at least three suppliers in the relevant category of a </w:t>
            </w:r>
            <w:r w:rsidR="0022036C">
              <w:rPr>
                <w:rFonts w:asciiTheme="minorHAnsi" w:hAnsiTheme="minorHAnsi"/>
              </w:rPr>
              <w:t>r</w:t>
            </w:r>
            <w:r w:rsidRPr="007D48FA">
              <w:rPr>
                <w:rFonts w:asciiTheme="minorHAnsi" w:hAnsiTheme="minorHAnsi"/>
              </w:rPr>
              <w:t>egister or</w:t>
            </w:r>
          </w:p>
          <w:p w14:paraId="79297038" w14:textId="37F9320C" w:rsidR="009522E1" w:rsidRPr="007D48FA" w:rsidRDefault="009522E1" w:rsidP="001D2615">
            <w:pPr>
              <w:pStyle w:val="Tablebullet"/>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D48FA">
              <w:rPr>
                <w:rFonts w:asciiTheme="minorHAnsi" w:hAnsiTheme="minorHAnsi"/>
              </w:rPr>
              <w:t xml:space="preserve">a </w:t>
            </w:r>
            <w:r w:rsidR="002C5856">
              <w:rPr>
                <w:rFonts w:asciiTheme="minorHAnsi" w:hAnsiTheme="minorHAnsi"/>
              </w:rPr>
              <w:t>l</w:t>
            </w:r>
            <w:r w:rsidRPr="007D48FA">
              <w:rPr>
                <w:rFonts w:asciiTheme="minorHAnsi" w:hAnsiTheme="minorHAnsi"/>
              </w:rPr>
              <w:t xml:space="preserve">imited </w:t>
            </w:r>
            <w:r w:rsidR="002C5856">
              <w:rPr>
                <w:rFonts w:asciiTheme="minorHAnsi" w:hAnsiTheme="minorHAnsi"/>
              </w:rPr>
              <w:t>t</w:t>
            </w:r>
            <w:r w:rsidRPr="007D48FA">
              <w:rPr>
                <w:rFonts w:asciiTheme="minorHAnsi" w:hAnsiTheme="minorHAnsi"/>
              </w:rPr>
              <w:t>ender conducted in accordance with the Instructions.</w:t>
            </w:r>
          </w:p>
        </w:tc>
      </w:tr>
    </w:tbl>
    <w:p w14:paraId="68540C77" w14:textId="2ED34C9E" w:rsidR="009522E1" w:rsidRDefault="009522E1" w:rsidP="00116E99">
      <w:pPr>
        <w:pStyle w:val="NormalIndent"/>
        <w:keepNext/>
      </w:pPr>
      <w:r>
        <w:t xml:space="preserve">Agencies </w:t>
      </w:r>
      <w:r w:rsidRPr="00387024">
        <w:t>may seek tenders by using</w:t>
      </w:r>
      <w:r>
        <w:t xml:space="preserve"> three broad types of tendering:</w:t>
      </w:r>
    </w:p>
    <w:p w14:paraId="7B6F272A" w14:textId="20179284" w:rsidR="009522E1" w:rsidRDefault="70AB4104" w:rsidP="001D2615">
      <w:pPr>
        <w:pStyle w:val="Bulletindent"/>
        <w:keepNext/>
      </w:pPr>
      <w:r w:rsidRPr="76AB2BEA">
        <w:rPr>
          <w:b/>
          <w:bCs/>
        </w:rPr>
        <w:t>Open tendering (single or multistage)</w:t>
      </w:r>
      <w:r w:rsidR="0022036C">
        <w:t xml:space="preserve"> is</w:t>
      </w:r>
      <w:r>
        <w:t xml:space="preserve"> a competitive tender open to all potential suppliers of the works or services in the local and international market</w:t>
      </w:r>
      <w:r w:rsidR="003D3C32">
        <w:t>.</w:t>
      </w:r>
    </w:p>
    <w:p w14:paraId="723E72B6" w14:textId="1EC80164" w:rsidR="009522E1" w:rsidRDefault="70AB4104" w:rsidP="001D2615">
      <w:pPr>
        <w:pStyle w:val="Bulletindent"/>
        <w:keepNext/>
      </w:pPr>
      <w:r w:rsidRPr="76AB2BEA">
        <w:rPr>
          <w:b/>
          <w:bCs/>
        </w:rPr>
        <w:t>Selective tendering</w:t>
      </w:r>
      <w:r w:rsidR="0022036C">
        <w:t xml:space="preserve"> is </w:t>
      </w:r>
      <w:r w:rsidRPr="76AB2BEA">
        <w:rPr>
          <w:rFonts w:cstheme="minorBidi"/>
          <w:color w:val="000000"/>
        </w:rPr>
        <w:t xml:space="preserve">a competitive tender open only to suppliers on a prequalification register </w:t>
      </w:r>
      <w:r w:rsidR="00A71FF1">
        <w:rPr>
          <w:rFonts w:cstheme="minorBidi"/>
          <w:color w:val="000000"/>
        </w:rPr>
        <w:t xml:space="preserve">who </w:t>
      </w:r>
      <w:r w:rsidRPr="76AB2BEA">
        <w:rPr>
          <w:rFonts w:cstheme="minorBidi"/>
          <w:color w:val="000000"/>
        </w:rPr>
        <w:t>are invited to participate in the tender</w:t>
      </w:r>
      <w:r w:rsidR="003D3C32">
        <w:rPr>
          <w:rFonts w:cstheme="minorBidi"/>
          <w:color w:val="000000"/>
        </w:rPr>
        <w:t>.</w:t>
      </w:r>
    </w:p>
    <w:p w14:paraId="60C3A514" w14:textId="43BA3992" w:rsidR="009522E1" w:rsidRDefault="70AB4104" w:rsidP="001D2615">
      <w:pPr>
        <w:pStyle w:val="Bulletindent"/>
      </w:pPr>
      <w:r w:rsidRPr="76AB2BEA">
        <w:rPr>
          <w:b/>
          <w:bCs/>
        </w:rPr>
        <w:t>Limited tendering</w:t>
      </w:r>
      <w:r>
        <w:t xml:space="preserve"> </w:t>
      </w:r>
      <w:r w:rsidR="0022036C">
        <w:t xml:space="preserve">is </w:t>
      </w:r>
      <w:r>
        <w:t>a tender conducted with limited competition</w:t>
      </w:r>
      <w:r w:rsidR="003D3C32">
        <w:t>.</w:t>
      </w:r>
    </w:p>
    <w:p w14:paraId="4CA0DEEF" w14:textId="5A169E06" w:rsidR="009522E1" w:rsidRDefault="009522E1" w:rsidP="00834461">
      <w:pPr>
        <w:pStyle w:val="NormalIndent"/>
      </w:pPr>
      <w:r>
        <w:t>The selection approach will be informed by the scale and complexity of the procurement, project</w:t>
      </w:r>
      <w:r w:rsidR="006E3A96">
        <w:rPr>
          <w:rFonts w:hint="eastAsia"/>
        </w:rPr>
        <w:t>-</w:t>
      </w:r>
      <w:r>
        <w:t>specific circumstances and the level of competition.</w:t>
      </w:r>
    </w:p>
    <w:p w14:paraId="52955B87" w14:textId="11A6914E" w:rsidR="009522E1" w:rsidRDefault="009522E1" w:rsidP="00834461">
      <w:pPr>
        <w:pStyle w:val="NormalIndent"/>
      </w:pPr>
      <w:r w:rsidRPr="00851EBD">
        <w:t xml:space="preserve">The </w:t>
      </w:r>
      <w:r w:rsidR="009A19C1">
        <w:t>Ministerial Directions and Instructions for Public Construction Procurement</w:t>
      </w:r>
      <w:r w:rsidR="009A19C1" w:rsidRPr="007D48FA">
        <w:t xml:space="preserve"> </w:t>
      </w:r>
      <w:r w:rsidR="00C95C64">
        <w:t xml:space="preserve">3.2 </w:t>
      </w:r>
      <w:r w:rsidRPr="00851EBD">
        <w:t xml:space="preserve">under the </w:t>
      </w:r>
      <w:r w:rsidRPr="561FA5B4">
        <w:rPr>
          <w:i/>
        </w:rPr>
        <w:t>Project Development and Construction Management Act 1994</w:t>
      </w:r>
      <w:r w:rsidRPr="00851EBD">
        <w:t xml:space="preserve"> </w:t>
      </w:r>
      <w:r w:rsidR="00B45A22">
        <w:t xml:space="preserve">(Vic) </w:t>
      </w:r>
      <w:r w:rsidRPr="00851EBD">
        <w:t>sets</w:t>
      </w:r>
      <w:r>
        <w:t xml:space="preserve"> out the limited </w:t>
      </w:r>
      <w:r w:rsidRPr="00851EBD">
        <w:t>circumstances and value thresholds where selective and limited tendering can be adopted.</w:t>
      </w:r>
    </w:p>
    <w:p w14:paraId="46E528AD" w14:textId="77777777" w:rsidR="009522E1" w:rsidRDefault="009522E1" w:rsidP="001D2615">
      <w:pPr>
        <w:pStyle w:val="Heading4numbered"/>
      </w:pPr>
      <w:r>
        <w:t>Stages of tendering</w:t>
      </w:r>
    </w:p>
    <w:p w14:paraId="60565E7F" w14:textId="3155A3A5" w:rsidR="009522E1" w:rsidRPr="00387024" w:rsidRDefault="009522E1" w:rsidP="00834461">
      <w:pPr>
        <w:pStyle w:val="NormalIndent"/>
      </w:pPr>
      <w:r>
        <w:t>E</w:t>
      </w:r>
      <w:r w:rsidRPr="00387024">
        <w:t>ither a single</w:t>
      </w:r>
      <w:r>
        <w:t>-</w:t>
      </w:r>
      <w:r w:rsidRPr="00387024">
        <w:t>stage or multi</w:t>
      </w:r>
      <w:r w:rsidR="007334C6">
        <w:rPr>
          <w:rFonts w:hint="eastAsia"/>
        </w:rPr>
        <w:t>stage</w:t>
      </w:r>
      <w:r w:rsidRPr="00387024">
        <w:t xml:space="preserve"> tender process</w:t>
      </w:r>
      <w:r>
        <w:t xml:space="preserve"> can be used for open and selected tendering. The </w:t>
      </w:r>
      <w:r w:rsidRPr="00387024">
        <w:t xml:space="preserve">tender approach may be informed by legislative or policy requirements (such as </w:t>
      </w:r>
      <w:r w:rsidR="00EC05FA">
        <w:t>free trade agreements</w:t>
      </w:r>
      <w:r w:rsidRPr="00387024">
        <w:t xml:space="preserve"> or the HVHR process). It will also be influenced by the project</w:t>
      </w:r>
      <w:r>
        <w:t xml:space="preserve"> model and</w:t>
      </w:r>
      <w:r w:rsidRPr="00387024">
        <w:t xml:space="preserve"> </w:t>
      </w:r>
      <w:r>
        <w:t>project characteristics</w:t>
      </w:r>
      <w:r w:rsidRPr="00387024">
        <w:t>, with more complex projects generally requiring</w:t>
      </w:r>
      <w:r>
        <w:t xml:space="preserve"> additional tender stages</w:t>
      </w:r>
      <w:r w:rsidRPr="00387024">
        <w:t>.</w:t>
      </w:r>
    </w:p>
    <w:p w14:paraId="6C740C52" w14:textId="26BF962D" w:rsidR="009522E1" w:rsidRDefault="009522E1" w:rsidP="00834461">
      <w:pPr>
        <w:pStyle w:val="NormalIndent"/>
      </w:pPr>
      <w:r w:rsidRPr="00387024">
        <w:rPr>
          <w:b/>
        </w:rPr>
        <w:t>Single</w:t>
      </w:r>
      <w:r>
        <w:rPr>
          <w:b/>
        </w:rPr>
        <w:t>-</w:t>
      </w:r>
      <w:r w:rsidRPr="00387024">
        <w:rPr>
          <w:b/>
        </w:rPr>
        <w:t>stage tendering</w:t>
      </w:r>
      <w:r w:rsidRPr="00387024">
        <w:t xml:space="preserve"> occurs where</w:t>
      </w:r>
      <w:r>
        <w:t xml:space="preserve"> only </w:t>
      </w:r>
      <w:r w:rsidRPr="00387024">
        <w:t>an invitation to tender is issued to the market</w:t>
      </w:r>
      <w:r>
        <w:t>.</w:t>
      </w:r>
      <w:r w:rsidRPr="00387024">
        <w:t xml:space="preserve"> Single</w:t>
      </w:r>
      <w:r>
        <w:t>-</w:t>
      </w:r>
      <w:r w:rsidRPr="00387024">
        <w:t>stage tender approaches are commonly used for lower</w:t>
      </w:r>
      <w:r>
        <w:t>-</w:t>
      </w:r>
      <w:r w:rsidRPr="00387024">
        <w:t>risk or simple works.</w:t>
      </w:r>
    </w:p>
    <w:p w14:paraId="3B098BFE" w14:textId="675986CD" w:rsidR="009522E1" w:rsidRPr="00387024" w:rsidRDefault="009522E1" w:rsidP="00834461">
      <w:pPr>
        <w:pStyle w:val="NormalIndent"/>
      </w:pPr>
      <w:r>
        <w:t>Agencies should be aware that o</w:t>
      </w:r>
      <w:r w:rsidRPr="00387024">
        <w:t>pen public advertisement of a tender can lead to an unlimited number of potential tenderers whose qualifications to undertake the contract can be difficult to assess. However</w:t>
      </w:r>
      <w:r>
        <w:t>,</w:t>
      </w:r>
      <w:r w:rsidRPr="00387024">
        <w:t xml:space="preserve"> requirements arising from legislation, such as </w:t>
      </w:r>
      <w:r w:rsidR="000F5D62">
        <w:t>free trade agreement</w:t>
      </w:r>
      <w:r w:rsidRPr="00387024">
        <w:t>s, may necessitate a level of open tendering.</w:t>
      </w:r>
    </w:p>
    <w:p w14:paraId="784C5FD1" w14:textId="17FEFDA1" w:rsidR="009522E1" w:rsidRDefault="009522E1" w:rsidP="0004764D">
      <w:pPr>
        <w:pStyle w:val="NormalIndent"/>
        <w:keepNext/>
      </w:pPr>
      <w:r w:rsidRPr="561FA5B4">
        <w:rPr>
          <w:b/>
          <w:bCs/>
        </w:rPr>
        <w:t>Multistage</w:t>
      </w:r>
      <w:r w:rsidRPr="00387024">
        <w:rPr>
          <w:b/>
        </w:rPr>
        <w:t xml:space="preserve"> tendering</w:t>
      </w:r>
      <w:r w:rsidRPr="00387024">
        <w:t xml:space="preserve"> occurs where pre-tender </w:t>
      </w:r>
      <w:r>
        <w:t xml:space="preserve">stages are used </w:t>
      </w:r>
      <w:r w:rsidRPr="00387024">
        <w:t>to create a shortlist of suppliers with demonstrated capacity to satisfy government requirements. Shortlisted participants will then be invited to participate in a subsequent tender process.</w:t>
      </w:r>
    </w:p>
    <w:p w14:paraId="2504DF3F" w14:textId="3E2121F8" w:rsidR="009522E1" w:rsidRPr="00387024" w:rsidRDefault="009522E1" w:rsidP="00834461">
      <w:pPr>
        <w:pStyle w:val="NormalIndent"/>
      </w:pPr>
      <w:r w:rsidRPr="00387024">
        <w:t>Multistage tendering is commonly used on large, complex or specialised projects, where tendering is likely to be costly. It usually occurs in two stages, although additional processes may also be warranted.</w:t>
      </w:r>
    </w:p>
    <w:p w14:paraId="46F5335A" w14:textId="47610926" w:rsidR="009522E1" w:rsidRDefault="00CA17CD" w:rsidP="00834461">
      <w:pPr>
        <w:pStyle w:val="NormalIndent"/>
      </w:pPr>
      <w:r>
        <w:t>A</w:t>
      </w:r>
      <w:r w:rsidR="009522E1">
        <w:t>gencies may consider the following processes:</w:t>
      </w:r>
    </w:p>
    <w:p w14:paraId="47BFD7C4" w14:textId="287B8E47" w:rsidR="009522E1" w:rsidRDefault="00610A3D" w:rsidP="001D2615">
      <w:pPr>
        <w:pStyle w:val="Bulletindent"/>
      </w:pPr>
      <w:r>
        <w:t xml:space="preserve">A registration </w:t>
      </w:r>
      <w:r w:rsidR="70AB4104">
        <w:t>of interest</w:t>
      </w:r>
      <w:r w:rsidR="007D117E">
        <w:t xml:space="preserve"> </w:t>
      </w:r>
      <w:r w:rsidR="70AB4104">
        <w:t xml:space="preserve">typically </w:t>
      </w:r>
      <w:r>
        <w:t xml:space="preserve">involves </w:t>
      </w:r>
      <w:r w:rsidR="70AB4104">
        <w:t>an open process for potential suppliers to provide basic information about their organi</w:t>
      </w:r>
      <w:r w:rsidR="0025268F">
        <w:t>s</w:t>
      </w:r>
      <w:r w:rsidR="70AB4104">
        <w:t>ation, capabilities</w:t>
      </w:r>
      <w:r w:rsidR="00AD5BC8">
        <w:t xml:space="preserve"> and</w:t>
      </w:r>
      <w:r w:rsidR="70AB4104">
        <w:t xml:space="preserve"> experience relevant to the project</w:t>
      </w:r>
      <w:r w:rsidR="00C95C64">
        <w:t>.</w:t>
      </w:r>
    </w:p>
    <w:p w14:paraId="25C54C67" w14:textId="5904759D" w:rsidR="009522E1" w:rsidRPr="00387024" w:rsidRDefault="00932CCE" w:rsidP="001D2615">
      <w:pPr>
        <w:pStyle w:val="Bulletindent"/>
      </w:pPr>
      <w:r>
        <w:t>An</w:t>
      </w:r>
      <w:r w:rsidR="00610A3D">
        <w:t xml:space="preserve"> </w:t>
      </w:r>
      <w:r w:rsidR="70AB4104">
        <w:t>EOI is used to assess suppliers</w:t>
      </w:r>
      <w:r>
        <w:t>’</w:t>
      </w:r>
      <w:r w:rsidR="70AB4104">
        <w:t xml:space="preserve"> capability to deliver procurement objectives</w:t>
      </w:r>
      <w:r w:rsidR="00C95C64">
        <w:t>.</w:t>
      </w:r>
    </w:p>
    <w:p w14:paraId="1D10C8DD" w14:textId="77777777" w:rsidR="009522E1" w:rsidRDefault="009522E1" w:rsidP="00834461">
      <w:pPr>
        <w:pStyle w:val="NormalIndent"/>
      </w:pPr>
      <w:r w:rsidRPr="580BCC84">
        <w:t>EOIs</w:t>
      </w:r>
      <w:r>
        <w:t xml:space="preserve"> limit the number of suppliers who are required to develop a more detailed response to an invitation to tender. Common elements that are generally tested in an EOI include financial capacity, strength and stability of the company partners (including parent companies), prior relevant experience and quality and capability of the nominated project team put forward by the tenderer.</w:t>
      </w:r>
    </w:p>
    <w:p w14:paraId="27F677AA" w14:textId="31C529E4" w:rsidR="009522E1" w:rsidRDefault="009522E1" w:rsidP="00834461">
      <w:pPr>
        <w:pStyle w:val="NormalIndent"/>
        <w:rPr>
          <w:rFonts w:eastAsia="Arial"/>
        </w:rPr>
      </w:pPr>
      <w:r>
        <w:t xml:space="preserve">Agencies should decide on the level of price and proposal development required by tenderers at each stage of the procurement. </w:t>
      </w:r>
      <w:r w:rsidR="00D972ED">
        <w:t>Treasurer approval of the tender engagement strategy is a requirement of t</w:t>
      </w:r>
      <w:r>
        <w:t xml:space="preserve">he </w:t>
      </w:r>
      <w:hyperlink r:id="rId164" w:history="1">
        <w:r w:rsidRPr="008429A9">
          <w:rPr>
            <w:rStyle w:val="Hyperlink"/>
          </w:rPr>
          <w:t>Cost Reimbursable Procurement Requirements</w:t>
        </w:r>
      </w:hyperlink>
      <w:r w:rsidR="00D972ED">
        <w:t>. This includes</w:t>
      </w:r>
      <w:r>
        <w:t xml:space="preserve"> where</w:t>
      </w:r>
      <w:r w:rsidR="00D972ED">
        <w:t xml:space="preserve"> </w:t>
      </w:r>
      <w:r>
        <w:rPr>
          <w:rFonts w:eastAsia="Arial"/>
        </w:rPr>
        <w:t>non-price alternatives</w:t>
      </w:r>
      <w:r w:rsidR="008469AF">
        <w:rPr>
          <w:rFonts w:eastAsia="Arial"/>
        </w:rPr>
        <w:t>,</w:t>
      </w:r>
      <w:r>
        <w:rPr>
          <w:rFonts w:eastAsia="Arial"/>
        </w:rPr>
        <w:t xml:space="preserve"> such as development of a single TOC</w:t>
      </w:r>
      <w:r w:rsidDel="00D972ED">
        <w:rPr>
          <w:rFonts w:eastAsia="Arial"/>
        </w:rPr>
        <w:t xml:space="preserve"> by bidders</w:t>
      </w:r>
      <w:r w:rsidR="008469AF">
        <w:rPr>
          <w:rFonts w:eastAsia="Arial"/>
        </w:rPr>
        <w:t>,</w:t>
      </w:r>
      <w:r w:rsidDel="00D972ED">
        <w:rPr>
          <w:rFonts w:eastAsia="Arial"/>
        </w:rPr>
        <w:t xml:space="preserve"> are proposed</w:t>
      </w:r>
      <w:r>
        <w:rPr>
          <w:rFonts w:eastAsia="Arial"/>
        </w:rPr>
        <w:t>.</w:t>
      </w:r>
    </w:p>
    <w:p w14:paraId="35598322" w14:textId="77777777" w:rsidR="009522E1" w:rsidRPr="002B066F" w:rsidRDefault="009522E1" w:rsidP="001D2615">
      <w:pPr>
        <w:pStyle w:val="Heading2numbered"/>
      </w:pPr>
      <w:bookmarkStart w:id="393" w:name="_Toc161321775"/>
      <w:r>
        <w:t xml:space="preserve">Preparing for procurement </w:t>
      </w:r>
      <w:r w:rsidRPr="002B066F">
        <w:t>phase checklist</w:t>
      </w:r>
      <w:bookmarkEnd w:id="393"/>
    </w:p>
    <w:p w14:paraId="79946027" w14:textId="16F76003" w:rsidR="00023B0C" w:rsidRDefault="009522E1" w:rsidP="007D48FA">
      <w:pPr>
        <w:pStyle w:val="NormalIndent"/>
        <w:keepNext/>
      </w:pPr>
      <w:r w:rsidRPr="002E4375">
        <w:t xml:space="preserve">Before proceeding to the </w:t>
      </w:r>
      <w:r>
        <w:t>procurement documentation</w:t>
      </w:r>
      <w:r w:rsidRPr="002E4375">
        <w:t xml:space="preserve"> phase</w:t>
      </w:r>
      <w:r>
        <w:t xml:space="preserve">, </w:t>
      </w:r>
      <w:r w:rsidR="00365B05">
        <w:t xml:space="preserve">agencies </w:t>
      </w:r>
      <w:r w:rsidR="002C5ACA">
        <w:t xml:space="preserve">are required to </w:t>
      </w:r>
      <w:r>
        <w:t xml:space="preserve">undertake </w:t>
      </w:r>
      <w:r w:rsidRPr="002E4375">
        <w:t>the following tasks:</w:t>
      </w:r>
    </w:p>
    <w:p w14:paraId="4608890A" w14:textId="6FF14261" w:rsidR="009522E1" w:rsidRDefault="00C72879" w:rsidP="007D48FA">
      <w:pPr>
        <w:pStyle w:val="Captionindent"/>
        <w:rPr>
          <w:rFonts w:ascii="VIC" w:hAnsi="VIC"/>
        </w:rPr>
      </w:pPr>
      <w:bookmarkStart w:id="394" w:name="_Toc145621359"/>
      <w:bookmarkStart w:id="395" w:name="_Toc146097253"/>
      <w:r>
        <w:t xml:space="preserve">Table </w:t>
      </w:r>
      <w:r w:rsidR="00D972ED">
        <w:fldChar w:fldCharType="begin"/>
      </w:r>
      <w:r w:rsidR="00D972ED">
        <w:instrText>SEQ Table \* ARABIC</w:instrText>
      </w:r>
      <w:r w:rsidR="00D972ED">
        <w:fldChar w:fldCharType="separate"/>
      </w:r>
      <w:r w:rsidR="008A4B3E">
        <w:rPr>
          <w:noProof/>
        </w:rPr>
        <w:t>11</w:t>
      </w:r>
      <w:r w:rsidR="00D972ED">
        <w:fldChar w:fldCharType="end"/>
      </w:r>
      <w:r w:rsidR="00E958D5">
        <w:t xml:space="preserve"> –</w:t>
      </w:r>
      <w:r w:rsidR="00D972ED">
        <w:t xml:space="preserve"> Preparing for procurement phase checklist</w:t>
      </w:r>
      <w:bookmarkEnd w:id="394"/>
      <w:bookmarkEnd w:id="395"/>
    </w:p>
    <w:tbl>
      <w:tblPr>
        <w:tblStyle w:val="DTFtexttableindent"/>
        <w:tblW w:w="8478" w:type="dxa"/>
        <w:tblLook w:val="0620" w:firstRow="1" w:lastRow="0" w:firstColumn="0" w:lastColumn="0" w:noHBand="1" w:noVBand="1"/>
      </w:tblPr>
      <w:tblGrid>
        <w:gridCol w:w="8478"/>
      </w:tblGrid>
      <w:tr w:rsidR="009522E1" w:rsidRPr="00387024" w:rsidDel="00D972ED" w14:paraId="05DD57F8" w14:textId="723D81C5" w:rsidTr="007D48FA">
        <w:trPr>
          <w:cnfStyle w:val="100000000000" w:firstRow="1" w:lastRow="0" w:firstColumn="0" w:lastColumn="0" w:oddVBand="0" w:evenVBand="0" w:oddHBand="0" w:evenHBand="0" w:firstRowFirstColumn="0" w:firstRowLastColumn="0" w:lastRowFirstColumn="0" w:lastRowLastColumn="0"/>
        </w:trPr>
        <w:tc>
          <w:tcPr>
            <w:tcW w:w="8478" w:type="dxa"/>
          </w:tcPr>
          <w:p w14:paraId="38509127" w14:textId="77777777" w:rsidR="009522E1" w:rsidRPr="00387024" w:rsidDel="00D972ED" w:rsidRDefault="009522E1" w:rsidP="00F7602B">
            <w:pPr>
              <w:pStyle w:val="Tableheader"/>
            </w:pPr>
            <w:r w:rsidDel="00D972ED">
              <w:t>Preparing for procurement</w:t>
            </w:r>
            <w:r w:rsidRPr="00387024" w:rsidDel="00D972ED">
              <w:t xml:space="preserve"> phase key tasks</w:t>
            </w:r>
          </w:p>
        </w:tc>
      </w:tr>
      <w:tr w:rsidR="009522E1" w:rsidRPr="00387024" w:rsidDel="00D972ED" w14:paraId="4E6BBDB9" w14:textId="2CED801F" w:rsidTr="007D48FA">
        <w:tc>
          <w:tcPr>
            <w:tcW w:w="8478" w:type="dxa"/>
          </w:tcPr>
          <w:p w14:paraId="17846D8F" w14:textId="25B04BC3" w:rsidR="009522E1" w:rsidRPr="00387024" w:rsidDel="00D972ED" w:rsidRDefault="009522E1" w:rsidP="007D48FA">
            <w:pPr>
              <w:pStyle w:val="Tabletext"/>
              <w:tabs>
                <w:tab w:val="left" w:pos="413"/>
              </w:tabs>
            </w:pPr>
            <w:r w:rsidRPr="00387024" w:rsidDel="00D972ED">
              <w:rPr>
                <w:rFonts w:ascii="Wingdings" w:eastAsia="Wingdings" w:hAnsi="Wingdings" w:cs="Wingdings"/>
              </w:rPr>
              <w:t>ü</w:t>
            </w:r>
            <w:r w:rsidRPr="00387024" w:rsidDel="00D972ED">
              <w:tab/>
            </w:r>
            <w:r w:rsidDel="00D972ED">
              <w:t xml:space="preserve">Establish governance and resourcing for the procurement phase </w:t>
            </w:r>
          </w:p>
        </w:tc>
      </w:tr>
      <w:tr w:rsidR="009522E1" w:rsidRPr="00387024" w:rsidDel="00D972ED" w14:paraId="1D7998A6" w14:textId="2C1014E5" w:rsidTr="007D48FA">
        <w:tc>
          <w:tcPr>
            <w:tcW w:w="8478" w:type="dxa"/>
          </w:tcPr>
          <w:p w14:paraId="165A3395" w14:textId="77777777" w:rsidR="009522E1" w:rsidRPr="00387024" w:rsidDel="00D972ED" w:rsidRDefault="009522E1" w:rsidP="007D48FA">
            <w:pPr>
              <w:pStyle w:val="Tabletext"/>
              <w:tabs>
                <w:tab w:val="left" w:pos="413"/>
              </w:tabs>
            </w:pPr>
            <w:r w:rsidRPr="00387024" w:rsidDel="00D972ED">
              <w:rPr>
                <w:rFonts w:ascii="Wingdings" w:eastAsia="Wingdings" w:hAnsi="Wingdings" w:cs="Wingdings"/>
              </w:rPr>
              <w:t>ü</w:t>
            </w:r>
            <w:r w:rsidRPr="00387024" w:rsidDel="00D972ED">
              <w:tab/>
            </w:r>
            <w:r w:rsidDel="00D972ED">
              <w:t>Develop a procurement plan, including a tender engagement strategy</w:t>
            </w:r>
          </w:p>
        </w:tc>
      </w:tr>
      <w:tr w:rsidR="009522E1" w:rsidRPr="00387024" w:rsidDel="00D972ED" w14:paraId="5E0E60EC" w14:textId="3EB7CD46" w:rsidTr="007D48FA">
        <w:tc>
          <w:tcPr>
            <w:tcW w:w="8478" w:type="dxa"/>
          </w:tcPr>
          <w:p w14:paraId="5CE1D0A6" w14:textId="77777777" w:rsidR="009522E1" w:rsidRPr="00387024" w:rsidDel="00D972ED" w:rsidRDefault="009522E1" w:rsidP="007D48FA">
            <w:pPr>
              <w:pStyle w:val="Tabletext"/>
              <w:tabs>
                <w:tab w:val="left" w:pos="413"/>
              </w:tabs>
            </w:pPr>
            <w:r w:rsidRPr="00387024" w:rsidDel="00D972ED">
              <w:rPr>
                <w:rFonts w:ascii="Wingdings" w:eastAsia="Wingdings" w:hAnsi="Wingdings" w:cs="Wingdings"/>
              </w:rPr>
              <w:t>ü</w:t>
            </w:r>
            <w:r w:rsidRPr="00387024" w:rsidDel="00D972ED">
              <w:tab/>
            </w:r>
            <w:r w:rsidDel="00D972ED">
              <w:t>Establish or update a risk management plan</w:t>
            </w:r>
          </w:p>
        </w:tc>
      </w:tr>
      <w:tr w:rsidR="009522E1" w:rsidRPr="00387024" w:rsidDel="00D972ED" w14:paraId="3A02D3B0" w14:textId="10A42DFA" w:rsidTr="007D48FA">
        <w:tc>
          <w:tcPr>
            <w:tcW w:w="8478" w:type="dxa"/>
          </w:tcPr>
          <w:p w14:paraId="68A917CC" w14:textId="2E77965D" w:rsidR="009522E1" w:rsidRPr="00387024" w:rsidDel="00D972ED" w:rsidRDefault="009522E1" w:rsidP="007D48FA">
            <w:pPr>
              <w:pStyle w:val="Tabletext"/>
              <w:tabs>
                <w:tab w:val="left" w:pos="413"/>
              </w:tabs>
            </w:pPr>
            <w:r w:rsidRPr="00387024" w:rsidDel="00D972ED">
              <w:rPr>
                <w:rFonts w:ascii="Wingdings" w:eastAsia="Wingdings" w:hAnsi="Wingdings" w:cs="Wingdings"/>
              </w:rPr>
              <w:t>ü</w:t>
            </w:r>
            <w:r w:rsidRPr="007D48FA" w:rsidDel="00D972ED">
              <w:t xml:space="preserve"> </w:t>
            </w:r>
            <w:r w:rsidR="007D48FA">
              <w:tab/>
            </w:r>
            <w:r w:rsidDel="00D972ED">
              <w:t>Prepare and implement a probity plan</w:t>
            </w:r>
          </w:p>
        </w:tc>
      </w:tr>
      <w:tr w:rsidR="009522E1" w:rsidRPr="00387024" w:rsidDel="00D972ED" w14:paraId="57F37A14" w14:textId="6F751D33" w:rsidTr="007D48FA">
        <w:tc>
          <w:tcPr>
            <w:tcW w:w="8478" w:type="dxa"/>
          </w:tcPr>
          <w:p w14:paraId="197FD3F7" w14:textId="77777777" w:rsidR="009522E1" w:rsidRPr="00387024" w:rsidDel="00D972ED" w:rsidRDefault="009522E1" w:rsidP="007D48FA">
            <w:pPr>
              <w:pStyle w:val="Tabletext"/>
              <w:tabs>
                <w:tab w:val="left" w:pos="413"/>
              </w:tabs>
            </w:pPr>
            <w:r w:rsidRPr="00387024" w:rsidDel="00D972ED">
              <w:rPr>
                <w:rFonts w:ascii="Wingdings" w:eastAsia="Wingdings" w:hAnsi="Wingdings" w:cs="Wingdings"/>
              </w:rPr>
              <w:t>ü</w:t>
            </w:r>
            <w:r w:rsidRPr="00387024" w:rsidDel="00D972ED">
              <w:tab/>
            </w:r>
            <w:r w:rsidDel="00D972ED">
              <w:t>Undertake market engagement as required</w:t>
            </w:r>
          </w:p>
        </w:tc>
      </w:tr>
    </w:tbl>
    <w:p w14:paraId="0FA42269" w14:textId="77777777" w:rsidR="00375CBA" w:rsidRPr="00387024" w:rsidRDefault="00375CBA" w:rsidP="001D2615">
      <w:pPr>
        <w:pStyle w:val="Heading1numbered"/>
      </w:pPr>
      <w:bookmarkStart w:id="396" w:name="_Ref144390693"/>
      <w:bookmarkStart w:id="397" w:name="_Toc161321776"/>
      <w:r>
        <w:t>P</w:t>
      </w:r>
      <w:r w:rsidRPr="001512FE">
        <w:t>re-tender</w:t>
      </w:r>
      <w:r w:rsidRPr="00387024">
        <w:t xml:space="preserve"> and tender documentation</w:t>
      </w:r>
      <w:bookmarkEnd w:id="396"/>
      <w:bookmarkEnd w:id="397"/>
    </w:p>
    <w:p w14:paraId="6133FABF" w14:textId="744D77F1" w:rsidR="00F85EC9" w:rsidRDefault="00F85EC9" w:rsidP="007D48FA">
      <w:pPr>
        <w:pStyle w:val="Captionindent"/>
      </w:pPr>
      <w:bookmarkStart w:id="398" w:name="_Toc145621486"/>
      <w:bookmarkStart w:id="399" w:name="_Toc145621615"/>
      <w:bookmarkStart w:id="400" w:name="_Toc160457791"/>
      <w:r>
        <w:t xml:space="preserve">Figure </w:t>
      </w:r>
      <w:r>
        <w:fldChar w:fldCharType="begin"/>
      </w:r>
      <w:r>
        <w:instrText>SEQ Figure \* ARABIC</w:instrText>
      </w:r>
      <w:r>
        <w:fldChar w:fldCharType="separate"/>
      </w:r>
      <w:r w:rsidR="008A4B3E">
        <w:rPr>
          <w:noProof/>
        </w:rPr>
        <w:t>22</w:t>
      </w:r>
      <w:r>
        <w:fldChar w:fldCharType="end"/>
      </w:r>
      <w:r w:rsidR="00E958D5">
        <w:t xml:space="preserve"> –</w:t>
      </w:r>
      <w:r w:rsidRPr="005A336E">
        <w:t xml:space="preserve"> Chapter 6 overview</w:t>
      </w:r>
      <w:bookmarkEnd w:id="398"/>
      <w:bookmarkEnd w:id="399"/>
      <w:bookmarkEnd w:id="400"/>
    </w:p>
    <w:bookmarkEnd w:id="117"/>
    <w:p w14:paraId="7B091390" w14:textId="7746B130" w:rsidR="00827A7E" w:rsidRDefault="00AE6344" w:rsidP="00834461">
      <w:pPr>
        <w:pStyle w:val="NormalIndent"/>
      </w:pPr>
      <w:r w:rsidRPr="005F50E1">
        <w:rPr>
          <w:noProof/>
        </w:rPr>
        <w:drawing>
          <wp:inline distT="0" distB="0" distL="0" distR="0" wp14:anchorId="6E0881EF" wp14:editId="376745C9">
            <wp:extent cx="5731510" cy="1420495"/>
            <wp:effectExtent l="0" t="0" r="2540" b="8255"/>
            <wp:docPr id="1239886113" name="Graphic 1239886113" descr="Figure 22 provides an overview of the contents of the following chapt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86113" name="Picture 1239886113" descr="Figure 22 provides an overview of the contents of the following chapter (6)​"/>
                    <pic:cNvPicPr/>
                  </pic:nvPicPr>
                  <pic:blipFill>
                    <a:blip r:embed="rId165" cstate="screen">
                      <a:extLst>
                        <a:ext uri="{28A0092B-C50C-407E-A947-70E740481C1C}">
                          <a14:useLocalDpi xmlns:a14="http://schemas.microsoft.com/office/drawing/2010/main"/>
                        </a:ext>
                        <a:ext uri="{96DAC541-7B7A-43D3-8B79-37D633B846F1}">
                          <asvg:svgBlip xmlns:asvg="http://schemas.microsoft.com/office/drawing/2016/SVG/main" r:embed="rId166"/>
                        </a:ext>
                      </a:extLst>
                    </a:blip>
                    <a:stretch>
                      <a:fillRect/>
                    </a:stretch>
                  </pic:blipFill>
                  <pic:spPr>
                    <a:xfrm>
                      <a:off x="0" y="0"/>
                      <a:ext cx="5731510" cy="1420495"/>
                    </a:xfrm>
                    <a:prstGeom prst="rect">
                      <a:avLst/>
                    </a:prstGeom>
                  </pic:spPr>
                </pic:pic>
              </a:graphicData>
            </a:graphic>
          </wp:inline>
        </w:drawing>
      </w:r>
    </w:p>
    <w:p w14:paraId="23DB4EC3" w14:textId="77777777" w:rsidR="00AC092B" w:rsidRDefault="00AC092B" w:rsidP="00834461">
      <w:pPr>
        <w:pStyle w:val="NormalIndent"/>
      </w:pPr>
      <w:r w:rsidRPr="00BE41D4">
        <w:t xml:space="preserve">Agencies </w:t>
      </w:r>
      <w:r w:rsidRPr="002D0EF6">
        <w:t>should</w:t>
      </w:r>
      <w:r w:rsidRPr="580BCC84">
        <w:t xml:space="preserve"> </w:t>
      </w:r>
      <w:r>
        <w:t xml:space="preserve">undertake relevant due diligence, develop a cost estimate and key documentation for </w:t>
      </w:r>
      <w:r w:rsidRPr="580BCC84">
        <w:t>the tendering phase</w:t>
      </w:r>
      <w:r>
        <w:t>, including:</w:t>
      </w:r>
    </w:p>
    <w:p w14:paraId="2F695F50" w14:textId="77777777" w:rsidR="00AC092B" w:rsidRDefault="1914FD07" w:rsidP="001D2615">
      <w:pPr>
        <w:pStyle w:val="Bulletindent"/>
      </w:pPr>
      <w:r>
        <w:t>EOI, RFT and RFP documentation</w:t>
      </w:r>
    </w:p>
    <w:p w14:paraId="787A5D0C" w14:textId="77777777" w:rsidR="00AC092B" w:rsidRDefault="1914FD07" w:rsidP="001D2615">
      <w:pPr>
        <w:pStyle w:val="Bulletindent"/>
      </w:pPr>
      <w:r>
        <w:t>tender evaluation criteria and an evaluation plan</w:t>
      </w:r>
    </w:p>
    <w:p w14:paraId="09507F29" w14:textId="2167E4D5" w:rsidR="00AC092B" w:rsidRDefault="1914FD07" w:rsidP="001D2615">
      <w:pPr>
        <w:pStyle w:val="Bulletindent"/>
      </w:pPr>
      <w:r>
        <w:t>contract documentation.</w:t>
      </w:r>
    </w:p>
    <w:p w14:paraId="702B0DA6" w14:textId="474346AE" w:rsidR="00AC092B" w:rsidRDefault="00AC092B" w:rsidP="00834461">
      <w:pPr>
        <w:pStyle w:val="NormalIndent"/>
      </w:pPr>
      <w:r>
        <w:t>It is critical the tender evaluation criteria and tender evaluation plan are developed in conjunction with tender documentation. This ensures that the tender response schedules will adequately address procurement objectives.</w:t>
      </w:r>
    </w:p>
    <w:p w14:paraId="3EB79DA1" w14:textId="77777777" w:rsidR="00AC092B" w:rsidRPr="00387024" w:rsidRDefault="00AC092B" w:rsidP="001D2615">
      <w:pPr>
        <w:pStyle w:val="Heading2numbered"/>
      </w:pPr>
      <w:bookmarkStart w:id="401" w:name="_Toc161321777"/>
      <w:r w:rsidRPr="00387024">
        <w:t>Due diligence</w:t>
      </w:r>
      <w:bookmarkEnd w:id="401"/>
    </w:p>
    <w:p w14:paraId="2526FAF0" w14:textId="55170635" w:rsidR="00AC092B" w:rsidRDefault="1914FD07" w:rsidP="00834461">
      <w:pPr>
        <w:pStyle w:val="NormalIndent"/>
        <w:rPr>
          <w:rFonts w:ascii="VIC" w:eastAsia="VIC" w:hAnsi="VIC" w:cs="VIC"/>
        </w:rPr>
      </w:pPr>
      <w:r>
        <w:t xml:space="preserve">Prior to tendering a project, an agency will undertake </w:t>
      </w:r>
      <w:r w:rsidDel="00D82DBD">
        <w:t>PDDD</w:t>
      </w:r>
      <w:r>
        <w:t xml:space="preserve">. This process builds a comprehensive body of knowledge and documentation about the project to verify agency understanding of project requirements and interfaces, identify risks and inform project and tender documentation. </w:t>
      </w:r>
      <w:r w:rsidR="39D83076" w:rsidRPr="76AB2BEA">
        <w:rPr>
          <w:rFonts w:ascii="VIC" w:eastAsia="VIC" w:hAnsi="VIC" w:cs="VIC"/>
          <w:color w:val="auto"/>
        </w:rPr>
        <w:t>Where relevant</w:t>
      </w:r>
      <w:r w:rsidR="00EE5A63">
        <w:rPr>
          <w:rFonts w:ascii="VIC" w:eastAsia="VIC" w:hAnsi="VIC" w:cs="VIC"/>
          <w:color w:val="auto"/>
        </w:rPr>
        <w:t>,</w:t>
      </w:r>
      <w:r w:rsidR="45E7C410" w:rsidRPr="76AB2BEA">
        <w:rPr>
          <w:rFonts w:ascii="VIC" w:eastAsia="VIC" w:hAnsi="VIC" w:cs="VIC"/>
        </w:rPr>
        <w:t xml:space="preserve"> due diligence should include</w:t>
      </w:r>
      <w:r w:rsidR="39D83076" w:rsidRPr="76AB2BEA">
        <w:rPr>
          <w:rFonts w:ascii="VIC" w:eastAsia="VIC" w:hAnsi="VIC" w:cs="VIC"/>
        </w:rPr>
        <w:t xml:space="preserve"> investigations to efficiently minimise project risk related to spoil management</w:t>
      </w:r>
      <w:r w:rsidR="00023B0C">
        <w:rPr>
          <w:rFonts w:ascii="VIC" w:eastAsia="VIC" w:hAnsi="VIC" w:cs="VIC"/>
        </w:rPr>
        <w:t xml:space="preserve">, such as </w:t>
      </w:r>
      <w:r w:rsidR="39D83076" w:rsidRPr="76AB2BEA">
        <w:rPr>
          <w:rFonts w:ascii="VIC" w:eastAsia="VIC" w:hAnsi="VIC" w:cs="VIC"/>
        </w:rPr>
        <w:t>certainty of spoil volumes, classification and market capacity.</w:t>
      </w:r>
    </w:p>
    <w:p w14:paraId="5B83D765" w14:textId="77777777" w:rsidR="001F6068" w:rsidRDefault="00AC092B" w:rsidP="00834461">
      <w:pPr>
        <w:pStyle w:val="NormalIndent"/>
      </w:pPr>
      <w:r>
        <w:t>DTF</w:t>
      </w:r>
      <w:r w:rsidR="00344D3F">
        <w:t>’</w:t>
      </w:r>
      <w:r w:rsidRPr="00E13593">
        <w:t>s PDDD Guideline provides supplementary technical guidance on how to integrate PDDD activities into project delivery. This is available at:</w:t>
      </w:r>
      <w:hyperlink r:id="rId167" w:history="1">
        <w:r w:rsidR="001F6068">
          <w:rPr>
            <w:rStyle w:val="Hyperlink"/>
          </w:rPr>
          <w:t>https://www.dtf.vic.gov.au/investment-lifecycle-and-high-value-high-risk-guidelines/stage-1-business-case</w:t>
        </w:r>
      </w:hyperlink>
      <w:r w:rsidR="001F6068">
        <w:t>.</w:t>
      </w:r>
    </w:p>
    <w:p w14:paraId="05C766D3" w14:textId="3BF2F90A" w:rsidR="00AC092B" w:rsidRPr="001F6068" w:rsidRDefault="00B64A20" w:rsidP="00834461">
      <w:pPr>
        <w:pStyle w:val="NormalIndent"/>
        <w:rPr>
          <w:rFonts w:ascii="Calibri" w:hAnsi="Calibri" w:cs="Calibri"/>
        </w:rPr>
      </w:pPr>
      <w:r>
        <w:t>A</w:t>
      </w:r>
      <w:r w:rsidR="00AC092B">
        <w:t>gencies may provide technical due diligence information</w:t>
      </w:r>
      <w:r w:rsidR="00023B0C">
        <w:t xml:space="preserve"> (such as</w:t>
      </w:r>
      <w:r w:rsidR="00AC092B">
        <w:t xml:space="preserve"> site investigation reports</w:t>
      </w:r>
      <w:r w:rsidR="00023B0C">
        <w:t>)</w:t>
      </w:r>
      <w:r w:rsidR="00AC092B">
        <w:t xml:space="preserve"> to tenderers prior to, or as part of the tender phase. The level of reliance on the reports by tenderers will be determined on a project</w:t>
      </w:r>
      <w:r w:rsidR="00023B0C">
        <w:t>-</w:t>
      </w:r>
      <w:r w:rsidR="00AC092B">
        <w:t>specific basis.</w:t>
      </w:r>
    </w:p>
    <w:p w14:paraId="4762D588" w14:textId="77777777" w:rsidR="00AC092B" w:rsidRDefault="00AC092B" w:rsidP="001D2615">
      <w:pPr>
        <w:pStyle w:val="Heading2numbered"/>
      </w:pPr>
      <w:bookmarkStart w:id="402" w:name="_Toc161321778"/>
      <w:r>
        <w:t>Pre-tender cost estimate</w:t>
      </w:r>
      <w:bookmarkEnd w:id="402"/>
    </w:p>
    <w:p w14:paraId="35A698F3" w14:textId="743DBEF4" w:rsidR="00AC092B" w:rsidRPr="00387024" w:rsidRDefault="00AC092B" w:rsidP="00116E99">
      <w:pPr>
        <w:pStyle w:val="NormalIndent"/>
        <w:keepNext/>
      </w:pPr>
      <w:r>
        <w:t>P</w:t>
      </w:r>
      <w:r w:rsidRPr="580BCC84">
        <w:t xml:space="preserve">rocurement teams may wish to validate the expected total project cost to provide confidence that the current market can deliver the tender within the </w:t>
      </w:r>
      <w:r w:rsidR="00AB4914">
        <w:t>g</w:t>
      </w:r>
      <w:r w:rsidRPr="580BCC84">
        <w:t>overnment</w:t>
      </w:r>
      <w:r w:rsidR="009E7C83">
        <w:noBreakHyphen/>
      </w:r>
      <w:r w:rsidRPr="580BCC84">
        <w:t>endorsed funding allocation.</w:t>
      </w:r>
    </w:p>
    <w:p w14:paraId="5346743F" w14:textId="52534E06" w:rsidR="003324A3" w:rsidRPr="00387024" w:rsidRDefault="003324A3" w:rsidP="00834461">
      <w:pPr>
        <w:pStyle w:val="NormalIndent"/>
      </w:pPr>
      <w:r w:rsidRPr="00387024">
        <w:t>Where a project design specification has been prepared, the pre-tender cost estimate can be developed by a quantity surveyor, who will estimate a price for each component of works based on the current market cost.</w:t>
      </w:r>
    </w:p>
    <w:p w14:paraId="50E68A26" w14:textId="49FAD714" w:rsidR="00AC092B" w:rsidRDefault="00AC092B" w:rsidP="00834461">
      <w:pPr>
        <w:pStyle w:val="NormalIndent"/>
      </w:pPr>
      <w:r>
        <w:t xml:space="preserve">For Partnerships Victoria projects, the procurement team must develop a public sector comparator (PSC). The PSC estimates the hypothetical risk-adjusted cost if a project were to be financed, owned and implemented by </w:t>
      </w:r>
      <w:r w:rsidR="00F11B52">
        <w:t xml:space="preserve">the </w:t>
      </w:r>
      <w:r w:rsidR="009E7C83">
        <w:t>G</w:t>
      </w:r>
      <w:r>
        <w:t xml:space="preserve">overnment. Further information on developing a PSC is </w:t>
      </w:r>
      <w:r w:rsidRPr="004E1CCD">
        <w:t xml:space="preserve">outlined in the </w:t>
      </w:r>
      <w:r w:rsidR="005676BF" w:rsidRPr="0031637E">
        <w:t>N</w:t>
      </w:r>
      <w:r w:rsidRPr="0031637E">
        <w:t xml:space="preserve">ational PPP </w:t>
      </w:r>
      <w:r w:rsidR="00C22C05" w:rsidRPr="0033748E">
        <w:t xml:space="preserve">Policy and </w:t>
      </w:r>
      <w:r w:rsidR="00585EAE" w:rsidRPr="0033748E">
        <w:t>G</w:t>
      </w:r>
      <w:r w:rsidRPr="0031637E">
        <w:t>uidelines</w:t>
      </w:r>
      <w:r w:rsidR="0031637E">
        <w:t>:</w:t>
      </w:r>
      <w:r w:rsidRPr="0033748E">
        <w:rPr>
          <w:i/>
          <w:iCs/>
        </w:rPr>
        <w:t xml:space="preserve"> </w:t>
      </w:r>
      <w:r w:rsidR="00C22C05">
        <w:rPr>
          <w:i/>
          <w:iCs/>
        </w:rPr>
        <w:t>V</w:t>
      </w:r>
      <w:r w:rsidRPr="0033748E">
        <w:rPr>
          <w:i/>
          <w:iCs/>
        </w:rPr>
        <w:t>olume 4</w:t>
      </w:r>
      <w:r w:rsidR="00C22C05">
        <w:rPr>
          <w:i/>
          <w:iCs/>
        </w:rPr>
        <w:t>: Public Sector Comparator Guidance</w:t>
      </w:r>
      <w:r w:rsidR="00585EAE">
        <w:rPr>
          <w:i/>
          <w:iCs/>
        </w:rPr>
        <w:t xml:space="preserve"> </w:t>
      </w:r>
      <w:r w:rsidR="00585EAE" w:rsidRPr="0033748E">
        <w:t>available at:</w:t>
      </w:r>
      <w:r w:rsidR="00585EAE">
        <w:rPr>
          <w:i/>
          <w:iCs/>
        </w:rPr>
        <w:t xml:space="preserve"> </w:t>
      </w:r>
      <w:r w:rsidR="00585EAE" w:rsidRPr="00585EAE">
        <w:rPr>
          <w:i/>
          <w:iCs/>
        </w:rPr>
        <w:t>https://www.infrastructure.gov.au/infrastructure-transport-vehicles/infrastructure-investment-project-delivery/national-guidelines-infrastructure-project-delivery</w:t>
      </w:r>
      <w:r w:rsidRPr="0033748E">
        <w:rPr>
          <w:i/>
          <w:iCs/>
        </w:rPr>
        <w:t>.</w:t>
      </w:r>
    </w:p>
    <w:p w14:paraId="374EB7E9" w14:textId="6B43D59B" w:rsidR="00AC092B" w:rsidRDefault="00AC092B" w:rsidP="00834461">
      <w:pPr>
        <w:pStyle w:val="NormalIndent"/>
      </w:pPr>
      <w:r>
        <w:t>Development of a principle</w:t>
      </w:r>
      <w:r w:rsidR="00344D3F">
        <w:t>’</w:t>
      </w:r>
      <w:r>
        <w:t>s benchmark is also required for cost reimbursable models</w:t>
      </w:r>
      <w:r w:rsidR="007303D5">
        <w:t>, especially in a sole source scenario</w:t>
      </w:r>
      <w:r>
        <w:t xml:space="preserve">. Further detail is available in the </w:t>
      </w:r>
      <w:hyperlink r:id="rId168" w:history="1">
        <w:r w:rsidRPr="00EE5144">
          <w:rPr>
            <w:rStyle w:val="Hyperlink"/>
          </w:rPr>
          <w:t>Cost Reimbursable Procurement Requirements</w:t>
        </w:r>
      </w:hyperlink>
      <w:r>
        <w:t>.</w:t>
      </w:r>
    </w:p>
    <w:p w14:paraId="61F232E5" w14:textId="77777777" w:rsidR="00AC092B" w:rsidRPr="00387024" w:rsidRDefault="00AC092B" w:rsidP="001D2615">
      <w:pPr>
        <w:pStyle w:val="Heading2numbered"/>
      </w:pPr>
      <w:bookmarkStart w:id="403" w:name="_Toc161321779"/>
      <w:r>
        <w:t>Tender documentation</w:t>
      </w:r>
      <w:bookmarkEnd w:id="403"/>
    </w:p>
    <w:p w14:paraId="23975F73" w14:textId="77777777" w:rsidR="00AC092B" w:rsidRDefault="00AC092B" w:rsidP="00834461">
      <w:pPr>
        <w:pStyle w:val="NormalIndent"/>
      </w:pPr>
      <w:r w:rsidRPr="00387024">
        <w:t>The quality of the tender documents is critical to successful tendering. They are the basis of the contract between the purchaser and the successful supplier and must accurately reflect the physical, financial, contractual and time parameters of the service required.</w:t>
      </w:r>
    </w:p>
    <w:p w14:paraId="0135739B" w14:textId="3BAF693C" w:rsidR="00AC092B" w:rsidRDefault="00894832" w:rsidP="00834461">
      <w:pPr>
        <w:pStyle w:val="NormalIndent"/>
      </w:pPr>
      <w:hyperlink r:id="rId169" w:history="1">
        <w:r w:rsidR="0093797B" w:rsidRPr="005D5272">
          <w:rPr>
            <w:rStyle w:val="Hyperlink"/>
          </w:rPr>
          <w:t>M</w:t>
        </w:r>
        <w:r w:rsidR="00C75330" w:rsidRPr="005D5272">
          <w:rPr>
            <w:rStyle w:val="Hyperlink"/>
          </w:rPr>
          <w:t xml:space="preserve">inisterial Direction and Instruction </w:t>
        </w:r>
        <w:r w:rsidR="00AB4914" w:rsidRPr="005D5272">
          <w:rPr>
            <w:rStyle w:val="Hyperlink"/>
          </w:rPr>
          <w:t xml:space="preserve">3.6 </w:t>
        </w:r>
        <w:r w:rsidR="00AC092B" w:rsidRPr="005D5272">
          <w:rPr>
            <w:rStyle w:val="Hyperlink"/>
          </w:rPr>
          <w:t>for Public Construction Procurement in Victoria</w:t>
        </w:r>
      </w:hyperlink>
      <w:r w:rsidR="00AC092B" w:rsidRPr="00851EBD">
        <w:t xml:space="preserve"> sets</w:t>
      </w:r>
      <w:r w:rsidR="00AC092B">
        <w:t xml:space="preserve"> out the requirements for completing tender documentation.</w:t>
      </w:r>
    </w:p>
    <w:p w14:paraId="7AA0B6F4" w14:textId="0E3C3CB8" w:rsidR="00AC092B" w:rsidRDefault="00AC092B" w:rsidP="00834461">
      <w:pPr>
        <w:pStyle w:val="NormalIndent"/>
      </w:pPr>
      <w:r>
        <w:t>The tender documents should include information appropriate to the scale, procurement model, level of design and complexity of the procurement.</w:t>
      </w:r>
    </w:p>
    <w:p w14:paraId="0297B0F2" w14:textId="5D885407" w:rsidR="00AC092B" w:rsidRDefault="00AC092B" w:rsidP="00834461">
      <w:pPr>
        <w:pStyle w:val="NormalIndent"/>
      </w:pPr>
      <w:r>
        <w:t xml:space="preserve">Tender documents should focus on eliciting only the information necessary to determine the best </w:t>
      </w:r>
      <w:r w:rsidR="00C56F3D">
        <w:t>VfM</w:t>
      </w:r>
      <w:r>
        <w:t xml:space="preserve"> solution.</w:t>
      </w:r>
    </w:p>
    <w:p w14:paraId="106BEE23" w14:textId="76CDF645" w:rsidR="00AC092B" w:rsidRDefault="00AC092B" w:rsidP="00834461">
      <w:pPr>
        <w:pStyle w:val="NormalIndent"/>
      </w:pPr>
      <w:r w:rsidRPr="00387024">
        <w:t xml:space="preserve">Clear and explicit process rules, such as closing time, date and place for lodging </w:t>
      </w:r>
      <w:r>
        <w:t>tenders</w:t>
      </w:r>
      <w:r w:rsidRPr="00387024">
        <w:t xml:space="preserve">, evaluation criteria and confidentiality requirements, should be </w:t>
      </w:r>
      <w:r>
        <w:t xml:space="preserve">outlined </w:t>
      </w:r>
      <w:r w:rsidRPr="00387024">
        <w:t xml:space="preserve">in the </w:t>
      </w:r>
      <w:r>
        <w:t>documentation</w:t>
      </w:r>
      <w:r w:rsidRPr="00387024">
        <w:t>.</w:t>
      </w:r>
    </w:p>
    <w:p w14:paraId="179B6D5E" w14:textId="2A964CBE" w:rsidR="00AC092B" w:rsidRDefault="00AC092B" w:rsidP="00834461">
      <w:pPr>
        <w:pStyle w:val="NormalIndent"/>
      </w:pPr>
      <w:r w:rsidRPr="00387024">
        <w:t>As a general rule, the more detailed and accurate the information provided to tenderers, the better the quality of the tender.</w:t>
      </w:r>
    </w:p>
    <w:p w14:paraId="40BF5F8D" w14:textId="2BBCC7A4" w:rsidR="00AC092B" w:rsidRDefault="00AC092B" w:rsidP="00834461">
      <w:pPr>
        <w:pStyle w:val="NormalIndent"/>
      </w:pPr>
      <w:r w:rsidRPr="00387024">
        <w:t xml:space="preserve">It is important that any new information arising during </w:t>
      </w:r>
      <w:r>
        <w:t xml:space="preserve">a procurement stage </w:t>
      </w:r>
      <w:r w:rsidRPr="00387024">
        <w:t xml:space="preserve">be used to reassess </w:t>
      </w:r>
      <w:r w:rsidR="00F72E1B">
        <w:t xml:space="preserve">and </w:t>
      </w:r>
      <w:r>
        <w:t>inform future procurement processes and relevant tender docu</w:t>
      </w:r>
      <w:r w:rsidRPr="00387024">
        <w:t>mentation.</w:t>
      </w:r>
    </w:p>
    <w:p w14:paraId="040226FC" w14:textId="7BD9C889" w:rsidR="00AC092B" w:rsidRDefault="00AC092B" w:rsidP="00834461">
      <w:pPr>
        <w:pStyle w:val="NormalIndent"/>
      </w:pPr>
      <w:r>
        <w:t xml:space="preserve">Typical components of tender documents are detailed in </w:t>
      </w:r>
      <w:r w:rsidR="007D48FA">
        <w:fldChar w:fldCharType="begin" w:fldLock="1"/>
      </w:r>
      <w:r w:rsidR="007D48FA">
        <w:instrText xml:space="preserve"> REF _Ref145618402 \h </w:instrText>
      </w:r>
      <w:r w:rsidR="007D48FA">
        <w:fldChar w:fldCharType="separate"/>
      </w:r>
      <w:r w:rsidR="003D4A19">
        <w:t xml:space="preserve">Table </w:t>
      </w:r>
      <w:r w:rsidR="003D4A19">
        <w:rPr>
          <w:noProof/>
        </w:rPr>
        <w:t>12</w:t>
      </w:r>
      <w:r w:rsidR="007D48FA">
        <w:fldChar w:fldCharType="end"/>
      </w:r>
      <w:r>
        <w:t>. The content will differ depending on the stage of procurement (EOI, RFT, RFP) and the type of procurement model selected.</w:t>
      </w:r>
    </w:p>
    <w:p w14:paraId="3B30AA93" w14:textId="7CC4794F" w:rsidR="000A23AE" w:rsidRDefault="00A23826" w:rsidP="006E66D9">
      <w:pPr>
        <w:pStyle w:val="Captionindent"/>
      </w:pPr>
      <w:bookmarkStart w:id="404" w:name="_Ref145618402"/>
      <w:bookmarkStart w:id="405" w:name="_Toc145621360"/>
      <w:bookmarkStart w:id="406" w:name="_Toc146097254"/>
      <w:r>
        <w:t xml:space="preserve">Table </w:t>
      </w:r>
      <w:r w:rsidR="000A23AE">
        <w:fldChar w:fldCharType="begin"/>
      </w:r>
      <w:r w:rsidR="000A23AE">
        <w:instrText>SEQ Table \* ARABIC</w:instrText>
      </w:r>
      <w:r w:rsidR="000A23AE">
        <w:fldChar w:fldCharType="separate"/>
      </w:r>
      <w:r w:rsidR="008A4B3E">
        <w:rPr>
          <w:noProof/>
        </w:rPr>
        <w:t>12</w:t>
      </w:r>
      <w:r w:rsidR="000A23AE">
        <w:fldChar w:fldCharType="end"/>
      </w:r>
      <w:bookmarkEnd w:id="404"/>
      <w:r w:rsidR="00E958D5">
        <w:t xml:space="preserve"> –</w:t>
      </w:r>
      <w:r w:rsidR="000A23AE" w:rsidRPr="00D15E34">
        <w:t xml:space="preserve"> Typical components of tender documents</w:t>
      </w:r>
      <w:bookmarkEnd w:id="405"/>
      <w:bookmarkEnd w:id="406"/>
    </w:p>
    <w:tbl>
      <w:tblPr>
        <w:tblStyle w:val="DTFtexttableindent"/>
        <w:tblW w:w="0" w:type="auto"/>
        <w:tblLook w:val="04A0" w:firstRow="1" w:lastRow="0" w:firstColumn="1" w:lastColumn="0" w:noHBand="0" w:noVBand="1"/>
      </w:tblPr>
      <w:tblGrid>
        <w:gridCol w:w="2518"/>
        <w:gridCol w:w="5716"/>
      </w:tblGrid>
      <w:tr w:rsidR="00AC092B" w14:paraId="04CCBD50" w14:textId="77777777" w:rsidTr="001F60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Borders>
              <w:top w:val="single" w:sz="6" w:space="0" w:color="A6A6A6" w:themeColor="background1" w:themeShade="A6"/>
              <w:bottom w:val="single" w:sz="6" w:space="0" w:color="A6A6A6" w:themeColor="background1" w:themeShade="A6"/>
            </w:tcBorders>
            <w:shd w:val="clear" w:color="auto" w:fill="F2F2F2" w:themeFill="background1" w:themeFillShade="F2"/>
          </w:tcPr>
          <w:p w14:paraId="117FB532" w14:textId="44C6FAC1" w:rsidR="00AC092B" w:rsidRPr="00AB4914" w:rsidRDefault="00AC092B" w:rsidP="004417CA">
            <w:pPr>
              <w:pStyle w:val="Tabletext"/>
              <w:keepNext w:val="0"/>
            </w:pPr>
            <w:r w:rsidRPr="004417CA">
              <w:rPr>
                <w:b/>
              </w:rPr>
              <w:t>Background</w:t>
            </w:r>
          </w:p>
        </w:tc>
        <w:tc>
          <w:tcPr>
            <w:tcW w:w="5716" w:type="dxa"/>
            <w:tcBorders>
              <w:top w:val="single" w:sz="6" w:space="0" w:color="A6A6A6" w:themeColor="background1" w:themeShade="A6"/>
              <w:bottom w:val="single" w:sz="6" w:space="0" w:color="A6A6A6" w:themeColor="background1" w:themeShade="A6"/>
            </w:tcBorders>
            <w:shd w:val="clear" w:color="auto" w:fill="auto"/>
          </w:tcPr>
          <w:p w14:paraId="752CDC63" w14:textId="5365009B" w:rsidR="00AB4914" w:rsidRPr="00116E99" w:rsidRDefault="00AB4914" w:rsidP="006E66D9">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116E99">
              <w:rPr>
                <w:rFonts w:asciiTheme="minorHAnsi" w:eastAsiaTheme="minorEastAsia" w:hAnsiTheme="minorHAnsi"/>
              </w:rPr>
              <w:t>Th</w:t>
            </w:r>
            <w:r w:rsidR="004B33C5">
              <w:rPr>
                <w:rFonts w:asciiTheme="minorHAnsi" w:eastAsiaTheme="minorEastAsia" w:hAnsiTheme="minorHAnsi"/>
              </w:rPr>
              <w:t>e background</w:t>
            </w:r>
            <w:r w:rsidRPr="00116E99">
              <w:rPr>
                <w:rFonts w:asciiTheme="minorHAnsi" w:eastAsiaTheme="minorEastAsia" w:hAnsiTheme="minorHAnsi"/>
              </w:rPr>
              <w:t xml:space="preserve"> includes:</w:t>
            </w:r>
          </w:p>
          <w:p w14:paraId="6B570BF7" w14:textId="64D52408" w:rsidR="00AC092B" w:rsidRPr="00116E99" w:rsidRDefault="1914FD07" w:rsidP="001D2615">
            <w:pPr>
              <w:pStyle w:val="Tablebulle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116E99">
              <w:rPr>
                <w:rFonts w:asciiTheme="minorHAnsi" w:hAnsiTheme="minorHAnsi"/>
              </w:rPr>
              <w:t xml:space="preserve">a brief description of government </w:t>
            </w:r>
            <w:r w:rsidR="00BA70EF">
              <w:rPr>
                <w:rFonts w:asciiTheme="minorHAnsi" w:hAnsiTheme="minorHAnsi"/>
              </w:rPr>
              <w:t>agency</w:t>
            </w:r>
            <w:r w:rsidR="00BA70EF" w:rsidRPr="00116E99">
              <w:rPr>
                <w:rFonts w:asciiTheme="minorHAnsi" w:hAnsiTheme="minorHAnsi"/>
              </w:rPr>
              <w:t xml:space="preserve"> </w:t>
            </w:r>
            <w:r w:rsidRPr="00116E99">
              <w:rPr>
                <w:rFonts w:asciiTheme="minorHAnsi" w:hAnsiTheme="minorHAnsi"/>
              </w:rPr>
              <w:t>managing procurement, including background, function and purpose</w:t>
            </w:r>
          </w:p>
          <w:p w14:paraId="0572E38B" w14:textId="18C4214B" w:rsidR="00AC092B" w:rsidRPr="00116E99" w:rsidRDefault="1914FD07" w:rsidP="001D2615">
            <w:pPr>
              <w:pStyle w:val="Tablebulle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116E99">
              <w:rPr>
                <w:rFonts w:asciiTheme="minorHAnsi" w:hAnsiTheme="minorHAnsi"/>
              </w:rPr>
              <w:t>an overview of the project, including objectives, scope, stakeholders</w:t>
            </w:r>
            <w:r w:rsidR="00AD5BC8" w:rsidRPr="00116E99">
              <w:rPr>
                <w:rFonts w:asciiTheme="minorHAnsi" w:hAnsiTheme="minorHAnsi"/>
              </w:rPr>
              <w:t xml:space="preserve"> and</w:t>
            </w:r>
            <w:r w:rsidRPr="00116E99">
              <w:rPr>
                <w:rFonts w:asciiTheme="minorHAnsi" w:hAnsiTheme="minorHAnsi"/>
              </w:rPr>
              <w:t xml:space="preserve"> timelines</w:t>
            </w:r>
          </w:p>
          <w:p w14:paraId="645DFD56" w14:textId="6F9E6E7E" w:rsidR="00AC092B" w:rsidRPr="00AB4914" w:rsidRDefault="1914FD07" w:rsidP="001D2615">
            <w:pPr>
              <w:pStyle w:val="Tablebullet"/>
              <w:cnfStyle w:val="100000000000" w:firstRow="1" w:lastRow="0" w:firstColumn="0" w:lastColumn="0" w:oddVBand="0" w:evenVBand="0" w:oddHBand="0" w:evenHBand="0" w:firstRowFirstColumn="0" w:firstRowLastColumn="0" w:lastRowFirstColumn="0" w:lastRowLastColumn="0"/>
              <w:rPr>
                <w:b/>
              </w:rPr>
            </w:pPr>
            <w:r w:rsidRPr="00116E99">
              <w:rPr>
                <w:rFonts w:asciiTheme="minorHAnsi" w:hAnsiTheme="minorHAnsi"/>
              </w:rPr>
              <w:t>a statement on the stage of procurement and a brief explanation of what is anticipated in each stage</w:t>
            </w:r>
            <w:r w:rsidR="0022036C">
              <w:rPr>
                <w:rFonts w:asciiTheme="minorHAnsi" w:hAnsiTheme="minorHAnsi"/>
              </w:rPr>
              <w:t>.</w:t>
            </w:r>
          </w:p>
        </w:tc>
      </w:tr>
      <w:tr w:rsidR="00AC092B" w14:paraId="2E1F253C" w14:textId="77777777" w:rsidTr="001F6068">
        <w:tc>
          <w:tcPr>
            <w:cnfStyle w:val="001000000000" w:firstRow="0" w:lastRow="0" w:firstColumn="1" w:lastColumn="0" w:oddVBand="0" w:evenVBand="0" w:oddHBand="0" w:evenHBand="0" w:firstRowFirstColumn="0" w:firstRowLastColumn="0" w:lastRowFirstColumn="0" w:lastRowLastColumn="0"/>
            <w:tcW w:w="2518" w:type="dxa"/>
            <w:tcBorders>
              <w:top w:val="single" w:sz="6" w:space="0" w:color="A6A6A6" w:themeColor="background1" w:themeShade="A6"/>
            </w:tcBorders>
          </w:tcPr>
          <w:p w14:paraId="0D0FAE79" w14:textId="077497EE" w:rsidR="00AC092B" w:rsidRPr="00AB4914" w:rsidRDefault="00AC092B" w:rsidP="1526866A">
            <w:pPr>
              <w:pStyle w:val="Tabletext"/>
              <w:rPr>
                <w:b/>
              </w:rPr>
            </w:pPr>
            <w:r w:rsidRPr="1526866A">
              <w:rPr>
                <w:b/>
              </w:rPr>
              <w:t>Conditions of tender and probity obligations</w:t>
            </w:r>
          </w:p>
        </w:tc>
        <w:tc>
          <w:tcPr>
            <w:tcW w:w="5716" w:type="dxa"/>
            <w:tcBorders>
              <w:top w:val="single" w:sz="6" w:space="0" w:color="A6A6A6" w:themeColor="background1" w:themeShade="A6"/>
            </w:tcBorders>
          </w:tcPr>
          <w:p w14:paraId="2DA500DF" w14:textId="525765F3" w:rsidR="00AC092B" w:rsidRPr="00EF7719" w:rsidRDefault="00AB4914" w:rsidP="00B37D9C">
            <w:pPr>
              <w:pStyle w:val="Tabletext"/>
              <w:cnfStyle w:val="000000000000" w:firstRow="0" w:lastRow="0" w:firstColumn="0" w:lastColumn="0" w:oddVBand="0" w:evenVBand="0" w:oddHBand="0" w:evenHBand="0" w:firstRowFirstColumn="0" w:firstRowLastColumn="0" w:lastRowFirstColumn="0" w:lastRowLastColumn="0"/>
            </w:pPr>
            <w:r>
              <w:t>The</w:t>
            </w:r>
            <w:r w:rsidR="00AC092B" w:rsidRPr="00EF7719">
              <w:t xml:space="preserve"> conditions of tender</w:t>
            </w:r>
            <w:r w:rsidR="003E630F">
              <w:t xml:space="preserve"> </w:t>
            </w:r>
            <w:r w:rsidR="00AC092B" w:rsidRPr="00EF7719">
              <w:t>includ</w:t>
            </w:r>
            <w:r w:rsidR="003E630F">
              <w:t>e</w:t>
            </w:r>
            <w:r w:rsidR="00AC092B" w:rsidRPr="00EF7719">
              <w:t xml:space="preserve"> the rules of the tender process and relationship to the model form. They detail the overall tender process including the delivery method, probity issues, timing of submissions, communication issues and the evaluation criteria.</w:t>
            </w:r>
          </w:p>
        </w:tc>
      </w:tr>
      <w:tr w:rsidR="00AC092B" w14:paraId="3275AE5E" w14:textId="77777777" w:rsidTr="00116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7BE42770" w14:textId="77777777" w:rsidR="00AC092B" w:rsidRPr="00AB4914" w:rsidRDefault="00AC092B" w:rsidP="00B37D9C">
            <w:pPr>
              <w:pStyle w:val="Tabletext"/>
              <w:rPr>
                <w:b/>
              </w:rPr>
            </w:pPr>
            <w:r w:rsidRPr="1526866A">
              <w:rPr>
                <w:b/>
              </w:rPr>
              <w:t>Specification:</w:t>
            </w:r>
          </w:p>
        </w:tc>
        <w:tc>
          <w:tcPr>
            <w:tcW w:w="5716" w:type="dxa"/>
          </w:tcPr>
          <w:p w14:paraId="7ACA002D" w14:textId="7DEEEC59" w:rsidR="00AC092B" w:rsidRPr="00EF7719" w:rsidRDefault="00AB4914" w:rsidP="00B37D9C">
            <w:pPr>
              <w:pStyle w:val="Tabletext"/>
              <w:cnfStyle w:val="000000010000" w:firstRow="0" w:lastRow="0" w:firstColumn="0" w:lastColumn="0" w:oddVBand="0" w:evenVBand="0" w:oddHBand="0" w:evenHBand="1" w:firstRowFirstColumn="0" w:firstRowLastColumn="0" w:lastRowFirstColumn="0" w:lastRowLastColumn="0"/>
            </w:pPr>
            <w:r>
              <w:t>D</w:t>
            </w:r>
            <w:r w:rsidR="1914FD07">
              <w:t>epending</w:t>
            </w:r>
            <w:r w:rsidR="1914FD07" w:rsidRPr="76AB2BEA">
              <w:t xml:space="preserve"> on the type of delivery model chosen, th</w:t>
            </w:r>
            <w:r w:rsidR="00500C7D">
              <w:t>e specification</w:t>
            </w:r>
            <w:r w:rsidR="1914FD07" w:rsidRPr="76AB2BEA">
              <w:t xml:space="preserve"> document may be a project brief or a detailed description of the works or service. The specification sets out the performance and technical criteria</w:t>
            </w:r>
            <w:r>
              <w:t>.</w:t>
            </w:r>
          </w:p>
        </w:tc>
      </w:tr>
      <w:tr w:rsidR="00AC092B" w14:paraId="1F71DA73" w14:textId="77777777" w:rsidTr="00116E99">
        <w:tc>
          <w:tcPr>
            <w:cnfStyle w:val="001000000000" w:firstRow="0" w:lastRow="0" w:firstColumn="1" w:lastColumn="0" w:oddVBand="0" w:evenVBand="0" w:oddHBand="0" w:evenHBand="0" w:firstRowFirstColumn="0" w:firstRowLastColumn="0" w:lastRowFirstColumn="0" w:lastRowLastColumn="0"/>
            <w:tcW w:w="2518" w:type="dxa"/>
          </w:tcPr>
          <w:p w14:paraId="67AF14E7" w14:textId="363B0B16" w:rsidR="00AC092B" w:rsidRPr="00B37D9C" w:rsidRDefault="00AC092B" w:rsidP="00B37D9C">
            <w:pPr>
              <w:pStyle w:val="Tabletext"/>
              <w:rPr>
                <w:b/>
              </w:rPr>
            </w:pPr>
            <w:r w:rsidRPr="00B37D9C">
              <w:rPr>
                <w:b/>
              </w:rPr>
              <w:t>Financial and commercial information</w:t>
            </w:r>
          </w:p>
        </w:tc>
        <w:tc>
          <w:tcPr>
            <w:tcW w:w="5716" w:type="dxa"/>
          </w:tcPr>
          <w:p w14:paraId="42C1CA12" w14:textId="51EE00B3" w:rsidR="00AC092B" w:rsidRPr="00EF7719" w:rsidRDefault="004B33C5" w:rsidP="00B37D9C">
            <w:pPr>
              <w:pStyle w:val="Tabletext"/>
              <w:cnfStyle w:val="000000000000" w:firstRow="0" w:lastRow="0" w:firstColumn="0" w:lastColumn="0" w:oddVBand="0" w:evenVBand="0" w:oddHBand="0" w:evenHBand="0" w:firstRowFirstColumn="0" w:firstRowLastColumn="0" w:lastRowFirstColumn="0" w:lastRowLastColumn="0"/>
            </w:pPr>
            <w:r>
              <w:t xml:space="preserve">Financial and commercial </w:t>
            </w:r>
            <w:r w:rsidR="000475AB">
              <w:t xml:space="preserve">information </w:t>
            </w:r>
            <w:r w:rsidR="00AB4914">
              <w:t>includes t</w:t>
            </w:r>
            <w:r w:rsidR="1914FD07" w:rsidRPr="76AB2BEA">
              <w:t>he proposed risk allocation and high-level commercial principles/structure that will apply</w:t>
            </w:r>
            <w:r w:rsidR="00AB4914">
              <w:t>.</w:t>
            </w:r>
          </w:p>
        </w:tc>
      </w:tr>
      <w:tr w:rsidR="00AC092B" w14:paraId="0E4A55A3" w14:textId="77777777" w:rsidTr="00116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6DD6334F" w14:textId="31CCE18D" w:rsidR="00AC092B" w:rsidRPr="00B37D9C" w:rsidRDefault="00AC092B" w:rsidP="00B37D9C">
            <w:pPr>
              <w:pStyle w:val="Tabletext"/>
              <w:rPr>
                <w:b/>
              </w:rPr>
            </w:pPr>
            <w:r w:rsidRPr="00B37D9C">
              <w:rPr>
                <w:b/>
              </w:rPr>
              <w:t>Form of contract</w:t>
            </w:r>
          </w:p>
        </w:tc>
        <w:tc>
          <w:tcPr>
            <w:tcW w:w="5716" w:type="dxa"/>
          </w:tcPr>
          <w:p w14:paraId="4D7B4D1E" w14:textId="6933AD55" w:rsidR="00AC092B" w:rsidRPr="00EF7719" w:rsidRDefault="00AB4914" w:rsidP="00B37D9C">
            <w:pPr>
              <w:pStyle w:val="Tabletext"/>
              <w:cnfStyle w:val="000000010000" w:firstRow="0" w:lastRow="0" w:firstColumn="0" w:lastColumn="0" w:oddVBand="0" w:evenVBand="0" w:oddHBand="0" w:evenHBand="1" w:firstRowFirstColumn="0" w:firstRowLastColumn="0" w:lastRowFirstColumn="0" w:lastRowLastColumn="0"/>
            </w:pPr>
            <w:r>
              <w:t>The</w:t>
            </w:r>
            <w:r w:rsidR="00044C93">
              <w:t xml:space="preserve"> contract stipulates the </w:t>
            </w:r>
            <w:r w:rsidR="1914FD07" w:rsidRPr="76AB2BEA">
              <w:t xml:space="preserve"> commercial and legal terms on which the works or services will be performed.</w:t>
            </w:r>
          </w:p>
        </w:tc>
      </w:tr>
      <w:tr w:rsidR="00AC092B" w14:paraId="13C3C6D7" w14:textId="77777777" w:rsidTr="00116E99">
        <w:tc>
          <w:tcPr>
            <w:cnfStyle w:val="001000000000" w:firstRow="0" w:lastRow="0" w:firstColumn="1" w:lastColumn="0" w:oddVBand="0" w:evenVBand="0" w:oddHBand="0" w:evenHBand="0" w:firstRowFirstColumn="0" w:firstRowLastColumn="0" w:lastRowFirstColumn="0" w:lastRowLastColumn="0"/>
            <w:tcW w:w="2518" w:type="dxa"/>
          </w:tcPr>
          <w:p w14:paraId="54C40A9B" w14:textId="3872DFB9" w:rsidR="00AC092B" w:rsidRPr="00B37D9C" w:rsidRDefault="00AC092B" w:rsidP="00B37D9C">
            <w:pPr>
              <w:pStyle w:val="Tabletext"/>
              <w:rPr>
                <w:b/>
              </w:rPr>
            </w:pPr>
            <w:r w:rsidRPr="00B37D9C">
              <w:rPr>
                <w:b/>
              </w:rPr>
              <w:t>Government policies</w:t>
            </w:r>
          </w:p>
        </w:tc>
        <w:tc>
          <w:tcPr>
            <w:tcW w:w="5716" w:type="dxa"/>
          </w:tcPr>
          <w:p w14:paraId="7FD7C594" w14:textId="148AA5EE" w:rsidR="00AC092B" w:rsidRPr="00EF7719" w:rsidRDefault="00AB4914" w:rsidP="00B37D9C">
            <w:pPr>
              <w:pStyle w:val="Tabletext"/>
              <w:cnfStyle w:val="000000000000" w:firstRow="0" w:lastRow="0" w:firstColumn="0" w:lastColumn="0" w:oddVBand="0" w:evenVBand="0" w:oddHBand="0" w:evenHBand="0" w:firstRowFirstColumn="0" w:firstRowLastColumn="0" w:lastRowFirstColumn="0" w:lastRowLastColumn="0"/>
            </w:pPr>
            <w:r>
              <w:t xml:space="preserve">This </w:t>
            </w:r>
            <w:r w:rsidR="1914FD07" w:rsidRPr="76AB2BEA">
              <w:t xml:space="preserve">information </w:t>
            </w:r>
            <w:r w:rsidR="00BB37AF">
              <w:t xml:space="preserve">outlines the </w:t>
            </w:r>
            <w:r w:rsidR="1914FD07" w:rsidRPr="76AB2BEA">
              <w:t>relevant government policies that apply to the procurement</w:t>
            </w:r>
            <w:r>
              <w:t>.</w:t>
            </w:r>
          </w:p>
        </w:tc>
      </w:tr>
      <w:tr w:rsidR="00AC092B" w14:paraId="0096485C" w14:textId="77777777" w:rsidTr="00116E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8AFD42F" w14:textId="00C57849" w:rsidR="00AC092B" w:rsidRPr="00B37D9C" w:rsidRDefault="00AC092B" w:rsidP="00B37D9C">
            <w:pPr>
              <w:pStyle w:val="Tabletext"/>
              <w:rPr>
                <w:b/>
              </w:rPr>
            </w:pPr>
            <w:r w:rsidRPr="00B37D9C">
              <w:rPr>
                <w:b/>
              </w:rPr>
              <w:t>Additional information</w:t>
            </w:r>
          </w:p>
        </w:tc>
        <w:tc>
          <w:tcPr>
            <w:tcW w:w="5716" w:type="dxa"/>
          </w:tcPr>
          <w:p w14:paraId="6C6C041C" w14:textId="39504D52" w:rsidR="00AC092B" w:rsidRPr="00EF7719" w:rsidRDefault="1914FD07" w:rsidP="00B37D9C">
            <w:pPr>
              <w:pStyle w:val="Tabletext"/>
              <w:cnfStyle w:val="000000010000" w:firstRow="0" w:lastRow="0" w:firstColumn="0" w:lastColumn="0" w:oddVBand="0" w:evenVBand="0" w:oddHBand="0" w:evenHBand="1" w:firstRowFirstColumn="0" w:firstRowLastColumn="0" w:lastRowFirstColumn="0" w:lastRowLastColumn="0"/>
            </w:pPr>
            <w:bookmarkStart w:id="407" w:name="_Hlk143582809"/>
            <w:r w:rsidRPr="76AB2BEA">
              <w:t>Additional information</w:t>
            </w:r>
            <w:r w:rsidR="00AB4914">
              <w:t xml:space="preserve"> includes</w:t>
            </w:r>
            <w:r w:rsidRPr="76AB2BEA">
              <w:t>:</w:t>
            </w:r>
          </w:p>
          <w:p w14:paraId="06E69BBD" w14:textId="77777777" w:rsidR="00AC092B" w:rsidRPr="00EF7719" w:rsidRDefault="00AC092B" w:rsidP="001D2615">
            <w:pPr>
              <w:pStyle w:val="Tablebullet"/>
              <w:cnfStyle w:val="000000010000" w:firstRow="0" w:lastRow="0" w:firstColumn="0" w:lastColumn="0" w:oddVBand="0" w:evenVBand="0" w:oddHBand="0" w:evenHBand="1" w:firstRowFirstColumn="0" w:firstRowLastColumn="0" w:lastRowFirstColumn="0" w:lastRowLastColumn="0"/>
            </w:pPr>
            <w:r w:rsidRPr="00EF7719">
              <w:t>drawings</w:t>
            </w:r>
          </w:p>
          <w:p w14:paraId="57F154FC" w14:textId="77777777" w:rsidR="00AC092B" w:rsidRPr="00EF7719" w:rsidRDefault="00AC092B" w:rsidP="001D2615">
            <w:pPr>
              <w:pStyle w:val="Tablebullet"/>
              <w:cnfStyle w:val="000000010000" w:firstRow="0" w:lastRow="0" w:firstColumn="0" w:lastColumn="0" w:oddVBand="0" w:evenVBand="0" w:oddHBand="0" w:evenHBand="1" w:firstRowFirstColumn="0" w:firstRowLastColumn="0" w:lastRowFirstColumn="0" w:lastRowLastColumn="0"/>
            </w:pPr>
            <w:r w:rsidRPr="00EF7719">
              <w:t>environmental and geotechnical investigations</w:t>
            </w:r>
          </w:p>
          <w:p w14:paraId="605631A5" w14:textId="77777777" w:rsidR="00AC092B" w:rsidRPr="00EF7719" w:rsidRDefault="00AC092B" w:rsidP="001D2615">
            <w:pPr>
              <w:pStyle w:val="Tablebullet"/>
              <w:cnfStyle w:val="000000010000" w:firstRow="0" w:lastRow="0" w:firstColumn="0" w:lastColumn="0" w:oddVBand="0" w:evenVBand="0" w:oddHBand="0" w:evenHBand="1" w:firstRowFirstColumn="0" w:firstRowLastColumn="0" w:lastRowFirstColumn="0" w:lastRowLastColumn="0"/>
            </w:pPr>
            <w:r w:rsidRPr="00EF7719">
              <w:t>land, planning and environmental issues</w:t>
            </w:r>
          </w:p>
          <w:p w14:paraId="65BB6892" w14:textId="77777777" w:rsidR="00AC092B" w:rsidRPr="00EF7719" w:rsidRDefault="00AC092B" w:rsidP="001D2615">
            <w:pPr>
              <w:pStyle w:val="Tablebullet"/>
              <w:cnfStyle w:val="000000010000" w:firstRow="0" w:lastRow="0" w:firstColumn="0" w:lastColumn="0" w:oddVBand="0" w:evenVBand="0" w:oddHBand="0" w:evenHBand="1" w:firstRowFirstColumn="0" w:firstRowLastColumn="0" w:lastRowFirstColumn="0" w:lastRowLastColumn="0"/>
            </w:pPr>
            <w:r w:rsidRPr="00EF7719">
              <w:t>sustainability approach</w:t>
            </w:r>
          </w:p>
          <w:p w14:paraId="61A79CE0" w14:textId="77777777" w:rsidR="00AC092B" w:rsidRPr="00EF7719" w:rsidRDefault="00AC092B" w:rsidP="001D2615">
            <w:pPr>
              <w:pStyle w:val="Tablebullet"/>
              <w:cnfStyle w:val="000000010000" w:firstRow="0" w:lastRow="0" w:firstColumn="0" w:lastColumn="0" w:oddVBand="0" w:evenVBand="0" w:oddHBand="0" w:evenHBand="1" w:firstRowFirstColumn="0" w:firstRowLastColumn="0" w:lastRowFirstColumn="0" w:lastRowLastColumn="0"/>
            </w:pPr>
            <w:r w:rsidRPr="00EF7719">
              <w:t>community consultation</w:t>
            </w:r>
          </w:p>
          <w:p w14:paraId="763A3688" w14:textId="561E2FD8" w:rsidR="00AC092B" w:rsidRPr="00EF7719" w:rsidRDefault="00AC092B" w:rsidP="001D2615">
            <w:pPr>
              <w:pStyle w:val="Tablebullet"/>
              <w:cnfStyle w:val="000000010000" w:firstRow="0" w:lastRow="0" w:firstColumn="0" w:lastColumn="0" w:oddVBand="0" w:evenVBand="0" w:oddHBand="0" w:evenHBand="1" w:firstRowFirstColumn="0" w:firstRowLastColumn="0" w:lastRowFirstColumn="0" w:lastRowLastColumn="0"/>
            </w:pPr>
            <w:r w:rsidRPr="00EF7719">
              <w:t>project interfaces</w:t>
            </w:r>
            <w:r w:rsidR="00AB4914">
              <w:t>.</w:t>
            </w:r>
          </w:p>
          <w:p w14:paraId="324AF498" w14:textId="18CBF8C6" w:rsidR="00AC092B" w:rsidRPr="00EF7719" w:rsidRDefault="1914FD07" w:rsidP="00B37D9C">
            <w:pPr>
              <w:pStyle w:val="Tabletext"/>
              <w:cnfStyle w:val="000000010000" w:firstRow="0" w:lastRow="0" w:firstColumn="0" w:lastColumn="0" w:oddVBand="0" w:evenVBand="0" w:oddHBand="0" w:evenHBand="1" w:firstRowFirstColumn="0" w:firstRowLastColumn="0" w:lastRowFirstColumn="0" w:lastRowLastColumn="0"/>
            </w:pPr>
            <w:r w:rsidRPr="76AB2BEA">
              <w:t xml:space="preserve">Agencies may also request specific information from bidders to assist in </w:t>
            </w:r>
            <w:r w:rsidR="003B4ADF">
              <w:t xml:space="preserve">the </w:t>
            </w:r>
            <w:r w:rsidRPr="76AB2BEA">
              <w:t>preparation of tender documentation for the next procurement stage</w:t>
            </w:r>
            <w:bookmarkEnd w:id="407"/>
            <w:r w:rsidR="00AB4914">
              <w:t>.</w:t>
            </w:r>
          </w:p>
        </w:tc>
      </w:tr>
      <w:tr w:rsidR="00AC092B" w14:paraId="6F8B2150" w14:textId="77777777" w:rsidTr="00116E99">
        <w:tc>
          <w:tcPr>
            <w:cnfStyle w:val="001000000000" w:firstRow="0" w:lastRow="0" w:firstColumn="1" w:lastColumn="0" w:oddVBand="0" w:evenVBand="0" w:oddHBand="0" w:evenHBand="0" w:firstRowFirstColumn="0" w:firstRowLastColumn="0" w:lastRowFirstColumn="0" w:lastRowLastColumn="0"/>
            <w:tcW w:w="2518" w:type="dxa"/>
          </w:tcPr>
          <w:p w14:paraId="20629C6F" w14:textId="02F0A958" w:rsidR="00AC092B" w:rsidRPr="00B37D9C" w:rsidRDefault="00AC092B" w:rsidP="00B37D9C">
            <w:pPr>
              <w:pStyle w:val="Tabletext"/>
              <w:rPr>
                <w:b/>
              </w:rPr>
            </w:pPr>
            <w:r w:rsidRPr="00B37D9C">
              <w:rPr>
                <w:b/>
              </w:rPr>
              <w:t xml:space="preserve">Response </w:t>
            </w:r>
            <w:r w:rsidR="00884F2D">
              <w:rPr>
                <w:b/>
              </w:rPr>
              <w:t>schedules</w:t>
            </w:r>
            <w:r w:rsidRPr="00B37D9C">
              <w:rPr>
                <w:b/>
              </w:rPr>
              <w:t xml:space="preserve"> </w:t>
            </w:r>
          </w:p>
        </w:tc>
        <w:tc>
          <w:tcPr>
            <w:tcW w:w="5716" w:type="dxa"/>
          </w:tcPr>
          <w:p w14:paraId="02180BD8" w14:textId="79FE72EB" w:rsidR="00AC092B" w:rsidRPr="00EF7719" w:rsidRDefault="1914FD07" w:rsidP="00B37D9C">
            <w:pPr>
              <w:pStyle w:val="Tabletext"/>
              <w:cnfStyle w:val="000000000000" w:firstRow="0" w:lastRow="0" w:firstColumn="0" w:lastColumn="0" w:oddVBand="0" w:evenVBand="0" w:oddHBand="0" w:evenHBand="0" w:firstRowFirstColumn="0" w:firstRowLastColumn="0" w:lastRowFirstColumn="0" w:lastRowLastColumn="0"/>
            </w:pPr>
            <w:r w:rsidRPr="76AB2BEA">
              <w:t>The</w:t>
            </w:r>
            <w:r w:rsidR="003B4ADF">
              <w:t xml:space="preserve"> response schedules </w:t>
            </w:r>
            <w:r w:rsidR="00AB4914">
              <w:t>outline the</w:t>
            </w:r>
            <w:r w:rsidRPr="76AB2BEA">
              <w:t xml:space="preserve"> required tender response to supply the works</w:t>
            </w:r>
            <w:r w:rsidR="00153C77">
              <w:t xml:space="preserve"> or services</w:t>
            </w:r>
            <w:r w:rsidR="00AB4914">
              <w:t>.</w:t>
            </w:r>
          </w:p>
        </w:tc>
      </w:tr>
    </w:tbl>
    <w:p w14:paraId="6D49B4AF" w14:textId="77777777" w:rsidR="00AC092B" w:rsidRPr="00BE41D4" w:rsidRDefault="00AC092B" w:rsidP="001D2615">
      <w:pPr>
        <w:pStyle w:val="Heading3numbered"/>
      </w:pPr>
      <w:r w:rsidRPr="00BE41D4">
        <w:t>Bid cost reimbursement</w:t>
      </w:r>
    </w:p>
    <w:p w14:paraId="3FA58EF1" w14:textId="3EEFA2C0" w:rsidR="00AC092B" w:rsidRPr="00BE41D4" w:rsidRDefault="00AC092B" w:rsidP="00834461">
      <w:pPr>
        <w:pStyle w:val="NormalIndent"/>
      </w:pPr>
      <w:r w:rsidRPr="00BE41D4">
        <w:t xml:space="preserve">Partial bid cost reimbursement may be considered for major construction </w:t>
      </w:r>
      <w:r>
        <w:t>HVHR</w:t>
      </w:r>
      <w:r w:rsidRPr="00BE41D4">
        <w:t xml:space="preserve"> projects. </w:t>
      </w:r>
      <w:r>
        <w:t>Government approval will be required to confirm the policy applies to a project and to allocate appropriate funding.</w:t>
      </w:r>
    </w:p>
    <w:p w14:paraId="4D6986A5" w14:textId="62F56662" w:rsidR="00AC092B" w:rsidRPr="009B5961" w:rsidRDefault="00AC092B" w:rsidP="00834461">
      <w:pPr>
        <w:pStyle w:val="NormalIndent"/>
      </w:pPr>
      <w:r w:rsidRPr="009B5961">
        <w:t>If partial bid cost reimbursement applies to a procurement, the tender documentation will set out bidders</w:t>
      </w:r>
      <w:r w:rsidR="00344D3F">
        <w:t>’</w:t>
      </w:r>
      <w:r w:rsidRPr="009B5961">
        <w:t xml:space="preserve"> entitlements, including covered items and any limitations on reimbursement.</w:t>
      </w:r>
    </w:p>
    <w:p w14:paraId="645F52A3" w14:textId="04F0CA66" w:rsidR="00AC092B" w:rsidRPr="009B5961" w:rsidRDefault="00AC092B" w:rsidP="00116E99">
      <w:pPr>
        <w:pStyle w:val="NormalIndent"/>
        <w:keepNext/>
        <w:ind w:right="302"/>
      </w:pPr>
      <w:r w:rsidRPr="009B5961">
        <w:t>Reimbursement will be linked to receiving intellectual property rights from the unsuccessful bidder</w:t>
      </w:r>
      <w:r w:rsidR="00344D3F">
        <w:t>’</w:t>
      </w:r>
      <w:r w:rsidRPr="009B5961">
        <w:t>s proposal and subject to the bidder submitting a conforming bid.</w:t>
      </w:r>
    </w:p>
    <w:p w14:paraId="37F22A3B" w14:textId="55776E13" w:rsidR="00AC092B" w:rsidRPr="00BE41D4" w:rsidRDefault="00AC092B" w:rsidP="00834461">
      <w:pPr>
        <w:pStyle w:val="NormalIndent"/>
      </w:pPr>
      <w:r>
        <w:t>The b</w:t>
      </w:r>
      <w:r w:rsidRPr="00BE41D4">
        <w:t>id cost reimbursement for major construction projects policy sets out parameters for assessing and paying bid costs on projects. It is available at</w:t>
      </w:r>
      <w:r w:rsidR="00AB4914">
        <w:t>:</w:t>
      </w:r>
      <w:hyperlink r:id="rId170" w:history="1">
        <w:r w:rsidR="001A5D02" w:rsidRPr="005B687A">
          <w:rPr>
            <w:rStyle w:val="Hyperlink"/>
          </w:rPr>
          <w:t xml:space="preserve"> https://www.dtf.vic.gov.au/infrastructure-investment/bid-cost-reimbursement-major-construction-project</w:t>
        </w:r>
      </w:hyperlink>
      <w:r w:rsidRPr="1526866A">
        <w:rPr>
          <w:rStyle w:val="Hyperlink"/>
        </w:rPr>
        <w:t>s</w:t>
      </w:r>
      <w:r>
        <w:t>.</w:t>
      </w:r>
    </w:p>
    <w:p w14:paraId="604AEC4D" w14:textId="26C4E30D" w:rsidR="00AC092B" w:rsidRPr="00387024" w:rsidRDefault="00AC092B" w:rsidP="001D2615">
      <w:pPr>
        <w:pStyle w:val="Heading2numbered"/>
      </w:pPr>
      <w:bookmarkStart w:id="408" w:name="_Ref144388821"/>
      <w:bookmarkStart w:id="409" w:name="_Toc161321780"/>
      <w:r>
        <w:t>Tender evaluation criteria and documentation</w:t>
      </w:r>
      <w:bookmarkEnd w:id="408"/>
      <w:bookmarkEnd w:id="409"/>
    </w:p>
    <w:tbl>
      <w:tblPr>
        <w:tblStyle w:val="MD"/>
        <w:tblW w:w="0" w:type="auto"/>
        <w:tblInd w:w="792" w:type="dxa"/>
        <w:shd w:val="clear" w:color="auto" w:fill="F2F2F2" w:themeFill="background1" w:themeFillShade="F2"/>
        <w:tblLayout w:type="fixed"/>
        <w:tblLook w:val="04A0" w:firstRow="1" w:lastRow="0" w:firstColumn="1" w:lastColumn="0" w:noHBand="0" w:noVBand="1"/>
      </w:tblPr>
      <w:tblGrid>
        <w:gridCol w:w="648"/>
        <w:gridCol w:w="7560"/>
      </w:tblGrid>
      <w:tr w:rsidR="00181714" w:rsidRPr="00FD12A6" w14:paraId="4D31556C" w14:textId="77777777" w:rsidTr="006E66D9">
        <w:trPr>
          <w:trHeight w:val="300"/>
        </w:trPr>
        <w:tc>
          <w:tcPr>
            <w:tcW w:w="648" w:type="dxa"/>
            <w:shd w:val="clear" w:color="auto" w:fill="F2F2F2" w:themeFill="background1" w:themeFillShade="F2"/>
            <w:hideMark/>
          </w:tcPr>
          <w:p w14:paraId="7A53204B" w14:textId="71643A2E" w:rsidR="00181714" w:rsidRPr="0000079A" w:rsidRDefault="006E66D9" w:rsidP="00007883">
            <w:pPr>
              <w:pStyle w:val="Tabletext"/>
              <w:ind w:left="-90"/>
            </w:pPr>
            <w:r>
              <w:rPr>
                <w:noProof/>
              </w:rPr>
              <w:drawing>
                <wp:inline distT="0" distB="0" distL="0" distR="0" wp14:anchorId="2D18F890" wp14:editId="7E46C95D">
                  <wp:extent cx="371475" cy="278607"/>
                  <wp:effectExtent l="0" t="0" r="0" b="7620"/>
                  <wp:docPr id="13" name="Picture 1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560" w:type="dxa"/>
            <w:shd w:val="clear" w:color="auto" w:fill="F2F2F2" w:themeFill="background1" w:themeFillShade="F2"/>
            <w:hideMark/>
          </w:tcPr>
          <w:p w14:paraId="04C32364" w14:textId="61C6BF25" w:rsidR="00181714" w:rsidRPr="00FD12A6" w:rsidRDefault="00181714" w:rsidP="00171CF8">
            <w:pPr>
              <w:pStyle w:val="Tabletext"/>
              <w:rPr>
                <w:rFonts w:cs="Arial"/>
                <w:color w:val="000000"/>
              </w:rPr>
            </w:pPr>
            <w:r w:rsidRPr="0000079A">
              <w:t>M</w:t>
            </w:r>
            <w:r w:rsidR="00F545A0">
              <w:t xml:space="preserve">inisterial Direction and Instruction </w:t>
            </w:r>
            <w:r w:rsidR="005C46D0">
              <w:t xml:space="preserve">for Public Construction Procurement </w:t>
            </w:r>
            <w:r w:rsidRPr="0000079A">
              <w:t>3.7.1 requires agencies to develop and substantially complete an evaluation plan detailing how a tender process will be evaluated before releasing tender documentation to the market</w:t>
            </w:r>
            <w:r w:rsidR="006F1124">
              <w:t>. This is</w:t>
            </w:r>
            <w:r w:rsidRPr="0000079A">
              <w:t xml:space="preserve"> to ensure the information requested through the tender and the evaluation plan are aligned. The evaluation plan must be finalised before the tender closing date.</w:t>
            </w:r>
          </w:p>
        </w:tc>
      </w:tr>
    </w:tbl>
    <w:p w14:paraId="35584221" w14:textId="77777777" w:rsidR="00AC092B" w:rsidRDefault="00AC092B" w:rsidP="00834461">
      <w:pPr>
        <w:pStyle w:val="NormalIndent"/>
      </w:pPr>
      <w:r w:rsidRPr="00181210">
        <w:t>Agencies should finalise evaluation plans substantively before the release of tender documentation and finalise it prior to the tender closing date.</w:t>
      </w:r>
    </w:p>
    <w:p w14:paraId="15EDC502" w14:textId="209FCC07" w:rsidR="00AC092B" w:rsidRDefault="00AC092B" w:rsidP="00834461">
      <w:pPr>
        <w:pStyle w:val="NormalIndent"/>
      </w:pPr>
      <w:r>
        <w:t>The evaluation plan set</w:t>
      </w:r>
      <w:r w:rsidR="0056610B">
        <w:t>s</w:t>
      </w:r>
      <w:r>
        <w:t xml:space="preserve"> out the:</w:t>
      </w:r>
    </w:p>
    <w:p w14:paraId="5DAB891C" w14:textId="77777777" w:rsidR="00AC092B" w:rsidRDefault="1914FD07" w:rsidP="001D2615">
      <w:pPr>
        <w:pStyle w:val="Bulletindent"/>
      </w:pPr>
      <w:r>
        <w:t>tender evaluation criteria, including identifying any mandatory criteria</w:t>
      </w:r>
    </w:p>
    <w:p w14:paraId="18B7D788" w14:textId="77777777" w:rsidR="00AC092B" w:rsidRDefault="1914FD07" w:rsidP="001D2615">
      <w:pPr>
        <w:pStyle w:val="Bulletindent"/>
      </w:pPr>
      <w:r>
        <w:t>relative importance and associated weightings of the evaluation criteria</w:t>
      </w:r>
    </w:p>
    <w:p w14:paraId="5FD44682" w14:textId="77777777" w:rsidR="00AC092B" w:rsidRDefault="1914FD07" w:rsidP="001D2615">
      <w:pPr>
        <w:pStyle w:val="Bulletindent"/>
      </w:pPr>
      <w:r>
        <w:t>evaluation methodology and how each criteria will be evaluated</w:t>
      </w:r>
    </w:p>
    <w:p w14:paraId="6DA1DBB7" w14:textId="77777777" w:rsidR="00AC092B" w:rsidRDefault="1914FD07" w:rsidP="001D2615">
      <w:pPr>
        <w:pStyle w:val="Bulletindent"/>
      </w:pPr>
      <w:r>
        <w:t>tender evaluation processes, including:</w:t>
      </w:r>
    </w:p>
    <w:p w14:paraId="7576EA4C" w14:textId="77777777" w:rsidR="00AC092B" w:rsidRDefault="00AC092B" w:rsidP="001D2615">
      <w:pPr>
        <w:pStyle w:val="Bulletindent2"/>
      </w:pPr>
      <w:r>
        <w:t>tender opening times</w:t>
      </w:r>
    </w:p>
    <w:p w14:paraId="6E075852" w14:textId="77777777" w:rsidR="00AC092B" w:rsidRDefault="00AC092B" w:rsidP="001D2615">
      <w:pPr>
        <w:pStyle w:val="Bulletindent2"/>
      </w:pPr>
      <w:r>
        <w:t xml:space="preserve">who will assess the tenders, including </w:t>
      </w:r>
      <w:r w:rsidRPr="00387024">
        <w:t>number of panels</w:t>
      </w:r>
      <w:r>
        <w:t>/working groups</w:t>
      </w:r>
      <w:r w:rsidRPr="00387024">
        <w:t xml:space="preserve"> assessing different aspects of the submission</w:t>
      </w:r>
    </w:p>
    <w:p w14:paraId="2AD44597" w14:textId="77777777" w:rsidR="00AC092B" w:rsidRDefault="00AC092B" w:rsidP="001D2615">
      <w:pPr>
        <w:pStyle w:val="Bulletindent2"/>
      </w:pPr>
      <w:r>
        <w:t>resourcing, such as technical experts required to assess certain criteria</w:t>
      </w:r>
    </w:p>
    <w:p w14:paraId="2C7E78D0" w14:textId="77777777" w:rsidR="00AC092B" w:rsidRDefault="00AC092B" w:rsidP="001D2615">
      <w:pPr>
        <w:pStyle w:val="Bulletindent2"/>
      </w:pPr>
      <w:r>
        <w:t>which evaluation committee members will have access to what information</w:t>
      </w:r>
    </w:p>
    <w:p w14:paraId="0AED9DEE" w14:textId="77777777" w:rsidR="00AC092B" w:rsidRDefault="00AC092B" w:rsidP="001D2615">
      <w:pPr>
        <w:pStyle w:val="Bulletindent2"/>
      </w:pPr>
      <w:r>
        <w:t>timeframes for the evaluation</w:t>
      </w:r>
    </w:p>
    <w:p w14:paraId="58D0692F" w14:textId="77777777" w:rsidR="00AC092B" w:rsidRDefault="00AC092B" w:rsidP="001D2615">
      <w:pPr>
        <w:pStyle w:val="Bulletindent2"/>
      </w:pPr>
      <w:r>
        <w:t>how each evaluation criteria will be assessed and scored.</w:t>
      </w:r>
    </w:p>
    <w:p w14:paraId="4E6012FB" w14:textId="77777777" w:rsidR="00AC092B" w:rsidRPr="00BE41D4" w:rsidRDefault="00AC092B" w:rsidP="001D2615">
      <w:pPr>
        <w:pStyle w:val="Heading3numbered"/>
      </w:pPr>
      <w:r w:rsidRPr="00B74BC9">
        <w:t>Evaluation criteria</w:t>
      </w:r>
    </w:p>
    <w:p w14:paraId="56C4F808" w14:textId="758E73FA" w:rsidR="00AC092B" w:rsidRDefault="00AC092B" w:rsidP="007D48FA">
      <w:pPr>
        <w:pStyle w:val="NormalIndent"/>
        <w:keepNext/>
      </w:pPr>
      <w:r>
        <w:t>Evaluation criteria should be linked to the project</w:t>
      </w:r>
      <w:r w:rsidR="00344D3F">
        <w:t>’</w:t>
      </w:r>
      <w:r>
        <w:t>s objectives to enable the agency to evaluate which tender represents the best value for money.</w:t>
      </w:r>
    </w:p>
    <w:p w14:paraId="5D6C245F" w14:textId="77777777" w:rsidR="00AC092B" w:rsidRDefault="00AC092B" w:rsidP="00834461">
      <w:pPr>
        <w:pStyle w:val="NormalIndent"/>
      </w:pPr>
      <w:r w:rsidRPr="00387024">
        <w:t xml:space="preserve">It is essential that tender evaluation criteria, weightings and processes are developed prior to releasing tender documentation. This is to ensure that </w:t>
      </w:r>
      <w:r>
        <w:t xml:space="preserve">tender documents </w:t>
      </w:r>
      <w:r w:rsidRPr="00387024">
        <w:t>are drafted in a way that will elicit all the information that the tender evaluation team requires to assess submissions and meet probity requirements.</w:t>
      </w:r>
    </w:p>
    <w:p w14:paraId="18BC25B5" w14:textId="04055CBE" w:rsidR="00AC092B" w:rsidRDefault="00AC092B" w:rsidP="00834461">
      <w:pPr>
        <w:pStyle w:val="NormalIndent"/>
      </w:pPr>
      <w:r>
        <w:t xml:space="preserve">Tender evaluation criteria should be disclosed in tender documents. Agencies </w:t>
      </w:r>
      <w:r w:rsidRPr="00BE41D4">
        <w:t>may</w:t>
      </w:r>
      <w:r>
        <w:t xml:space="preserve"> provide </w:t>
      </w:r>
      <w:r w:rsidRPr="00BE41D4">
        <w:t xml:space="preserve">an indication of the relative importance or weighting of the evaluation criteria in the </w:t>
      </w:r>
      <w:r>
        <w:t>t</w:t>
      </w:r>
      <w:r w:rsidRPr="00BE41D4">
        <w:t xml:space="preserve">ender </w:t>
      </w:r>
      <w:r>
        <w:t>d</w:t>
      </w:r>
      <w:r w:rsidRPr="00BE41D4">
        <w:t>ocumentation.</w:t>
      </w:r>
    </w:p>
    <w:p w14:paraId="18CB2C08" w14:textId="113C63C7" w:rsidR="00181714" w:rsidRPr="00BE41D4" w:rsidRDefault="005E3703" w:rsidP="00834461">
      <w:pPr>
        <w:pStyle w:val="NormalIndent"/>
      </w:pPr>
      <w:r>
        <w:t xml:space="preserve">Further information on specific evaluation criteria is provided in </w:t>
      </w:r>
      <w:r w:rsidR="009C1B68">
        <w:fldChar w:fldCharType="begin"/>
      </w:r>
      <w:r w:rsidR="009C1B68">
        <w:instrText xml:space="preserve"> REF Chapter8 \h </w:instrText>
      </w:r>
      <w:r w:rsidR="009C1B68">
        <w:fldChar w:fldCharType="separate"/>
      </w:r>
      <w:r w:rsidR="008A4B3E">
        <w:t>Chapter 8</w:t>
      </w:r>
      <w:r w:rsidR="009C1B68">
        <w:fldChar w:fldCharType="end"/>
      </w:r>
      <w:r>
        <w:t>.</w:t>
      </w:r>
      <w:r w:rsidR="00571000">
        <w:t xml:space="preserve"> </w:t>
      </w:r>
    </w:p>
    <w:p w14:paraId="0317324C" w14:textId="261F72D1" w:rsidR="003324A3" w:rsidRPr="00387024" w:rsidRDefault="003324A3" w:rsidP="001D2615">
      <w:pPr>
        <w:pStyle w:val="Heading2numbered"/>
      </w:pPr>
      <w:bookmarkStart w:id="410" w:name="_Toc161321781"/>
      <w:r w:rsidRPr="00387024">
        <w:t>Contract documentation</w:t>
      </w:r>
      <w:bookmarkEnd w:id="410"/>
    </w:p>
    <w:p w14:paraId="2BF1432F" w14:textId="44C5D9EE" w:rsidR="003324A3" w:rsidRPr="00387024" w:rsidRDefault="003324A3" w:rsidP="00834461">
      <w:pPr>
        <w:pStyle w:val="NormalIndent"/>
      </w:pPr>
      <w:r w:rsidRPr="00387024">
        <w:t xml:space="preserve">Contract documentation formally outlines the arrangement between the project owner and the successful </w:t>
      </w:r>
      <w:r w:rsidR="004C4B85">
        <w:t>contractor</w:t>
      </w:r>
      <w:r w:rsidRPr="00387024">
        <w:t>. It helps to ensure high</w:t>
      </w:r>
      <w:r>
        <w:t>-</w:t>
      </w:r>
      <w:r w:rsidRPr="00387024">
        <w:t>quality and cost-effective outcomes for the project by:</w:t>
      </w:r>
    </w:p>
    <w:p w14:paraId="61AB370B" w14:textId="77777777" w:rsidR="003324A3" w:rsidRPr="00387024" w:rsidRDefault="15C8AB0F" w:rsidP="001D2615">
      <w:pPr>
        <w:pStyle w:val="Bulletindent"/>
      </w:pPr>
      <w:r>
        <w:t>specifying performance and quality standards</w:t>
      </w:r>
    </w:p>
    <w:p w14:paraId="006B9118" w14:textId="77777777" w:rsidR="003324A3" w:rsidRPr="00387024" w:rsidRDefault="15C8AB0F" w:rsidP="001D2615">
      <w:pPr>
        <w:pStyle w:val="Bulletindent"/>
      </w:pPr>
      <w:r>
        <w:t>appropriately apportioning risk between the parties</w:t>
      </w:r>
    </w:p>
    <w:p w14:paraId="39A9EF01" w14:textId="585E5C58" w:rsidR="003324A3" w:rsidRPr="00387024" w:rsidRDefault="4ACC7A19" w:rsidP="001D2615">
      <w:pPr>
        <w:pStyle w:val="Bulletindent"/>
      </w:pPr>
      <w:r w:rsidRPr="00387024">
        <w:t xml:space="preserve">incentivising the contractor to perform as appropriate, in line with </w:t>
      </w:r>
      <w:r w:rsidR="00C56F3D">
        <w:t>VfM</w:t>
      </w:r>
      <w:r w:rsidRPr="00387024">
        <w:t xml:space="preserve"> considerations</w:t>
      </w:r>
      <w:r w:rsidR="008143A4">
        <w:t>.</w:t>
      </w:r>
      <w:r w:rsidR="00DC350B">
        <w:rPr>
          <w:rFonts w:ascii="ZWAdobeF" w:hAnsi="ZWAdobeF" w:cs="ZWAdobeF"/>
          <w:color w:val="auto"/>
          <w:sz w:val="2"/>
          <w:szCs w:val="2"/>
        </w:rPr>
        <w:t>15F</w:t>
      </w:r>
      <w:r w:rsidR="003324A3" w:rsidRPr="00387024">
        <w:rPr>
          <w:rStyle w:val="FootnoteReference"/>
        </w:rPr>
        <w:footnoteReference w:id="17"/>
      </w:r>
    </w:p>
    <w:p w14:paraId="4742D66D" w14:textId="754650FB" w:rsidR="003324A3" w:rsidRPr="00387024" w:rsidRDefault="003324A3" w:rsidP="00834461">
      <w:pPr>
        <w:pStyle w:val="NormalIndent"/>
      </w:pPr>
      <w:r w:rsidRPr="00387024">
        <w:t>Contract documentation should facilitate the parties working together in the most collaborative and constructive way possible. It should be developed during the tender development phase and disseminated as part of the tender documentation.</w:t>
      </w:r>
    </w:p>
    <w:p w14:paraId="6A28E977" w14:textId="77777777" w:rsidR="003324A3" w:rsidRPr="00387024" w:rsidRDefault="003324A3" w:rsidP="001D2615">
      <w:pPr>
        <w:pStyle w:val="Heading3numbered"/>
      </w:pPr>
      <w:r w:rsidRPr="00387024">
        <w:t>Standard forms of contract</w:t>
      </w:r>
    </w:p>
    <w:p w14:paraId="3E915A37" w14:textId="665E8C3D" w:rsidR="00AC092B" w:rsidRPr="00387024" w:rsidRDefault="0093797B" w:rsidP="00834461">
      <w:pPr>
        <w:pStyle w:val="NormalIndent"/>
      </w:pPr>
      <w:r>
        <w:t>M</w:t>
      </w:r>
      <w:r w:rsidR="007C0390">
        <w:t>inisterial Direction</w:t>
      </w:r>
      <w:r w:rsidR="00357444">
        <w:t>s</w:t>
      </w:r>
      <w:r w:rsidR="004C4B85">
        <w:t xml:space="preserve"> and Instruction</w:t>
      </w:r>
      <w:r w:rsidR="00357444">
        <w:t>s</w:t>
      </w:r>
      <w:r w:rsidR="004C4B85">
        <w:t xml:space="preserve"> </w:t>
      </w:r>
      <w:r w:rsidR="008143A4">
        <w:t xml:space="preserve"> </w:t>
      </w:r>
      <w:hyperlink r:id="rId171" w:history="1">
        <w:r w:rsidR="008143A4" w:rsidRPr="00357444">
          <w:rPr>
            <w:rStyle w:val="Hyperlink"/>
          </w:rPr>
          <w:t>7.1</w:t>
        </w:r>
      </w:hyperlink>
      <w:r w:rsidR="008143A4">
        <w:t xml:space="preserve"> and </w:t>
      </w:r>
      <w:hyperlink r:id="rId172" w:history="1">
        <w:r w:rsidR="008143A4" w:rsidRPr="0078147E">
          <w:rPr>
            <w:rStyle w:val="Hyperlink"/>
          </w:rPr>
          <w:t>7.2</w:t>
        </w:r>
      </w:hyperlink>
      <w:r w:rsidR="00AC092B" w:rsidRPr="00195481">
        <w:t xml:space="preserve"> for Public Construction Procurement in Victoria </w:t>
      </w:r>
      <w:r w:rsidR="00AC092B">
        <w:t xml:space="preserve">govern the use and content of contracts for construction works. They </w:t>
      </w:r>
      <w:r w:rsidR="00AC092B" w:rsidRPr="00387024">
        <w:t>require contracts to be in a form approved by the Secretary to</w:t>
      </w:r>
      <w:r w:rsidR="002A554A">
        <w:t>DTF</w:t>
      </w:r>
      <w:r w:rsidR="00AC092B" w:rsidRPr="00387024">
        <w:t>. Collectively, these contracts are referred to as the Victorian Public Construction Contracts.</w:t>
      </w:r>
    </w:p>
    <w:p w14:paraId="693EBD9B" w14:textId="30CC95DD" w:rsidR="00AC092B" w:rsidRDefault="00AC092B" w:rsidP="00834461">
      <w:pPr>
        <w:pStyle w:val="NormalIndent"/>
      </w:pPr>
      <w:r>
        <w:t>Approved Victorian Public Construction Contracts for lump sum contracts for small to medium</w:t>
      </w:r>
      <w:r w:rsidR="00281459">
        <w:rPr>
          <w:rFonts w:hint="eastAsia"/>
        </w:rPr>
        <w:t>-</w:t>
      </w:r>
      <w:r>
        <w:t>sized projects can be found at</w:t>
      </w:r>
      <w:r w:rsidR="008143A4">
        <w:t>:</w:t>
      </w:r>
      <w:r>
        <w:t xml:space="preserve"> </w:t>
      </w:r>
      <w:hyperlink r:id="rId173" w:history="1">
        <w:r w:rsidRPr="002C44DE">
          <w:rPr>
            <w:rStyle w:val="Hyperlink"/>
          </w:rPr>
          <w:t>https://www.dtf.vic.gov.au/practitioners-toolkit/practitioners-toolkit-document-library</w:t>
        </w:r>
      </w:hyperlink>
      <w:r w:rsidR="008143A4">
        <w:t>.</w:t>
      </w:r>
    </w:p>
    <w:p w14:paraId="26FCC40B" w14:textId="5436E251" w:rsidR="00AC092B" w:rsidRDefault="00AC092B" w:rsidP="00F43EEE">
      <w:pPr>
        <w:pStyle w:val="NormalIndent"/>
        <w:keepNext/>
      </w:pPr>
      <w:r>
        <w:t xml:space="preserve">Additional contracts, including the </w:t>
      </w:r>
      <w:r w:rsidR="008143A4">
        <w:t xml:space="preserve">ITC </w:t>
      </w:r>
      <w:r w:rsidR="002F32FD">
        <w:t xml:space="preserve">Contract Suite </w:t>
      </w:r>
      <w:r w:rsidR="002B0EBB">
        <w:t xml:space="preserve">and </w:t>
      </w:r>
      <w:r w:rsidRPr="00182638">
        <w:t xml:space="preserve">Enhanced Design and Construct </w:t>
      </w:r>
      <w:r w:rsidR="002F32FD" w:rsidRPr="00182638">
        <w:t>Deed</w:t>
      </w:r>
      <w:r w:rsidRPr="00182638">
        <w:t>, can be accessed at</w:t>
      </w:r>
      <w:r w:rsidR="00B27E39">
        <w:t xml:space="preserve"> </w:t>
      </w:r>
      <w:r w:rsidR="00A009AF" w:rsidDel="00B27E39">
        <w:t>DTF’s</w:t>
      </w:r>
      <w:r w:rsidR="00A009AF">
        <w:t xml:space="preserve"> </w:t>
      </w:r>
      <w:hyperlink r:id="rId174" w:history="1">
        <w:r w:rsidR="00A009AF" w:rsidRPr="005E57A2">
          <w:rPr>
            <w:rStyle w:val="Hyperlink"/>
          </w:rPr>
          <w:t>Cost Reimbursable Procurement Category</w:t>
        </w:r>
      </w:hyperlink>
      <w:r w:rsidR="00EE1735">
        <w:rPr>
          <w:rStyle w:val="Hyperlink"/>
        </w:rPr>
        <w:t xml:space="preserve"> and </w:t>
      </w:r>
      <w:hyperlink r:id="rId175" w:history="1">
        <w:r w:rsidR="00EE1735" w:rsidRPr="00182638">
          <w:rPr>
            <w:rStyle w:val="Hyperlink"/>
          </w:rPr>
          <w:t>Lump Sum Procurement Category</w:t>
        </w:r>
      </w:hyperlink>
      <w:r w:rsidR="00EE1735" w:rsidRPr="00182638">
        <w:t xml:space="preserve"> webpages</w:t>
      </w:r>
      <w:r w:rsidR="001B26EC">
        <w:t>.</w:t>
      </w:r>
    </w:p>
    <w:p w14:paraId="49F9A094" w14:textId="52B84985" w:rsidR="00AC092B" w:rsidRPr="001F6068" w:rsidRDefault="00AC092B" w:rsidP="00834461">
      <w:pPr>
        <w:pStyle w:val="NormalIndent"/>
        <w:rPr>
          <w:color w:val="4D4D4D"/>
          <w:u w:val="single"/>
        </w:rPr>
      </w:pPr>
      <w:r>
        <w:t>DTF ha</w:t>
      </w:r>
      <w:r w:rsidR="005F400B">
        <w:t>s</w:t>
      </w:r>
      <w:r>
        <w:t xml:space="preserve"> developed a suite of harmonised project </w:t>
      </w:r>
      <w:r w:rsidRPr="00F9245A">
        <w:t>documents for Partnerships Victoria projects (Harmonised PPP Project Deed</w:t>
      </w:r>
      <w:r w:rsidR="00BC1E5D" w:rsidRPr="00F9245A">
        <w:t>s</w:t>
      </w:r>
      <w:r w:rsidRPr="00F9245A">
        <w:t>). These can be accessed at</w:t>
      </w:r>
      <w:r w:rsidR="00B27E39">
        <w:t xml:space="preserve"> the</w:t>
      </w:r>
      <w:r w:rsidRPr="00F9245A">
        <w:t xml:space="preserve"> </w:t>
      </w:r>
      <w:hyperlink r:id="rId176" w:history="1">
        <w:r w:rsidR="0017755B">
          <w:rPr>
            <w:rStyle w:val="Hyperlink"/>
          </w:rPr>
          <w:t>Whole-of-Life Procurement Category</w:t>
        </w:r>
      </w:hyperlink>
      <w:r w:rsidR="00B27E39">
        <w:t xml:space="preserve"> webpage</w:t>
      </w:r>
      <w:r w:rsidR="00F9245A" w:rsidRPr="00834461">
        <w:t>.</w:t>
      </w:r>
    </w:p>
    <w:p w14:paraId="08922BA8" w14:textId="77777777" w:rsidR="00AC092B" w:rsidRPr="00387024" w:rsidRDefault="00AC092B" w:rsidP="001D2615">
      <w:pPr>
        <w:pStyle w:val="Heading2numbered"/>
        <w:pageBreakBefore/>
      </w:pPr>
      <w:bookmarkStart w:id="411" w:name="_Toc161321782"/>
      <w:r>
        <w:t>Pre-tender and tender documentation</w:t>
      </w:r>
      <w:r w:rsidRPr="00387024">
        <w:t xml:space="preserve"> checklist</w:t>
      </w:r>
      <w:bookmarkEnd w:id="411"/>
    </w:p>
    <w:p w14:paraId="6AA16FFF" w14:textId="0D5A2264" w:rsidR="00AC092B" w:rsidRPr="00387024" w:rsidRDefault="003E423D" w:rsidP="00834461">
      <w:pPr>
        <w:pStyle w:val="NormalIndent"/>
      </w:pPr>
      <w:r>
        <w:t>I</w:t>
      </w:r>
      <w:r w:rsidR="00AC092B" w:rsidRPr="00387024">
        <w:t xml:space="preserve">t is important that </w:t>
      </w:r>
      <w:r w:rsidR="00AB7BED">
        <w:t xml:space="preserve">agencies have undertaken </w:t>
      </w:r>
      <w:r w:rsidR="00AC092B" w:rsidRPr="00387024">
        <w:t>the following tasks</w:t>
      </w:r>
      <w:r>
        <w:t xml:space="preserve"> b</w:t>
      </w:r>
      <w:r w:rsidRPr="00387024">
        <w:t xml:space="preserve">efore </w:t>
      </w:r>
      <w:r>
        <w:t>finalising documentation</w:t>
      </w:r>
      <w:r w:rsidRPr="00387024">
        <w:t xml:space="preserve"> and proceeding to </w:t>
      </w:r>
      <w:r>
        <w:t>tendering</w:t>
      </w:r>
      <w:r w:rsidR="00AC092B" w:rsidRPr="00387024">
        <w:t>:</w:t>
      </w:r>
    </w:p>
    <w:p w14:paraId="4647CCB3" w14:textId="3701D9EB" w:rsidR="00D316F2" w:rsidRDefault="00A23826" w:rsidP="00F43EEE">
      <w:pPr>
        <w:pStyle w:val="Captionindent"/>
      </w:pPr>
      <w:bookmarkStart w:id="412" w:name="_Toc145621361"/>
      <w:bookmarkStart w:id="413" w:name="_Toc146097255"/>
      <w:r>
        <w:t xml:space="preserve">Table </w:t>
      </w:r>
      <w:r w:rsidR="00D316F2">
        <w:fldChar w:fldCharType="begin"/>
      </w:r>
      <w:r w:rsidR="00D316F2">
        <w:instrText>SEQ Table \* ARABIC</w:instrText>
      </w:r>
      <w:r w:rsidR="00D316F2">
        <w:fldChar w:fldCharType="separate"/>
      </w:r>
      <w:r w:rsidR="008A4B3E">
        <w:rPr>
          <w:noProof/>
        </w:rPr>
        <w:t>13</w:t>
      </w:r>
      <w:r w:rsidR="00D316F2">
        <w:fldChar w:fldCharType="end"/>
      </w:r>
      <w:r w:rsidR="00E958D5">
        <w:t xml:space="preserve"> –</w:t>
      </w:r>
      <w:r w:rsidR="00D316F2">
        <w:t xml:space="preserve"> </w:t>
      </w:r>
      <w:r w:rsidR="00D316F2" w:rsidRPr="003F2900">
        <w:t xml:space="preserve">Pre-tender and tender documentation </w:t>
      </w:r>
      <w:r w:rsidR="0089703E">
        <w:t xml:space="preserve">phase </w:t>
      </w:r>
      <w:r w:rsidR="00D316F2" w:rsidRPr="003F2900">
        <w:t>checklist</w:t>
      </w:r>
      <w:bookmarkEnd w:id="412"/>
      <w:bookmarkEnd w:id="413"/>
    </w:p>
    <w:tbl>
      <w:tblPr>
        <w:tblStyle w:val="DTFtexttableindent"/>
        <w:tblW w:w="8298" w:type="dxa"/>
        <w:tblLook w:val="0620" w:firstRow="1" w:lastRow="0" w:firstColumn="0" w:lastColumn="0" w:noHBand="1" w:noVBand="1"/>
      </w:tblPr>
      <w:tblGrid>
        <w:gridCol w:w="8298"/>
      </w:tblGrid>
      <w:tr w:rsidR="00AC092B" w:rsidRPr="00387024" w14:paraId="4AD30494" w14:textId="77777777" w:rsidTr="00F43EEE">
        <w:trPr>
          <w:cnfStyle w:val="100000000000" w:firstRow="1" w:lastRow="0" w:firstColumn="0" w:lastColumn="0" w:oddVBand="0" w:evenVBand="0" w:oddHBand="0" w:evenHBand="0" w:firstRowFirstColumn="0" w:firstRowLastColumn="0" w:lastRowFirstColumn="0" w:lastRowLastColumn="0"/>
        </w:trPr>
        <w:tc>
          <w:tcPr>
            <w:tcW w:w="8298" w:type="dxa"/>
          </w:tcPr>
          <w:p w14:paraId="4E526AAB" w14:textId="77777777" w:rsidR="00AC092B" w:rsidRPr="00387024" w:rsidRDefault="00AC092B" w:rsidP="00F7602B">
            <w:pPr>
              <w:pStyle w:val="Tableheader"/>
            </w:pPr>
            <w:r>
              <w:t>Pre-tender and tender documentation</w:t>
            </w:r>
            <w:r w:rsidRPr="00387024">
              <w:t xml:space="preserve"> phase key tasks</w:t>
            </w:r>
          </w:p>
        </w:tc>
      </w:tr>
      <w:tr w:rsidR="00AC092B" w:rsidRPr="00387024" w14:paraId="2DAC9073" w14:textId="77777777" w:rsidTr="00F43EEE">
        <w:tc>
          <w:tcPr>
            <w:tcW w:w="8298" w:type="dxa"/>
          </w:tcPr>
          <w:p w14:paraId="1C636F2B" w14:textId="4D9A2062" w:rsidR="00AC092B" w:rsidRPr="00387024" w:rsidRDefault="00AC092B" w:rsidP="00F43EEE">
            <w:pPr>
              <w:pStyle w:val="Tabletext"/>
              <w:tabs>
                <w:tab w:val="left" w:pos="360"/>
              </w:tabs>
            </w:pPr>
            <w:r w:rsidRPr="00387024">
              <w:rPr>
                <w:rFonts w:ascii="Wingdings" w:eastAsia="Wingdings" w:hAnsi="Wingdings" w:cs="Wingdings"/>
              </w:rPr>
              <w:t>ü</w:t>
            </w:r>
            <w:r w:rsidRPr="00387024">
              <w:tab/>
            </w:r>
            <w:r>
              <w:t xml:space="preserve">Undertake required </w:t>
            </w:r>
            <w:r w:rsidR="00C56F3D">
              <w:t>PDDD</w:t>
            </w:r>
            <w:r>
              <w:t xml:space="preserve"> </w:t>
            </w:r>
          </w:p>
        </w:tc>
      </w:tr>
      <w:tr w:rsidR="00AC092B" w:rsidRPr="00387024" w14:paraId="1DF4BBF8" w14:textId="77777777" w:rsidTr="00F43EEE">
        <w:tc>
          <w:tcPr>
            <w:tcW w:w="8298" w:type="dxa"/>
          </w:tcPr>
          <w:p w14:paraId="502E5EB9" w14:textId="77777777" w:rsidR="00AC092B" w:rsidRPr="00387024" w:rsidRDefault="00AC092B" w:rsidP="00F43EEE">
            <w:pPr>
              <w:pStyle w:val="Tabletext"/>
              <w:tabs>
                <w:tab w:val="left" w:pos="360"/>
              </w:tabs>
            </w:pPr>
            <w:r w:rsidRPr="00387024">
              <w:rPr>
                <w:rFonts w:ascii="Wingdings" w:eastAsia="Wingdings" w:hAnsi="Wingdings" w:cs="Wingdings"/>
              </w:rPr>
              <w:t>ü</w:t>
            </w:r>
            <w:r w:rsidRPr="00387024">
              <w:tab/>
            </w:r>
            <w:r>
              <w:t>Prepare a pre-tender cost estimate</w:t>
            </w:r>
          </w:p>
        </w:tc>
      </w:tr>
      <w:tr w:rsidR="00AC092B" w:rsidRPr="00387024" w14:paraId="2045D509" w14:textId="77777777" w:rsidTr="00F43EEE">
        <w:tc>
          <w:tcPr>
            <w:tcW w:w="8298" w:type="dxa"/>
          </w:tcPr>
          <w:p w14:paraId="50DBEDFD" w14:textId="77777777" w:rsidR="00AC092B" w:rsidRPr="00387024" w:rsidRDefault="00AC092B" w:rsidP="00F43EEE">
            <w:pPr>
              <w:pStyle w:val="Tabletext"/>
              <w:tabs>
                <w:tab w:val="left" w:pos="360"/>
              </w:tabs>
            </w:pPr>
            <w:r w:rsidRPr="00387024">
              <w:rPr>
                <w:rFonts w:ascii="Wingdings" w:eastAsia="Wingdings" w:hAnsi="Wingdings" w:cs="Wingdings"/>
              </w:rPr>
              <w:t>ü</w:t>
            </w:r>
            <w:r w:rsidRPr="00387024">
              <w:tab/>
            </w:r>
            <w:r>
              <w:t>Seek approval of any bid cost reimbursement, if required</w:t>
            </w:r>
          </w:p>
        </w:tc>
      </w:tr>
      <w:tr w:rsidR="00AC092B" w:rsidRPr="00387024" w14:paraId="559404E2" w14:textId="77777777" w:rsidTr="00F43EEE">
        <w:tc>
          <w:tcPr>
            <w:tcW w:w="8298" w:type="dxa"/>
          </w:tcPr>
          <w:p w14:paraId="320A70BE" w14:textId="036712A2" w:rsidR="00AC092B" w:rsidRPr="00387024" w:rsidRDefault="00AC092B" w:rsidP="00F43EEE">
            <w:pPr>
              <w:pStyle w:val="Tabletext"/>
              <w:tabs>
                <w:tab w:val="left" w:pos="360"/>
              </w:tabs>
            </w:pPr>
            <w:r w:rsidRPr="00387024">
              <w:rPr>
                <w:rFonts w:ascii="Wingdings" w:eastAsia="Wingdings" w:hAnsi="Wingdings" w:cs="Wingdings"/>
              </w:rPr>
              <w:t>ü</w:t>
            </w:r>
            <w:r w:rsidR="00F43EEE">
              <w:tab/>
            </w:r>
            <w:r>
              <w:t>Develop all pre-tender and tender documentation</w:t>
            </w:r>
          </w:p>
        </w:tc>
      </w:tr>
      <w:tr w:rsidR="00AC092B" w:rsidRPr="00387024" w14:paraId="62782071" w14:textId="77777777" w:rsidTr="00F43EEE">
        <w:tc>
          <w:tcPr>
            <w:tcW w:w="8298" w:type="dxa"/>
          </w:tcPr>
          <w:p w14:paraId="2A8C4678" w14:textId="77777777" w:rsidR="00AC092B" w:rsidRPr="00387024" w:rsidRDefault="00AC092B" w:rsidP="00F43EEE">
            <w:pPr>
              <w:pStyle w:val="Tabletext"/>
              <w:tabs>
                <w:tab w:val="left" w:pos="360"/>
              </w:tabs>
            </w:pPr>
            <w:r w:rsidRPr="00387024">
              <w:rPr>
                <w:rFonts w:ascii="Wingdings" w:eastAsia="Wingdings" w:hAnsi="Wingdings" w:cs="Wingdings"/>
              </w:rPr>
              <w:t>ü</w:t>
            </w:r>
            <w:r w:rsidRPr="00387024">
              <w:tab/>
            </w:r>
            <w:r>
              <w:t>Develop tender evaluation criteria and plan</w:t>
            </w:r>
          </w:p>
        </w:tc>
      </w:tr>
      <w:tr w:rsidR="00AC092B" w:rsidRPr="00387024" w14:paraId="40684716" w14:textId="77777777" w:rsidTr="00F43EEE">
        <w:tc>
          <w:tcPr>
            <w:tcW w:w="8298" w:type="dxa"/>
          </w:tcPr>
          <w:p w14:paraId="35816764" w14:textId="77777777" w:rsidR="00AC092B" w:rsidRPr="00387024" w:rsidRDefault="00AC092B" w:rsidP="00F43EEE">
            <w:pPr>
              <w:pStyle w:val="Tabletext"/>
              <w:tabs>
                <w:tab w:val="left" w:pos="360"/>
              </w:tabs>
            </w:pPr>
            <w:r w:rsidRPr="00387024">
              <w:rPr>
                <w:rFonts w:ascii="Wingdings" w:eastAsia="Wingdings" w:hAnsi="Wingdings" w:cs="Wingdings"/>
              </w:rPr>
              <w:t>ü</w:t>
            </w:r>
            <w:r w:rsidRPr="00387024">
              <w:tab/>
            </w:r>
            <w:r>
              <w:t>Develop contract documentation</w:t>
            </w:r>
          </w:p>
        </w:tc>
      </w:tr>
    </w:tbl>
    <w:p w14:paraId="08A953E0" w14:textId="219D56D7" w:rsidR="003324A3" w:rsidRPr="00387024" w:rsidRDefault="00D67FE2" w:rsidP="001D2615">
      <w:pPr>
        <w:pStyle w:val="Heading1numbered"/>
      </w:pPr>
      <w:bookmarkStart w:id="414" w:name="_Toc161321783"/>
      <w:r>
        <w:t>T</w:t>
      </w:r>
      <w:r w:rsidR="5E3D2FB8">
        <w:t>endering</w:t>
      </w:r>
      <w:bookmarkEnd w:id="414"/>
    </w:p>
    <w:p w14:paraId="2A383D02" w14:textId="17FF1536" w:rsidR="00A87EEC" w:rsidRDefault="00A87EEC" w:rsidP="00F43EEE">
      <w:pPr>
        <w:pStyle w:val="Captionindent"/>
      </w:pPr>
      <w:bookmarkStart w:id="415" w:name="_Toc145621487"/>
      <w:bookmarkStart w:id="416" w:name="_Toc145621616"/>
      <w:bookmarkStart w:id="417" w:name="_Toc160457792"/>
      <w:r>
        <w:t xml:space="preserve">Figure </w:t>
      </w:r>
      <w:r>
        <w:fldChar w:fldCharType="begin"/>
      </w:r>
      <w:r>
        <w:instrText>SEQ Figure \* ARABIC</w:instrText>
      </w:r>
      <w:r>
        <w:fldChar w:fldCharType="separate"/>
      </w:r>
      <w:r w:rsidR="008A4B3E">
        <w:rPr>
          <w:noProof/>
        </w:rPr>
        <w:t>23</w:t>
      </w:r>
      <w:r>
        <w:fldChar w:fldCharType="end"/>
      </w:r>
      <w:r w:rsidR="00E958D5">
        <w:t xml:space="preserve"> –</w:t>
      </w:r>
      <w:r w:rsidRPr="002F558C">
        <w:t xml:space="preserve"> Chapter 7 overview</w:t>
      </w:r>
      <w:bookmarkEnd w:id="415"/>
      <w:bookmarkEnd w:id="416"/>
      <w:bookmarkEnd w:id="417"/>
    </w:p>
    <w:p w14:paraId="21F07283" w14:textId="77777777" w:rsidR="00834461" w:rsidRDefault="0096697E" w:rsidP="00834461">
      <w:pPr>
        <w:pStyle w:val="NormalIndent"/>
      </w:pPr>
      <w:r w:rsidRPr="00753003">
        <w:rPr>
          <w:noProof/>
        </w:rPr>
        <w:drawing>
          <wp:inline distT="0" distB="0" distL="0" distR="0" wp14:anchorId="2F9011B3" wp14:editId="14BE9689">
            <wp:extent cx="5224182" cy="1299389"/>
            <wp:effectExtent l="0" t="0" r="0" b="0"/>
            <wp:docPr id="1239886112" name="Graphic 1239886112" descr="Figure 23 provides an overview of the contents of the following chap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86112" name="Picture 1239886112" descr="Figure 23 provides an overview of the contents of the following chapter (7)​"/>
                    <pic:cNvPicPr/>
                  </pic:nvPicPr>
                  <pic:blipFill>
                    <a:blip r:embed="rId177" cstate="screen">
                      <a:extLst>
                        <a:ext uri="{28A0092B-C50C-407E-A947-70E740481C1C}">
                          <a14:useLocalDpi xmlns:a14="http://schemas.microsoft.com/office/drawing/2010/main"/>
                        </a:ext>
                        <a:ext uri="{96DAC541-7B7A-43D3-8B79-37D633B846F1}">
                          <asvg:svgBlip xmlns:asvg="http://schemas.microsoft.com/office/drawing/2016/SVG/main" r:embed="rId178"/>
                        </a:ext>
                      </a:extLst>
                    </a:blip>
                    <a:stretch>
                      <a:fillRect/>
                    </a:stretch>
                  </pic:blipFill>
                  <pic:spPr>
                    <a:xfrm>
                      <a:off x="0" y="0"/>
                      <a:ext cx="5244283" cy="1304389"/>
                    </a:xfrm>
                    <a:prstGeom prst="rect">
                      <a:avLst/>
                    </a:prstGeom>
                  </pic:spPr>
                </pic:pic>
              </a:graphicData>
            </a:graphic>
          </wp:inline>
        </w:drawing>
      </w:r>
    </w:p>
    <w:p w14:paraId="361E741A" w14:textId="3A7C688C" w:rsidR="00755802" w:rsidRDefault="00755802" w:rsidP="00834461">
      <w:pPr>
        <w:pStyle w:val="NormalIndent"/>
      </w:pPr>
      <w:r>
        <w:t xml:space="preserve">Tendering is the process where an agency communicates the procurement request to the </w:t>
      </w:r>
      <w:r w:rsidRPr="00387024" w:rsidDel="00513557">
        <w:t xml:space="preserve">market </w:t>
      </w:r>
      <w:r>
        <w:t xml:space="preserve">and respondents develop proposals </w:t>
      </w:r>
      <w:r w:rsidRPr="00387024" w:rsidDel="00513557">
        <w:t xml:space="preserve">to deliver </w:t>
      </w:r>
      <w:r w:rsidDel="00513557">
        <w:t xml:space="preserve">the </w:t>
      </w:r>
      <w:r w:rsidRPr="00387024" w:rsidDel="00513557">
        <w:t xml:space="preserve">required </w:t>
      </w:r>
      <w:r w:rsidDel="00513557">
        <w:t>scope of work</w:t>
      </w:r>
      <w:r>
        <w:t>s</w:t>
      </w:r>
      <w:r w:rsidRPr="00387024" w:rsidDel="00513557">
        <w:t xml:space="preserve"> and services.</w:t>
      </w:r>
      <w:r>
        <w:t xml:space="preserve"> It provides</w:t>
      </w:r>
      <w:r w:rsidRPr="00387024">
        <w:t xml:space="preserve"> suitably qualified potential </w:t>
      </w:r>
      <w:r>
        <w:t>respondents</w:t>
      </w:r>
      <w:r w:rsidRPr="00387024">
        <w:t xml:space="preserve"> with an opportunity to bid for work</w:t>
      </w:r>
      <w:r>
        <w:t xml:space="preserve"> and </w:t>
      </w:r>
      <w:r w:rsidRPr="00CC32EE">
        <w:t>enabl</w:t>
      </w:r>
      <w:r>
        <w:t xml:space="preserve">es </w:t>
      </w:r>
      <w:r w:rsidR="00F11B52">
        <w:t xml:space="preserve">the </w:t>
      </w:r>
      <w:r w:rsidR="009E7C83">
        <w:t>G</w:t>
      </w:r>
      <w:r>
        <w:t>overnment to achieve</w:t>
      </w:r>
      <w:r w:rsidR="00F11B52">
        <w:t xml:space="preserve"> the</w:t>
      </w:r>
      <w:r>
        <w:t xml:space="preserve"> </w:t>
      </w:r>
      <w:r w:rsidRPr="00CC32EE">
        <w:t xml:space="preserve">best value </w:t>
      </w:r>
      <w:r>
        <w:t>for the expenditure of public money</w:t>
      </w:r>
      <w:r w:rsidRPr="00CC32EE">
        <w:t xml:space="preserve"> through competition</w:t>
      </w:r>
      <w:r>
        <w:t xml:space="preserve"> or rigorous assessment against benchmarking</w:t>
      </w:r>
      <w:r w:rsidRPr="00CC32EE">
        <w:t>.</w:t>
      </w:r>
    </w:p>
    <w:p w14:paraId="4958D74C" w14:textId="4BA09AFE" w:rsidR="00755802" w:rsidRDefault="00755802" w:rsidP="00F43EEE">
      <w:pPr>
        <w:pStyle w:val="NormalIndent"/>
        <w:keepNext/>
      </w:pPr>
      <w:r>
        <w:t xml:space="preserve">This </w:t>
      </w:r>
      <w:r w:rsidR="009729CB">
        <w:t xml:space="preserve">chapter </w:t>
      </w:r>
      <w:r>
        <w:t xml:space="preserve">describes a tendering phase most applicable to lump sum and </w:t>
      </w:r>
      <w:r w:rsidR="004E10DD">
        <w:rPr>
          <w:rFonts w:hint="eastAsia"/>
        </w:rPr>
        <w:t>W</w:t>
      </w:r>
      <w:r w:rsidR="006246B9">
        <w:t xml:space="preserve">hole </w:t>
      </w:r>
      <w:r w:rsidR="004E10DD">
        <w:rPr>
          <w:rFonts w:hint="eastAsia"/>
        </w:rPr>
        <w:t>o</w:t>
      </w:r>
      <w:r w:rsidR="006246B9">
        <w:t xml:space="preserve">f </w:t>
      </w:r>
      <w:r w:rsidR="004E10DD">
        <w:rPr>
          <w:rFonts w:hint="eastAsia"/>
        </w:rPr>
        <w:t>L</w:t>
      </w:r>
      <w:r w:rsidR="006246B9">
        <w:t>ife</w:t>
      </w:r>
      <w:r>
        <w:t xml:space="preserve"> procurement models. In some cost</w:t>
      </w:r>
      <w:r w:rsidR="005A0825">
        <w:rPr>
          <w:rFonts w:hint="eastAsia"/>
        </w:rPr>
        <w:t xml:space="preserve"> </w:t>
      </w:r>
      <w:r>
        <w:t>reimbursable procurement models, the tender period has two parts:</w:t>
      </w:r>
    </w:p>
    <w:p w14:paraId="70484DE2" w14:textId="44473E1F" w:rsidR="00755802" w:rsidRDefault="00383589" w:rsidP="001D2615">
      <w:pPr>
        <w:pStyle w:val="Bulletindent"/>
      </w:pPr>
      <w:r>
        <w:fldChar w:fldCharType="begin"/>
      </w:r>
      <w:r>
        <w:instrText xml:space="preserve"> REF Part1 \h </w:instrText>
      </w:r>
      <w:r>
        <w:fldChar w:fldCharType="separate"/>
      </w:r>
      <w:r w:rsidR="008A4B3E" w:rsidRPr="006B02FF">
        <w:t xml:space="preserve">Part </w:t>
      </w:r>
      <w:r w:rsidR="008A4B3E">
        <w:t>1</w:t>
      </w:r>
      <w:r>
        <w:fldChar w:fldCharType="end"/>
      </w:r>
      <w:r w:rsidR="43D55019">
        <w:t xml:space="preserve"> assesses whether potential respondents should proceed to a development phase (or the second stage of a tender period) where further design and project development work occurs</w:t>
      </w:r>
      <w:r w:rsidR="00BF16BE">
        <w:t>.</w:t>
      </w:r>
    </w:p>
    <w:p w14:paraId="20E0B7B0" w14:textId="4B40900F" w:rsidR="00755802" w:rsidRDefault="00383589" w:rsidP="001D2615">
      <w:pPr>
        <w:pStyle w:val="Bulletindent"/>
      </w:pPr>
      <w:r>
        <w:fldChar w:fldCharType="begin"/>
      </w:r>
      <w:r>
        <w:instrText xml:space="preserve"> REF Part2 \h </w:instrText>
      </w:r>
      <w:r>
        <w:fldChar w:fldCharType="separate"/>
      </w:r>
      <w:r w:rsidR="008A4B3E" w:rsidRPr="008B6855">
        <w:t xml:space="preserve">Part </w:t>
      </w:r>
      <w:r w:rsidR="008A4B3E">
        <w:t>2</w:t>
      </w:r>
      <w:r>
        <w:fldChar w:fldCharType="end"/>
      </w:r>
      <w:r w:rsidR="43D55019">
        <w:t xml:space="preserve"> involves further design and project development work culminating in a delivery phase offer to deliver the required scope of works and services.</w:t>
      </w:r>
    </w:p>
    <w:p w14:paraId="67F393A8" w14:textId="2588901A" w:rsidR="00755802" w:rsidRDefault="00755802" w:rsidP="00834461">
      <w:pPr>
        <w:pStyle w:val="NormalIndent"/>
      </w:pPr>
      <w:r>
        <w:t xml:space="preserve">More information on procurement and tendering in cost reimbursable models can be found in </w:t>
      </w:r>
      <w:r w:rsidR="00437CBC">
        <w:t xml:space="preserve">Chapter </w:t>
      </w:r>
      <w:r w:rsidR="00BF16BE">
        <w:t xml:space="preserve">4 </w:t>
      </w:r>
      <w:r>
        <w:t xml:space="preserve">of the </w:t>
      </w:r>
      <w:hyperlink r:id="rId179" w:history="1">
        <w:r w:rsidRPr="009C1ED6">
          <w:rPr>
            <w:rStyle w:val="Hyperlink"/>
          </w:rPr>
          <w:t>Cost Reimbursable Procurement Requirements</w:t>
        </w:r>
      </w:hyperlink>
      <w:r>
        <w:t>.</w:t>
      </w:r>
    </w:p>
    <w:p w14:paraId="06748121" w14:textId="77777777" w:rsidR="00755802" w:rsidRDefault="00755802" w:rsidP="00834461">
      <w:pPr>
        <w:pStyle w:val="NormalIndent"/>
      </w:pPr>
      <w:r w:rsidRPr="00387024">
        <w:t xml:space="preserve">Tendering </w:t>
      </w:r>
      <w:r w:rsidR="003324A3" w:rsidRPr="00387024">
        <w:t xml:space="preserve">should be undertaken in accordance with the </w:t>
      </w:r>
      <w:r w:rsidR="003324A3">
        <w:t>p</w:t>
      </w:r>
      <w:r w:rsidR="003324A3" w:rsidRPr="00387024">
        <w:t xml:space="preserve">rocurement </w:t>
      </w:r>
      <w:r w:rsidR="003324A3">
        <w:t>p</w:t>
      </w:r>
      <w:r w:rsidR="003324A3" w:rsidRPr="00387024">
        <w:t>lan developed in the tender development phase</w:t>
      </w:r>
      <w:r>
        <w:t xml:space="preserve"> and should only commence after the agency has confirmed it has the necessary authority and commitment to proceed with the project.</w:t>
      </w:r>
    </w:p>
    <w:p w14:paraId="17A900B6" w14:textId="1E31D7E1" w:rsidR="003324A3" w:rsidRPr="00387024" w:rsidRDefault="00755802" w:rsidP="00834461">
      <w:pPr>
        <w:pStyle w:val="NormalIndent"/>
      </w:pPr>
      <w:r>
        <w:t xml:space="preserve">The </w:t>
      </w:r>
      <w:r w:rsidRPr="00171CF8">
        <w:rPr>
          <w:i/>
          <w:iCs/>
        </w:rPr>
        <w:t xml:space="preserve">Project Development and Construction Management </w:t>
      </w:r>
      <w:r w:rsidRPr="00BE72A1">
        <w:rPr>
          <w:i/>
          <w:iCs/>
        </w:rPr>
        <w:t>Act 199</w:t>
      </w:r>
      <w:r w:rsidR="00BF16BE">
        <w:rPr>
          <w:i/>
          <w:iCs/>
        </w:rPr>
        <w:t>4</w:t>
      </w:r>
      <w:r>
        <w:t xml:space="preserve"> (PDCM</w:t>
      </w:r>
      <w:r w:rsidR="00BF16BE">
        <w:t xml:space="preserve"> </w:t>
      </w:r>
      <w:r>
        <w:t>A</w:t>
      </w:r>
      <w:r w:rsidR="00BF16BE">
        <w:t>ct</w:t>
      </w:r>
      <w:r>
        <w:t xml:space="preserve">) provides the authorising environment for government procurement of construction works and services. Its associated </w:t>
      </w:r>
      <w:r w:rsidR="005751CD">
        <w:t>Ministerial Directions and Instructions for Public Construction Procurement</w:t>
      </w:r>
      <w:r w:rsidR="005751CD" w:rsidDel="005751CD">
        <w:t xml:space="preserve"> </w:t>
      </w:r>
      <w:r>
        <w:t>set procurement requirements and processes for agencies and tender participants to ensure procurements are conducted with integrity and in accordance with probity requirements and ethical standards. Complying with these mandatory requirements and processes drives consistency in procurement practices across agencies and promotes public and industry confidence in government transactions</w:t>
      </w:r>
      <w:r w:rsidR="003324A3" w:rsidRPr="00387024">
        <w:t>.</w:t>
      </w:r>
    </w:p>
    <w:p w14:paraId="0515A93E" w14:textId="77777777" w:rsidR="00456CEF" w:rsidRPr="00F91A38" w:rsidRDefault="00456CEF" w:rsidP="001D2615">
      <w:pPr>
        <w:pStyle w:val="Heading2numbered"/>
      </w:pPr>
      <w:bookmarkStart w:id="418" w:name="_Toc161321784"/>
      <w:r w:rsidRPr="00F91A38">
        <w:t>Running an expression of interest process</w:t>
      </w:r>
      <w:bookmarkEnd w:id="418"/>
    </w:p>
    <w:p w14:paraId="2B0A5092" w14:textId="793393D9" w:rsidR="00456CEF" w:rsidRPr="00896080" w:rsidRDefault="00456CEF" w:rsidP="00834461">
      <w:pPr>
        <w:pStyle w:val="NormalIndent"/>
      </w:pPr>
      <w:r w:rsidRPr="00896080">
        <w:t xml:space="preserve">EOI processes must be conducted transparently and in accordance with probity requirements. Clear and explicit process rules, such as closing time, date and place for lodging EOIs, evaluation criteria and confidentiality requirements, should be documented in the EOI invitation. </w:t>
      </w:r>
      <w:r w:rsidR="0017755B">
        <w:t>E</w:t>
      </w:r>
      <w:r w:rsidR="0017755B" w:rsidRPr="00896080">
        <w:t xml:space="preserve">xpectations </w:t>
      </w:r>
      <w:r w:rsidR="0017755B">
        <w:t>of p</w:t>
      </w:r>
      <w:r w:rsidR="0017755B" w:rsidRPr="00896080">
        <w:t xml:space="preserve">robity </w:t>
      </w:r>
      <w:r w:rsidRPr="00896080">
        <w:t xml:space="preserve">and confidentiality should be communicated to all procurement team members and should be rigidly adhered to throughout the EOI process. </w:t>
      </w:r>
      <w:r w:rsidR="00BB1C17">
        <w:t>All c</w:t>
      </w:r>
      <w:r w:rsidRPr="00896080">
        <w:t xml:space="preserve">ommunication with suppliers during the EOI process should be treated with the same level of probity, confidentiality and transparency as the tender process. </w:t>
      </w:r>
      <w:r w:rsidR="0017755B">
        <w:t>Team members should be familiar with</w:t>
      </w:r>
      <w:r w:rsidRPr="00896080">
        <w:t xml:space="preserve"> the </w:t>
      </w:r>
      <w:r w:rsidR="00B41032">
        <w:t>Ministerial Directions and Instructions for Public Construction Procurement</w:t>
      </w:r>
      <w:r w:rsidRPr="00896080">
        <w:t>, which set the protocol</w:t>
      </w:r>
      <w:r w:rsidR="006B373B">
        <w:t>s</w:t>
      </w:r>
      <w:r w:rsidRPr="00896080">
        <w:t xml:space="preserve"> for tendering.</w:t>
      </w:r>
    </w:p>
    <w:p w14:paraId="45C1A87C" w14:textId="21961766" w:rsidR="00456CEF" w:rsidRPr="00896080" w:rsidRDefault="00456CEF" w:rsidP="00F91A38">
      <w:pPr>
        <w:pStyle w:val="NormalIndent"/>
        <w:keepNext/>
      </w:pPr>
      <w:r w:rsidRPr="00896080">
        <w:t xml:space="preserve">EOI evaluation is focused on determining whether the parties have the requisite capability to deliver the project. Evaluation should be based on the criteria specified in the </w:t>
      </w:r>
      <w:r w:rsidR="0017755B">
        <w:t xml:space="preserve">EOI </w:t>
      </w:r>
      <w:r w:rsidRPr="00896080">
        <w:t>invitation</w:t>
      </w:r>
      <w:r w:rsidR="0017755B">
        <w:t xml:space="preserve"> and</w:t>
      </w:r>
      <w:r w:rsidRPr="00896080">
        <w:t xml:space="preserve"> </w:t>
      </w:r>
      <w:r w:rsidR="0017755B">
        <w:t>result in</w:t>
      </w:r>
      <w:r w:rsidRPr="00896080">
        <w:t xml:space="preserve"> a shortlist of parties to be invited to continue the tender process</w:t>
      </w:r>
      <w:r w:rsidR="0017755B">
        <w:t>. Usually, s</w:t>
      </w:r>
      <w:r w:rsidRPr="00896080">
        <w:t xml:space="preserve">ome parties will not be invited to move forward. The number of shortlisted </w:t>
      </w:r>
      <w:r w:rsidR="0017755B" w:rsidRPr="00896080">
        <w:t xml:space="preserve">parties </w:t>
      </w:r>
      <w:r w:rsidRPr="00896080">
        <w:t>will vary from project</w:t>
      </w:r>
      <w:r w:rsidR="005D2383">
        <w:t xml:space="preserve"> </w:t>
      </w:r>
      <w:r w:rsidRPr="00896080">
        <w:t>to</w:t>
      </w:r>
      <w:r w:rsidR="005D2383">
        <w:t xml:space="preserve"> </w:t>
      </w:r>
      <w:r w:rsidRPr="00896080">
        <w:t>project. However, the objectives of the process should be to:</w:t>
      </w:r>
    </w:p>
    <w:p w14:paraId="316986C6" w14:textId="298AB709" w:rsidR="00456CEF" w:rsidRPr="00896080" w:rsidRDefault="282846A6" w:rsidP="001D2615">
      <w:pPr>
        <w:pStyle w:val="Bulletindent"/>
        <w:keepNext/>
      </w:pPr>
      <w:r>
        <w:t xml:space="preserve">shortlist </w:t>
      </w:r>
      <w:r w:rsidR="0017755B">
        <w:t xml:space="preserve">only those </w:t>
      </w:r>
      <w:r>
        <w:t xml:space="preserve">parties that </w:t>
      </w:r>
      <w:r w:rsidR="00F11B52">
        <w:t xml:space="preserve">the </w:t>
      </w:r>
      <w:r w:rsidR="009E7C83">
        <w:t>G</w:t>
      </w:r>
      <w:r>
        <w:t>overnment genuinely believes have the capability to deliver the project</w:t>
      </w:r>
      <w:r w:rsidR="0017755B">
        <w:t>.</w:t>
      </w:r>
      <w:r>
        <w:t xml:space="preserve"> </w:t>
      </w:r>
      <w:r w:rsidR="0017755B">
        <w:t xml:space="preserve">Parties </w:t>
      </w:r>
      <w:r>
        <w:t xml:space="preserve">should not be shortlisted to </w:t>
      </w:r>
      <w:r w:rsidR="00344D3F">
        <w:t>‘</w:t>
      </w:r>
      <w:r>
        <w:t>make up the numbers</w:t>
      </w:r>
      <w:r w:rsidR="00344D3F">
        <w:t>’</w:t>
      </w:r>
    </w:p>
    <w:p w14:paraId="386418B8" w14:textId="7DF4991E" w:rsidR="00456CEF" w:rsidRPr="00896080" w:rsidRDefault="282846A6" w:rsidP="001D2615">
      <w:pPr>
        <w:pStyle w:val="Bulletindent"/>
      </w:pPr>
      <w:r>
        <w:t xml:space="preserve">shortlist an appropriate number of </w:t>
      </w:r>
      <w:r w:rsidR="0017755B">
        <w:t xml:space="preserve">parties </w:t>
      </w:r>
      <w:r>
        <w:t>to maintain competitive tension and protect against the risk of a withdrawal</w:t>
      </w:r>
      <w:r w:rsidR="0017755B">
        <w:t>,</w:t>
      </w:r>
      <w:r>
        <w:t xml:space="preserve"> while maintaining </w:t>
      </w:r>
      <w:r w:rsidR="0017755B">
        <w:t>parties’</w:t>
      </w:r>
      <w:r>
        <w:t xml:space="preserve"> invest</w:t>
      </w:r>
      <w:r w:rsidR="0017755B">
        <w:t>ment</w:t>
      </w:r>
      <w:r>
        <w:t xml:space="preserve"> in the process by not shortlisting too many.</w:t>
      </w:r>
    </w:p>
    <w:p w14:paraId="73152CEC" w14:textId="338EC129" w:rsidR="00456CEF" w:rsidRPr="00896080" w:rsidRDefault="00456CEF" w:rsidP="00834461">
      <w:pPr>
        <w:pStyle w:val="NormalIndent"/>
      </w:pPr>
      <w:r w:rsidRPr="00896080">
        <w:t xml:space="preserve">Following the shortlisting process, </w:t>
      </w:r>
      <w:r w:rsidR="0075307D">
        <w:t xml:space="preserve">all </w:t>
      </w:r>
      <w:r w:rsidRPr="00896080">
        <w:t>EOI respondents should be advised whether they will be included in the RFT process. Those on the shortlist should be advised on next steps and the expected timelines.</w:t>
      </w:r>
    </w:p>
    <w:p w14:paraId="0E695106" w14:textId="0B645AC7" w:rsidR="00456CEF" w:rsidRPr="00FA225B" w:rsidRDefault="0075307D" w:rsidP="00834461">
      <w:pPr>
        <w:pStyle w:val="NormalIndent"/>
      </w:pPr>
      <w:r>
        <w:t>A</w:t>
      </w:r>
      <w:r w:rsidR="00456CEF" w:rsidRPr="00896080">
        <w:t xml:space="preserve">ny new information arising during the </w:t>
      </w:r>
      <w:r>
        <w:t xml:space="preserve">EOI </w:t>
      </w:r>
      <w:r w:rsidR="00456CEF" w:rsidRPr="00896080">
        <w:t>process should be used to reassess the procurement process. In particular, it may be used to inform tender documentation.</w:t>
      </w:r>
    </w:p>
    <w:p w14:paraId="79560D3F" w14:textId="77777777" w:rsidR="00456CEF" w:rsidRDefault="00456CEF" w:rsidP="001D2615">
      <w:pPr>
        <w:pStyle w:val="Heading2numbered"/>
        <w:rPr>
          <w:b/>
          <w:bCs/>
        </w:rPr>
      </w:pPr>
      <w:bookmarkStart w:id="419" w:name="_Toc161321785"/>
      <w:r>
        <w:t xml:space="preserve">Commencing the </w:t>
      </w:r>
      <w:r w:rsidRPr="0041058E">
        <w:t>tender</w:t>
      </w:r>
      <w:r>
        <w:t xml:space="preserve"> process</w:t>
      </w:r>
      <w:bookmarkEnd w:id="419"/>
    </w:p>
    <w:p w14:paraId="75472152" w14:textId="76F23986" w:rsidR="00456CEF" w:rsidRDefault="00456CEF" w:rsidP="00834461">
      <w:pPr>
        <w:pStyle w:val="NormalIndent"/>
      </w:pPr>
      <w:r w:rsidRPr="00434E3F">
        <w:t xml:space="preserve">Good preparation and planning are key </w:t>
      </w:r>
      <w:r w:rsidR="00BB1C17">
        <w:t>to</w:t>
      </w:r>
      <w:r w:rsidRPr="00434E3F">
        <w:t xml:space="preserve"> an effective and efficient tender process</w:t>
      </w:r>
      <w:r>
        <w:t xml:space="preserve">. In the procurement development stage, agencies should have developed their </w:t>
      </w:r>
      <w:r w:rsidRPr="001F7D5A">
        <w:t xml:space="preserve">tendering </w:t>
      </w:r>
      <w:r w:rsidR="00D953DD">
        <w:t xml:space="preserve">engagement </w:t>
      </w:r>
      <w:r w:rsidRPr="001F7D5A">
        <w:t>strategy and documentation</w:t>
      </w:r>
      <w:r w:rsidR="00150427">
        <w:t>,</w:t>
      </w:r>
      <w:r w:rsidR="004B01F1">
        <w:t xml:space="preserve"> </w:t>
      </w:r>
      <w:r w:rsidR="00150427">
        <w:t xml:space="preserve">having </w:t>
      </w:r>
      <w:r w:rsidRPr="001F7D5A">
        <w:t xml:space="preserve">undertaken market </w:t>
      </w:r>
      <w:r w:rsidR="004B01F1">
        <w:t xml:space="preserve">consultation </w:t>
      </w:r>
      <w:r w:rsidRPr="001F7D5A">
        <w:t>to identi</w:t>
      </w:r>
      <w:r>
        <w:t xml:space="preserve">fy and confirm market participants </w:t>
      </w:r>
      <w:r w:rsidR="439DA3C2">
        <w:t xml:space="preserve">who will be </w:t>
      </w:r>
      <w:r w:rsidR="50940E9D">
        <w:t>invite</w:t>
      </w:r>
      <w:r w:rsidR="1F423D80">
        <w:t>d</w:t>
      </w:r>
      <w:r>
        <w:t xml:space="preserve"> to tender.</w:t>
      </w:r>
    </w:p>
    <w:p w14:paraId="44D6354F" w14:textId="4ABBE61D" w:rsidR="00456CEF" w:rsidRDefault="00456CEF" w:rsidP="00834461">
      <w:pPr>
        <w:pStyle w:val="NormalIndent"/>
      </w:pPr>
      <w:r>
        <w:t xml:space="preserve">The first step in the tender process is </w:t>
      </w:r>
      <w:r w:rsidR="0075307D">
        <w:t xml:space="preserve">notifying </w:t>
      </w:r>
      <w:r>
        <w:t>all tender participants that the tender has commenced and issuing the invitation to tender and tender documentation.</w:t>
      </w:r>
    </w:p>
    <w:tbl>
      <w:tblPr>
        <w:tblStyle w:val="DTFtexttableindent"/>
        <w:tblW w:w="8208" w:type="dxa"/>
        <w:tblBorders>
          <w:bottom w:val="none" w:sz="0" w:space="0" w:color="auto"/>
          <w:insideH w:val="none" w:sz="0" w:space="0" w:color="auto"/>
        </w:tblBorders>
        <w:shd w:val="clear" w:color="auto" w:fill="F2F2F2" w:themeFill="background1" w:themeFillShade="F2"/>
        <w:tblLook w:val="0620" w:firstRow="1" w:lastRow="0" w:firstColumn="0" w:lastColumn="0" w:noHBand="1" w:noVBand="1"/>
      </w:tblPr>
      <w:tblGrid>
        <w:gridCol w:w="828"/>
        <w:gridCol w:w="7380"/>
      </w:tblGrid>
      <w:tr w:rsidR="00456CEF" w14:paraId="78572B6A" w14:textId="77777777" w:rsidTr="00E821A5">
        <w:trPr>
          <w:cnfStyle w:val="100000000000" w:firstRow="1" w:lastRow="0" w:firstColumn="0" w:lastColumn="0" w:oddVBand="0" w:evenVBand="0" w:oddHBand="0" w:evenHBand="0" w:firstRowFirstColumn="0" w:firstRowLastColumn="0" w:lastRowFirstColumn="0" w:lastRowLastColumn="0"/>
        </w:trPr>
        <w:tc>
          <w:tcPr>
            <w:tcW w:w="828" w:type="dxa"/>
            <w:shd w:val="clear" w:color="auto" w:fill="F2F2F2" w:themeFill="background1" w:themeFillShade="F2"/>
          </w:tcPr>
          <w:p w14:paraId="33123249" w14:textId="3540E592" w:rsidR="00F91A38" w:rsidRDefault="00F91A38" w:rsidP="00D04694">
            <w:pPr>
              <w:rPr>
                <w:noProof/>
              </w:rPr>
            </w:pPr>
            <w:r>
              <w:rPr>
                <w:noProof/>
              </w:rPr>
              <w:drawing>
                <wp:inline distT="0" distB="0" distL="0" distR="0" wp14:anchorId="15B3E822" wp14:editId="41CD5BC7">
                  <wp:extent cx="371475" cy="278607"/>
                  <wp:effectExtent l="0" t="0" r="0" b="7620"/>
                  <wp:docPr id="38" name="Picture 3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380" w:type="dxa"/>
            <w:shd w:val="clear" w:color="auto" w:fill="F2F2F2" w:themeFill="background1" w:themeFillShade="F2"/>
          </w:tcPr>
          <w:p w14:paraId="591711FA" w14:textId="0F1E1FC3" w:rsidR="00456CEF" w:rsidRPr="00D04694" w:rsidRDefault="00803E9D" w:rsidP="00F77FA9">
            <w:pPr>
              <w:pStyle w:val="Tabletext"/>
              <w:rPr>
                <w:rFonts w:asciiTheme="minorHAnsi" w:hAnsiTheme="minorHAnsi"/>
                <w:b/>
              </w:rPr>
            </w:pPr>
            <w:r w:rsidRPr="00716A27">
              <w:t>Ministerial Direction and Instruction for Public Construction Procurement</w:t>
            </w:r>
            <w:r w:rsidDel="005751CD">
              <w:t xml:space="preserve"> </w:t>
            </w:r>
            <w:r w:rsidR="00456CEF" w:rsidRPr="00D04694">
              <w:rPr>
                <w:rFonts w:asciiTheme="minorHAnsi" w:hAnsiTheme="minorHAnsi"/>
              </w:rPr>
              <w:t xml:space="preserve">3.4 requires agencies to issue a </w:t>
            </w:r>
            <w:r w:rsidR="0075307D">
              <w:rPr>
                <w:rFonts w:asciiTheme="minorHAnsi" w:hAnsiTheme="minorHAnsi"/>
              </w:rPr>
              <w:t>t</w:t>
            </w:r>
            <w:r w:rsidR="00456CEF" w:rsidRPr="00D04694">
              <w:rPr>
                <w:rFonts w:asciiTheme="minorHAnsi" w:hAnsiTheme="minorHAnsi"/>
              </w:rPr>
              <w:t xml:space="preserve">ender </w:t>
            </w:r>
            <w:r w:rsidR="0075307D">
              <w:rPr>
                <w:rFonts w:asciiTheme="minorHAnsi" w:hAnsiTheme="minorHAnsi"/>
              </w:rPr>
              <w:t>n</w:t>
            </w:r>
            <w:r w:rsidR="00456CEF" w:rsidRPr="00D04694">
              <w:rPr>
                <w:rFonts w:asciiTheme="minorHAnsi" w:hAnsiTheme="minorHAnsi"/>
              </w:rPr>
              <w:t>otice to all potential tender participants</w:t>
            </w:r>
            <w:r w:rsidR="00032CA1">
              <w:rPr>
                <w:rFonts w:asciiTheme="minorHAnsi" w:hAnsiTheme="minorHAnsi"/>
              </w:rPr>
              <w:t>.</w:t>
            </w:r>
          </w:p>
          <w:p w14:paraId="65198899" w14:textId="1E05ABB8" w:rsidR="00456CEF" w:rsidRPr="00D04694" w:rsidRDefault="00456CEF" w:rsidP="001D2615">
            <w:pPr>
              <w:pStyle w:val="Tablebullet"/>
              <w:rPr>
                <w:rFonts w:asciiTheme="minorHAnsi" w:hAnsiTheme="minorHAnsi"/>
                <w:b/>
              </w:rPr>
            </w:pPr>
            <w:r w:rsidRPr="00D04694">
              <w:rPr>
                <w:rFonts w:asciiTheme="minorHAnsi" w:hAnsiTheme="minorHAnsi"/>
              </w:rPr>
              <w:t xml:space="preserve">For an open tender, tender notices must be published, at a minimum, on the </w:t>
            </w:r>
            <w:hyperlink r:id="rId180" w:history="1">
              <w:r w:rsidRPr="007C3C5E">
                <w:rPr>
                  <w:rStyle w:val="Hyperlink"/>
                  <w:rFonts w:asciiTheme="minorHAnsi" w:eastAsiaTheme="minorEastAsia" w:hAnsiTheme="minorHAnsi"/>
                  <w:spacing w:val="0"/>
                  <w:szCs w:val="20"/>
                  <w:lang w:eastAsia="en-AU"/>
                </w:rPr>
                <w:t>Buying for Victoria website</w:t>
              </w:r>
            </w:hyperlink>
            <w:r w:rsidRPr="00D04694">
              <w:rPr>
                <w:rFonts w:asciiTheme="minorHAnsi" w:hAnsiTheme="minorHAnsi"/>
              </w:rPr>
              <w:t xml:space="preserve"> using the applicable form so that it is accessible to all potential local and international tender participants.</w:t>
            </w:r>
          </w:p>
          <w:p w14:paraId="1F9A3B30" w14:textId="1F8D8D86" w:rsidR="00456CEF" w:rsidRPr="00D04694" w:rsidRDefault="00456CEF" w:rsidP="001D2615">
            <w:pPr>
              <w:pStyle w:val="Tablebullet"/>
              <w:rPr>
                <w:rFonts w:asciiTheme="minorHAnsi" w:hAnsiTheme="minorHAnsi"/>
                <w:b/>
              </w:rPr>
            </w:pPr>
            <w:r w:rsidRPr="00D04694">
              <w:rPr>
                <w:rFonts w:asciiTheme="minorHAnsi" w:hAnsiTheme="minorHAnsi"/>
              </w:rPr>
              <w:t xml:space="preserve">For a selective or limited tender, a tender notice must be issued to each party invited to participate in the tender process. Tender notices should be sent from the </w:t>
            </w:r>
            <w:hyperlink r:id="rId181" w:history="1">
              <w:r w:rsidRPr="007C3C5E">
                <w:rPr>
                  <w:rStyle w:val="Hyperlink"/>
                  <w:rFonts w:asciiTheme="minorHAnsi" w:eastAsiaTheme="minorEastAsia" w:hAnsiTheme="minorHAnsi"/>
                  <w:spacing w:val="0"/>
                  <w:szCs w:val="20"/>
                  <w:lang w:eastAsia="en-AU"/>
                </w:rPr>
                <w:t>Buying for Victoria website</w:t>
              </w:r>
            </w:hyperlink>
            <w:r w:rsidRPr="00D04694">
              <w:rPr>
                <w:rFonts w:asciiTheme="minorHAnsi" w:hAnsiTheme="minorHAnsi"/>
              </w:rPr>
              <w:t xml:space="preserve"> (except for limited tenders</w:t>
            </w:r>
            <w:r w:rsidR="0075307D">
              <w:rPr>
                <w:rFonts w:asciiTheme="minorHAnsi" w:hAnsiTheme="minorHAnsi"/>
              </w:rPr>
              <w:t>,</w:t>
            </w:r>
            <w:r w:rsidRPr="00D04694">
              <w:rPr>
                <w:rFonts w:asciiTheme="minorHAnsi" w:hAnsiTheme="minorHAnsi"/>
              </w:rPr>
              <w:t xml:space="preserve"> which do not meet minimum financial thresholds</w:t>
            </w:r>
            <w:r w:rsidR="0075307D">
              <w:rPr>
                <w:rFonts w:asciiTheme="minorHAnsi" w:hAnsiTheme="minorHAnsi"/>
              </w:rPr>
              <w:t xml:space="preserve"> and</w:t>
            </w:r>
            <w:r w:rsidRPr="00D04694">
              <w:rPr>
                <w:rFonts w:asciiTheme="minorHAnsi" w:hAnsiTheme="minorHAnsi"/>
              </w:rPr>
              <w:t xml:space="preserve"> can be issued by the agency directly).</w:t>
            </w:r>
          </w:p>
          <w:p w14:paraId="7ADD5F99" w14:textId="11B52AE6" w:rsidR="00456CEF" w:rsidRPr="00D04694" w:rsidRDefault="00665FA6" w:rsidP="00F77FA9">
            <w:pPr>
              <w:pStyle w:val="Tabletext"/>
              <w:rPr>
                <w:rFonts w:asciiTheme="minorHAnsi" w:hAnsiTheme="minorHAnsi"/>
                <w:b/>
              </w:rPr>
            </w:pPr>
            <w:r>
              <w:t>Ministerial Direction and Instruction for Public Construction Procurement</w:t>
            </w:r>
            <w:r w:rsidR="00456CEF" w:rsidRPr="00D04694">
              <w:rPr>
                <w:rFonts w:asciiTheme="minorHAnsi" w:hAnsiTheme="minorHAnsi"/>
              </w:rPr>
              <w:t xml:space="preserve"> 3.4 requires the tender notice to include:</w:t>
            </w:r>
          </w:p>
          <w:p w14:paraId="19A97582" w14:textId="22C60F08" w:rsidR="00456CEF" w:rsidRPr="00D04694" w:rsidRDefault="00032CA1" w:rsidP="001D2615">
            <w:pPr>
              <w:pStyle w:val="Tablebullet"/>
              <w:rPr>
                <w:rFonts w:asciiTheme="minorHAnsi" w:hAnsiTheme="minorHAnsi"/>
                <w:b/>
              </w:rPr>
            </w:pPr>
            <w:r>
              <w:rPr>
                <w:rFonts w:asciiTheme="minorHAnsi" w:hAnsiTheme="minorHAnsi"/>
              </w:rPr>
              <w:t>a</w:t>
            </w:r>
            <w:r w:rsidR="0075307D">
              <w:rPr>
                <w:rFonts w:asciiTheme="minorHAnsi" w:hAnsiTheme="minorHAnsi"/>
              </w:rPr>
              <w:t xml:space="preserve"> p</w:t>
            </w:r>
            <w:r w:rsidR="282846A6" w:rsidRPr="00D04694">
              <w:rPr>
                <w:rFonts w:asciiTheme="minorHAnsi" w:hAnsiTheme="minorHAnsi"/>
              </w:rPr>
              <w:t>roject summary</w:t>
            </w:r>
          </w:p>
          <w:p w14:paraId="150DB8B2" w14:textId="233B79AE" w:rsidR="00456CEF" w:rsidRPr="00D04694" w:rsidRDefault="0075307D" w:rsidP="001D2615">
            <w:pPr>
              <w:pStyle w:val="Tablebullet"/>
              <w:rPr>
                <w:rFonts w:asciiTheme="minorHAnsi" w:hAnsiTheme="minorHAnsi"/>
                <w:b/>
              </w:rPr>
            </w:pPr>
            <w:r>
              <w:rPr>
                <w:rFonts w:asciiTheme="minorHAnsi" w:hAnsiTheme="minorHAnsi"/>
              </w:rPr>
              <w:t>a</w:t>
            </w:r>
            <w:r w:rsidR="282846A6" w:rsidRPr="00D04694">
              <w:rPr>
                <w:rFonts w:asciiTheme="minorHAnsi" w:hAnsiTheme="minorHAnsi"/>
              </w:rPr>
              <w:t xml:space="preserve"> listing of the tender documentation and how it can be obtained</w:t>
            </w:r>
          </w:p>
          <w:p w14:paraId="4A734E8B" w14:textId="13155BB3" w:rsidR="00456CEF" w:rsidRPr="00D04694" w:rsidRDefault="0075307D" w:rsidP="001D2615">
            <w:pPr>
              <w:pStyle w:val="Tablebullet"/>
              <w:rPr>
                <w:rFonts w:asciiTheme="minorHAnsi" w:hAnsiTheme="minorHAnsi"/>
                <w:b/>
              </w:rPr>
            </w:pPr>
            <w:r>
              <w:rPr>
                <w:rFonts w:asciiTheme="minorHAnsi" w:hAnsiTheme="minorHAnsi"/>
              </w:rPr>
              <w:t>k</w:t>
            </w:r>
            <w:r w:rsidR="282846A6" w:rsidRPr="00D04694">
              <w:rPr>
                <w:rFonts w:asciiTheme="minorHAnsi" w:hAnsiTheme="minorHAnsi"/>
              </w:rPr>
              <w:t>ey dates such as briefing times, site visits and tender closing time</w:t>
            </w:r>
          </w:p>
          <w:p w14:paraId="44990815" w14:textId="356B91E8" w:rsidR="00456CEF" w:rsidRPr="00D04694" w:rsidRDefault="0075307D" w:rsidP="001D2615">
            <w:pPr>
              <w:pStyle w:val="Tablebullet"/>
              <w:rPr>
                <w:rFonts w:asciiTheme="minorHAnsi" w:hAnsiTheme="minorHAnsi"/>
                <w:b/>
              </w:rPr>
            </w:pPr>
            <w:r>
              <w:rPr>
                <w:rFonts w:asciiTheme="minorHAnsi" w:hAnsiTheme="minorHAnsi"/>
              </w:rPr>
              <w:t>t</w:t>
            </w:r>
            <w:r w:rsidR="282846A6" w:rsidRPr="00D04694">
              <w:rPr>
                <w:rFonts w:asciiTheme="minorHAnsi" w:hAnsiTheme="minorHAnsi"/>
              </w:rPr>
              <w:t>he agency</w:t>
            </w:r>
            <w:r w:rsidR="00344D3F">
              <w:rPr>
                <w:rFonts w:asciiTheme="minorHAnsi" w:hAnsiTheme="minorHAnsi"/>
              </w:rPr>
              <w:t>’</w:t>
            </w:r>
            <w:r w:rsidR="282846A6" w:rsidRPr="00D04694">
              <w:rPr>
                <w:rFonts w:asciiTheme="minorHAnsi" w:hAnsiTheme="minorHAnsi"/>
              </w:rPr>
              <w:t>s nominated representative and contact details</w:t>
            </w:r>
          </w:p>
          <w:p w14:paraId="3DD7E273" w14:textId="1517E577" w:rsidR="00456CEF" w:rsidRPr="00D04694" w:rsidRDefault="0075307D" w:rsidP="001D2615">
            <w:pPr>
              <w:pStyle w:val="Tablebullet"/>
              <w:rPr>
                <w:rFonts w:asciiTheme="minorHAnsi" w:hAnsiTheme="minorHAnsi"/>
                <w:b/>
              </w:rPr>
            </w:pPr>
            <w:r>
              <w:rPr>
                <w:rFonts w:asciiTheme="minorHAnsi" w:hAnsiTheme="minorHAnsi"/>
              </w:rPr>
              <w:t>t</w:t>
            </w:r>
            <w:r w:rsidR="282846A6" w:rsidRPr="00D04694">
              <w:rPr>
                <w:rFonts w:asciiTheme="minorHAnsi" w:hAnsiTheme="minorHAnsi"/>
              </w:rPr>
              <w:t>he number of copies and format required for submission (electronic or hard copy)</w:t>
            </w:r>
          </w:p>
          <w:p w14:paraId="1E1720EF" w14:textId="50CAC22C" w:rsidR="00456CEF" w:rsidRPr="00D04694" w:rsidRDefault="0075307D" w:rsidP="001D2615">
            <w:pPr>
              <w:pStyle w:val="Tablebullet"/>
              <w:rPr>
                <w:rFonts w:asciiTheme="minorHAnsi" w:hAnsiTheme="minorHAnsi"/>
              </w:rPr>
            </w:pPr>
            <w:r>
              <w:rPr>
                <w:rFonts w:asciiTheme="minorHAnsi" w:hAnsiTheme="minorHAnsi"/>
              </w:rPr>
              <w:t>d</w:t>
            </w:r>
            <w:r w:rsidR="282846A6" w:rsidRPr="00D04694">
              <w:rPr>
                <w:rFonts w:asciiTheme="minorHAnsi" w:hAnsiTheme="minorHAnsi"/>
              </w:rPr>
              <w:t>etails of the tender submission location and timing.</w:t>
            </w:r>
          </w:p>
        </w:tc>
      </w:tr>
    </w:tbl>
    <w:p w14:paraId="4329835C" w14:textId="3D72B41C" w:rsidR="00456CEF" w:rsidRPr="00387024" w:rsidRDefault="00456CEF" w:rsidP="001D2615">
      <w:pPr>
        <w:pStyle w:val="Heading2numbered"/>
      </w:pPr>
      <w:bookmarkStart w:id="420" w:name="_Toc161321786"/>
      <w:r w:rsidRPr="00387024">
        <w:t>The tender period</w:t>
      </w:r>
      <w:bookmarkEnd w:id="420"/>
    </w:p>
    <w:p w14:paraId="2AA13205" w14:textId="5CEA3ED8" w:rsidR="00456CEF" w:rsidRPr="00B01E06" w:rsidRDefault="00456CEF" w:rsidP="00834461">
      <w:pPr>
        <w:pStyle w:val="NormalIndent"/>
      </w:pPr>
      <w:r w:rsidRPr="00B01E06">
        <w:t>The tender period is the time between the tender notice and invitation to tender being issued and the closing date for tenders. During this period, the procurement team issue</w:t>
      </w:r>
      <w:r w:rsidR="001567C8">
        <w:t>s</w:t>
      </w:r>
      <w:r w:rsidRPr="00B01E06">
        <w:t xml:space="preserve"> the tender documentation and manage</w:t>
      </w:r>
      <w:r w:rsidR="001567C8">
        <w:t>s</w:t>
      </w:r>
      <w:r w:rsidRPr="00B01E06">
        <w:t xml:space="preserve"> communications</w:t>
      </w:r>
      <w:r w:rsidR="0077138D">
        <w:t>. R</w:t>
      </w:r>
      <w:r w:rsidRPr="00B01E06">
        <w:t>espondents prepare their offers.</w:t>
      </w:r>
    </w:p>
    <w:tbl>
      <w:tblPr>
        <w:tblStyle w:val="DTFtexttableindent"/>
        <w:tblW w:w="8208" w:type="dxa"/>
        <w:tblBorders>
          <w:bottom w:val="none" w:sz="0" w:space="0" w:color="auto"/>
          <w:insideH w:val="none" w:sz="0" w:space="0" w:color="auto"/>
        </w:tblBorders>
        <w:shd w:val="clear" w:color="auto" w:fill="F2F2F2" w:themeFill="background1" w:themeFillShade="F2"/>
        <w:tblLayout w:type="fixed"/>
        <w:tblLook w:val="04A0" w:firstRow="1" w:lastRow="0" w:firstColumn="1" w:lastColumn="0" w:noHBand="0" w:noVBand="1"/>
      </w:tblPr>
      <w:tblGrid>
        <w:gridCol w:w="828"/>
        <w:gridCol w:w="7380"/>
      </w:tblGrid>
      <w:tr w:rsidR="00456CEF" w:rsidRPr="00B01E06" w14:paraId="5F46409A" w14:textId="77777777" w:rsidTr="00E821A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28" w:type="dxa"/>
            <w:shd w:val="clear" w:color="auto" w:fill="F2F2F2" w:themeFill="background1" w:themeFillShade="F2"/>
          </w:tcPr>
          <w:p w14:paraId="5A5DB036" w14:textId="4664C673" w:rsidR="00D04694" w:rsidRDefault="00D04694" w:rsidP="00E66C1D">
            <w:pPr>
              <w:keepNext w:val="0"/>
              <w:spacing w:before="60" w:after="60"/>
              <w:rPr>
                <w:noProof/>
              </w:rPr>
            </w:pPr>
            <w:r>
              <w:rPr>
                <w:noProof/>
              </w:rPr>
              <w:drawing>
                <wp:inline distT="0" distB="0" distL="0" distR="0" wp14:anchorId="231E0CB0" wp14:editId="5C54F1CE">
                  <wp:extent cx="371475" cy="278607"/>
                  <wp:effectExtent l="0" t="0" r="0" b="7620"/>
                  <wp:docPr id="42" name="Picture 4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380" w:type="dxa"/>
            <w:shd w:val="clear" w:color="auto" w:fill="F2F2F2" w:themeFill="background1" w:themeFillShade="F2"/>
            <w:hideMark/>
          </w:tcPr>
          <w:p w14:paraId="3B2A4282" w14:textId="1828AADC" w:rsidR="00456CEF" w:rsidRPr="00D04694" w:rsidRDefault="003C47FF" w:rsidP="00E66C1D">
            <w:pPr>
              <w:pStyle w:val="Tabletext"/>
              <w:keepNext w:val="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16A27">
              <w:t>Ministerial Direction and Instruction for Public Construction Procurement</w:t>
            </w:r>
            <w:r w:rsidR="00456CEF" w:rsidRPr="00D04694">
              <w:rPr>
                <w:rFonts w:asciiTheme="minorHAnsi" w:hAnsiTheme="minorHAnsi"/>
              </w:rPr>
              <w:t xml:space="preserve"> 3.5 requires agencies to provide </w:t>
            </w:r>
            <w:r w:rsidR="00BC4F07">
              <w:rPr>
                <w:rFonts w:asciiTheme="minorHAnsi" w:hAnsiTheme="minorHAnsi"/>
              </w:rPr>
              <w:t>tender participants</w:t>
            </w:r>
            <w:r w:rsidR="00BC4F07" w:rsidRPr="00D04694">
              <w:rPr>
                <w:rFonts w:asciiTheme="minorHAnsi" w:hAnsiTheme="minorHAnsi"/>
              </w:rPr>
              <w:t xml:space="preserve"> </w:t>
            </w:r>
            <w:r w:rsidR="00456CEF" w:rsidRPr="00D04694">
              <w:rPr>
                <w:rFonts w:asciiTheme="minorHAnsi" w:hAnsiTheme="minorHAnsi"/>
              </w:rPr>
              <w:t>with sufficient time to prepare well, considered, complete and accurate tenders.</w:t>
            </w:r>
          </w:p>
        </w:tc>
      </w:tr>
    </w:tbl>
    <w:p w14:paraId="252949CF" w14:textId="55D18E18" w:rsidR="00456CEF" w:rsidRPr="00B01E06" w:rsidRDefault="282846A6" w:rsidP="00834461">
      <w:pPr>
        <w:pStyle w:val="NormalIndent"/>
      </w:pPr>
      <w:r>
        <w:t xml:space="preserve">If the tender period is too short, it may result in tenders </w:t>
      </w:r>
      <w:r w:rsidR="00935397">
        <w:t xml:space="preserve">being overpriced </w:t>
      </w:r>
      <w:r>
        <w:t>to cover unforeseen risks</w:t>
      </w:r>
      <w:r w:rsidR="00733A02">
        <w:t>,</w:t>
      </w:r>
      <w:r w:rsidR="00935397">
        <w:t xml:space="preserve"> </w:t>
      </w:r>
      <w:r w:rsidR="00733A02">
        <w:t>o</w:t>
      </w:r>
      <w:r w:rsidR="00935397">
        <w:t xml:space="preserve">r </w:t>
      </w:r>
      <w:r w:rsidR="000D07C1">
        <w:t xml:space="preserve">they may be </w:t>
      </w:r>
      <w:r w:rsidR="00733A02">
        <w:t>under</w:t>
      </w:r>
      <w:r>
        <w:t xml:space="preserve">priced </w:t>
      </w:r>
      <w:r w:rsidR="00956226">
        <w:t xml:space="preserve">due to being completed </w:t>
      </w:r>
      <w:r>
        <w:t>without due consideration. Agencies should ensure the tender period is reasonable, taking account of</w:t>
      </w:r>
      <w:r w:rsidR="0077138D">
        <w:t xml:space="preserve"> the following</w:t>
      </w:r>
      <w:r w:rsidR="00A10628">
        <w:t xml:space="preserve"> factors:</w:t>
      </w:r>
    </w:p>
    <w:p w14:paraId="1ACC97CD" w14:textId="59129269" w:rsidR="00456CEF" w:rsidRDefault="00A10628" w:rsidP="00E017D2">
      <w:pPr>
        <w:pStyle w:val="Bulletindent"/>
      </w:pPr>
      <w:r>
        <w:t>t</w:t>
      </w:r>
      <w:r w:rsidR="282846A6">
        <w:t>he complexity of the deliverables and tender requirements and the extent to which the project scope, risks and commercial terms are unique</w:t>
      </w:r>
      <w:r w:rsidR="0077138D">
        <w:t>. T</w:t>
      </w:r>
      <w:r w:rsidR="282846A6">
        <w:t>he more complex the offering, the more numerous the elements requiring costing and assessment and the greater time required for suppliers to develop their tender. It may range from two to three weeks for simple investments to several months for complex infrastructure and assets such as rail lines, tunnels and rolling stock. Time requirements will increase if the tenderers are required to submit a design or financing strategy as part of their tender</w:t>
      </w:r>
    </w:p>
    <w:p w14:paraId="35E8545D" w14:textId="05270024" w:rsidR="00456CEF" w:rsidRPr="001938B8" w:rsidRDefault="00A10628" w:rsidP="001D2615">
      <w:pPr>
        <w:pStyle w:val="Bulletindent"/>
      </w:pPr>
      <w:r>
        <w:t>t</w:t>
      </w:r>
      <w:r w:rsidR="282846A6">
        <w:t>he likely tender participants and market characteristics, including</w:t>
      </w:r>
      <w:r w:rsidR="0085316E">
        <w:t xml:space="preserve"> the likelihood and extent of</w:t>
      </w:r>
    </w:p>
    <w:p w14:paraId="2CF932CD" w14:textId="443D0DEA" w:rsidR="00456CEF" w:rsidRPr="00B01E06" w:rsidRDefault="003B11D1" w:rsidP="001D2615">
      <w:pPr>
        <w:pStyle w:val="Bulletindent2"/>
      </w:pPr>
      <w:r>
        <w:t xml:space="preserve">the need for </w:t>
      </w:r>
      <w:r w:rsidR="00456CEF" w:rsidRPr="00B01E06">
        <w:t>subcontracting</w:t>
      </w:r>
      <w:r>
        <w:t xml:space="preserve"> arrangements</w:t>
      </w:r>
    </w:p>
    <w:p w14:paraId="6F1EB318" w14:textId="71D0EDE4" w:rsidR="00456CEF" w:rsidRPr="00B01E06" w:rsidRDefault="00456CEF" w:rsidP="001D2615">
      <w:pPr>
        <w:pStyle w:val="Bulletindent2"/>
      </w:pPr>
      <w:r w:rsidRPr="00B01E06">
        <w:t>national or international interest</w:t>
      </w:r>
      <w:r w:rsidRPr="00B01E06" w:rsidDel="00DE7531">
        <w:rPr>
          <w:rFonts w:ascii="Calibri" w:hAnsi="Calibri"/>
        </w:rPr>
        <w:t> </w:t>
      </w:r>
    </w:p>
    <w:p w14:paraId="07C98AA5" w14:textId="2808A996" w:rsidR="00456CEF" w:rsidRPr="00B01E06" w:rsidRDefault="003B11D1" w:rsidP="001D2615">
      <w:pPr>
        <w:pStyle w:val="Bulletindent2"/>
      </w:pPr>
      <w:r>
        <w:t xml:space="preserve">joint bids involving </w:t>
      </w:r>
      <w:r w:rsidR="00456CEF" w:rsidRPr="00B01E06">
        <w:t>multiple participants with different skills</w:t>
      </w:r>
    </w:p>
    <w:p w14:paraId="59D89735" w14:textId="7B44DB32" w:rsidR="00456CEF" w:rsidRPr="00B01E06" w:rsidRDefault="00A10628" w:rsidP="001D2615">
      <w:pPr>
        <w:pStyle w:val="Bulletindent"/>
      </w:pPr>
      <w:r>
        <w:t>t</w:t>
      </w:r>
      <w:r w:rsidR="0077138D">
        <w:t>he l</w:t>
      </w:r>
      <w:r w:rsidR="282846A6">
        <w:t>evel and allocation of risk proposed or implied</w:t>
      </w:r>
    </w:p>
    <w:p w14:paraId="652DC017" w14:textId="22929924" w:rsidR="00456CEF" w:rsidRPr="00B01E06" w:rsidRDefault="00A10628" w:rsidP="001D2615">
      <w:pPr>
        <w:pStyle w:val="Bulletindent"/>
      </w:pPr>
      <w:r>
        <w:t>t</w:t>
      </w:r>
      <w:r w:rsidR="0077138D">
        <w:t xml:space="preserve">he </w:t>
      </w:r>
      <w:r w:rsidR="00B0126A">
        <w:t xml:space="preserve">degree </w:t>
      </w:r>
      <w:r w:rsidR="282846A6">
        <w:t>of completion of design specifications</w:t>
      </w:r>
    </w:p>
    <w:p w14:paraId="272F2B84" w14:textId="4FB4D461" w:rsidR="00456CEF" w:rsidRPr="00B01E06" w:rsidRDefault="00A10628" w:rsidP="001D2615">
      <w:pPr>
        <w:pStyle w:val="Bulletindent"/>
      </w:pPr>
      <w:r>
        <w:t xml:space="preserve">the </w:t>
      </w:r>
      <w:r w:rsidR="282846A6">
        <w:t>time required for respondents to investigate, prepare, check and submit their responses, including</w:t>
      </w:r>
    </w:p>
    <w:p w14:paraId="57A535C7" w14:textId="77777777" w:rsidR="00456CEF" w:rsidRPr="00B01E06" w:rsidRDefault="00456CEF" w:rsidP="001D2615">
      <w:pPr>
        <w:pStyle w:val="Bulletindent2"/>
      </w:pPr>
      <w:r w:rsidRPr="00B01E06">
        <w:t>assessing the project scope, documentation and due diligence, including undertaking a site inspection</w:t>
      </w:r>
    </w:p>
    <w:p w14:paraId="780CF06D" w14:textId="77777777" w:rsidR="00456CEF" w:rsidRPr="00B01E06" w:rsidRDefault="00456CEF" w:rsidP="001D2615">
      <w:pPr>
        <w:pStyle w:val="Bulletindent2"/>
      </w:pPr>
      <w:r w:rsidRPr="00B01E06">
        <w:t>assessing the tender and contract conditions</w:t>
      </w:r>
    </w:p>
    <w:p w14:paraId="23707D56" w14:textId="04526909" w:rsidR="00456CEF" w:rsidRPr="00B01E06" w:rsidRDefault="00456CEF" w:rsidP="001D2615">
      <w:pPr>
        <w:pStyle w:val="Bulletindent2"/>
      </w:pPr>
      <w:r w:rsidRPr="00B01E06">
        <w:t>assessing the</w:t>
      </w:r>
      <w:r w:rsidR="00B0126A">
        <w:t>ir</w:t>
      </w:r>
      <w:r w:rsidRPr="00B01E06">
        <w:t xml:space="preserve"> capacity to undertake the work and obtaining prices from suppliers and sub</w:t>
      </w:r>
      <w:r w:rsidR="00A468DC">
        <w:t>contractors</w:t>
      </w:r>
    </w:p>
    <w:p w14:paraId="2D8509E9" w14:textId="6B2F74E3" w:rsidR="00456CEF" w:rsidRPr="00B01E06" w:rsidRDefault="00456CEF" w:rsidP="001D2615">
      <w:pPr>
        <w:pStyle w:val="Bulletindent2"/>
      </w:pPr>
      <w:r w:rsidRPr="00B01E06">
        <w:t xml:space="preserve">clarifying any inconsistencies or other queries with the </w:t>
      </w:r>
      <w:r w:rsidR="005B5C93">
        <w:t>agency</w:t>
      </w:r>
    </w:p>
    <w:p w14:paraId="63D9F5ED" w14:textId="77777777" w:rsidR="00456CEF" w:rsidRPr="00B01E06" w:rsidRDefault="00456CEF" w:rsidP="001D2615">
      <w:pPr>
        <w:pStyle w:val="Bulletindent2"/>
      </w:pPr>
      <w:r w:rsidRPr="00B01E06">
        <w:t>preparing a fit-for-purpose response to requirements</w:t>
      </w:r>
    </w:p>
    <w:p w14:paraId="3BBC6D79" w14:textId="52813D8D" w:rsidR="00456CEF" w:rsidRPr="00B01E06" w:rsidRDefault="00456CEF" w:rsidP="001D2615">
      <w:pPr>
        <w:pStyle w:val="Bulletindent2"/>
      </w:pPr>
      <w:r w:rsidRPr="00B01E06">
        <w:t>documenting the tender bid to an appropriate level of detail and accuracy</w:t>
      </w:r>
      <w:r w:rsidR="0077138D">
        <w:t>.</w:t>
      </w:r>
    </w:p>
    <w:p w14:paraId="46C095C5" w14:textId="4E80C369" w:rsidR="00456CEF" w:rsidRPr="00387024" w:rsidRDefault="00A10628" w:rsidP="001D2615">
      <w:pPr>
        <w:pStyle w:val="Bulletindent"/>
      </w:pPr>
      <w:r>
        <w:t>a</w:t>
      </w:r>
      <w:r w:rsidR="282846A6">
        <w:t xml:space="preserve">ny legislative or policy requirements that influence tender period duration, such as international </w:t>
      </w:r>
      <w:r w:rsidR="00F0126A">
        <w:t xml:space="preserve">free trade </w:t>
      </w:r>
      <w:r w:rsidR="282846A6">
        <w:t>agreements.</w:t>
      </w:r>
    </w:p>
    <w:p w14:paraId="1858F404" w14:textId="0EADE9BF" w:rsidR="00456CEF" w:rsidRDefault="005E56F4" w:rsidP="001D2615">
      <w:pPr>
        <w:pStyle w:val="Heading2numbered"/>
      </w:pPr>
      <w:bookmarkStart w:id="421" w:name="_Toc161321787"/>
      <w:r>
        <w:t>C</w:t>
      </w:r>
      <w:r w:rsidRPr="00387024">
        <w:t xml:space="preserve">ommunications </w:t>
      </w:r>
      <w:r>
        <w:t>during the t</w:t>
      </w:r>
      <w:r w:rsidRPr="00387024">
        <w:t xml:space="preserve">ender </w:t>
      </w:r>
      <w:r w:rsidR="00456CEF" w:rsidRPr="00387024">
        <w:t>period</w:t>
      </w:r>
      <w:bookmarkEnd w:id="421"/>
      <w:r w:rsidR="00456CEF" w:rsidRPr="00387024">
        <w:t xml:space="preserve"> </w:t>
      </w:r>
    </w:p>
    <w:p w14:paraId="2795F1AE" w14:textId="16A426CC" w:rsidR="00456CEF" w:rsidRDefault="00456CEF" w:rsidP="00EC64B4">
      <w:pPr>
        <w:pStyle w:val="NormalIndent"/>
        <w:keepNext/>
      </w:pPr>
      <w:r w:rsidRPr="00387024">
        <w:t>Communications with potential suppliers</w:t>
      </w:r>
      <w:r>
        <w:t xml:space="preserve"> during the tender period</w:t>
      </w:r>
      <w:r w:rsidRPr="00387024">
        <w:t xml:space="preserve"> must be carefully managed to </w:t>
      </w:r>
      <w:r>
        <w:t xml:space="preserve">ensure all tender participants are treated equitably, </w:t>
      </w:r>
      <w:r w:rsidRPr="00387024">
        <w:t>probity</w:t>
      </w:r>
      <w:r>
        <w:t xml:space="preserve"> and confidentiality</w:t>
      </w:r>
      <w:r w:rsidRPr="00387024">
        <w:t xml:space="preserve"> </w:t>
      </w:r>
      <w:r>
        <w:t>obligations are met</w:t>
      </w:r>
      <w:r w:rsidR="006D4E8A">
        <w:t>,</w:t>
      </w:r>
      <w:r>
        <w:t xml:space="preserve"> and competitive tension is maintained.</w:t>
      </w:r>
    </w:p>
    <w:tbl>
      <w:tblPr>
        <w:tblStyle w:val="DTFtexttableindent"/>
        <w:tblW w:w="8298" w:type="dxa"/>
        <w:tblBorders>
          <w:bottom w:val="none" w:sz="0" w:space="0" w:color="auto"/>
          <w:insideH w:val="none" w:sz="0" w:space="0" w:color="auto"/>
        </w:tblBorders>
        <w:shd w:val="clear" w:color="auto" w:fill="F2F2F2" w:themeFill="background1" w:themeFillShade="F2"/>
        <w:tblLayout w:type="fixed"/>
        <w:tblLook w:val="04A0" w:firstRow="1" w:lastRow="0" w:firstColumn="1" w:lastColumn="0" w:noHBand="0" w:noVBand="1"/>
      </w:tblPr>
      <w:tblGrid>
        <w:gridCol w:w="738"/>
        <w:gridCol w:w="7560"/>
      </w:tblGrid>
      <w:tr w:rsidR="00456CEF" w:rsidRPr="001938B8" w14:paraId="6CB62CB1" w14:textId="77777777" w:rsidTr="00926A8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38" w:type="dxa"/>
            <w:shd w:val="clear" w:color="auto" w:fill="F2F2F2" w:themeFill="background1" w:themeFillShade="F2"/>
            <w:hideMark/>
          </w:tcPr>
          <w:p w14:paraId="3E656AD7" w14:textId="140F8CCC" w:rsidR="00456CEF" w:rsidRPr="001938B8" w:rsidRDefault="00987FC2" w:rsidP="00F7602B">
            <w:pPr>
              <w:pStyle w:val="Tabletext"/>
              <w:ind w:right="7187"/>
              <w:rPr>
                <w:rFonts w:asciiTheme="minorHAnsi" w:hAnsiTheme="minorHAnsi"/>
                <w:sz w:val="20"/>
                <w:szCs w:val="20"/>
              </w:rPr>
            </w:pPr>
            <w:r>
              <w:rPr>
                <w:noProof/>
              </w:rPr>
              <w:drawing>
                <wp:inline distT="0" distB="0" distL="0" distR="0" wp14:anchorId="339933B8" wp14:editId="59F66386">
                  <wp:extent cx="371475" cy="278607"/>
                  <wp:effectExtent l="0" t="0" r="0" b="7620"/>
                  <wp:docPr id="43" name="Picture 4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560" w:type="dxa"/>
            <w:shd w:val="clear" w:color="auto" w:fill="F2F2F2" w:themeFill="background1" w:themeFillShade="F2"/>
            <w:hideMark/>
          </w:tcPr>
          <w:p w14:paraId="53C090A6" w14:textId="1A319DA8" w:rsidR="00456CEF" w:rsidRPr="00987FC2" w:rsidRDefault="009E64E9" w:rsidP="0077138D">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16A27">
              <w:t>Ministerial Direction and Instruction for Public Construction Procurement</w:t>
            </w:r>
            <w:r w:rsidR="00456CEF" w:rsidRPr="00987FC2">
              <w:rPr>
                <w:rFonts w:asciiTheme="minorHAnsi" w:hAnsiTheme="minorHAnsi"/>
              </w:rPr>
              <w:t xml:space="preserve"> 4.1 requires agencies to treat all tender participants fairly and equally, ensuring the same information is given to all tender participants and avoiding giving any one tender participant an improper advantage over another.</w:t>
            </w:r>
          </w:p>
          <w:p w14:paraId="1D7A0247" w14:textId="6BB25563" w:rsidR="00456CEF" w:rsidRPr="001938B8" w:rsidRDefault="00D32D84" w:rsidP="0077138D">
            <w:pPr>
              <w:pStyle w:val="Tabletext"/>
              <w:cnfStyle w:val="100000000000" w:firstRow="1" w:lastRow="0" w:firstColumn="0" w:lastColumn="0" w:oddVBand="0" w:evenVBand="0" w:oddHBand="0" w:evenHBand="0" w:firstRowFirstColumn="0" w:firstRowLastColumn="0" w:lastRowFirstColumn="0" w:lastRowLastColumn="0"/>
            </w:pPr>
            <w:r w:rsidRPr="00716A27">
              <w:t>Ministerial Direction and Instruction for Public Construction Procurement</w:t>
            </w:r>
            <w:r w:rsidR="00456CEF" w:rsidRPr="00987FC2">
              <w:rPr>
                <w:rFonts w:asciiTheme="minorHAnsi" w:hAnsiTheme="minorHAnsi"/>
              </w:rPr>
              <w:t xml:space="preserve"> 4.1.4 requires agencies to ensure </w:t>
            </w:r>
            <w:r w:rsidR="009D59FA">
              <w:rPr>
                <w:rFonts w:asciiTheme="minorHAnsi" w:hAnsiTheme="minorHAnsi"/>
              </w:rPr>
              <w:t xml:space="preserve">that </w:t>
            </w:r>
            <w:r w:rsidR="00456CEF" w:rsidRPr="00987FC2">
              <w:rPr>
                <w:rFonts w:asciiTheme="minorHAnsi" w:hAnsiTheme="minorHAnsi"/>
              </w:rPr>
              <w:t>tender and contract management processes are auditable, transparent and accountable</w:t>
            </w:r>
            <w:r w:rsidR="009D59FA">
              <w:rPr>
                <w:rFonts w:asciiTheme="minorHAnsi" w:hAnsiTheme="minorHAnsi"/>
              </w:rPr>
              <w:t>,</w:t>
            </w:r>
            <w:r w:rsidR="00456CEF" w:rsidRPr="00987FC2">
              <w:rPr>
                <w:rFonts w:asciiTheme="minorHAnsi" w:hAnsiTheme="minorHAnsi"/>
              </w:rPr>
              <w:t xml:space="preserve"> by creating and maintaining appropriate records of all tender communications between the </w:t>
            </w:r>
            <w:r w:rsidR="009D59FA">
              <w:rPr>
                <w:rFonts w:asciiTheme="minorHAnsi" w:hAnsiTheme="minorHAnsi"/>
              </w:rPr>
              <w:t>p</w:t>
            </w:r>
            <w:r w:rsidR="00456CEF" w:rsidRPr="00987FC2">
              <w:rPr>
                <w:rFonts w:asciiTheme="minorHAnsi" w:hAnsiTheme="minorHAnsi"/>
              </w:rPr>
              <w:t xml:space="preserve">urchaser and tender participants. </w:t>
            </w:r>
          </w:p>
        </w:tc>
      </w:tr>
    </w:tbl>
    <w:p w14:paraId="23DD6668" w14:textId="372719A3" w:rsidR="00456CEF" w:rsidRPr="005E64E0" w:rsidRDefault="00456CEF" w:rsidP="001D2615">
      <w:pPr>
        <w:pStyle w:val="Heading3numbered"/>
      </w:pPr>
      <w:r w:rsidRPr="005E64E0">
        <w:t>Nominated representative</w:t>
      </w:r>
    </w:p>
    <w:p w14:paraId="7FAE7107" w14:textId="3818C59C" w:rsidR="00456CEF" w:rsidRPr="001938B8" w:rsidRDefault="00456CEF" w:rsidP="00834461">
      <w:pPr>
        <w:pStyle w:val="NormalIndent"/>
      </w:pPr>
      <w:r w:rsidRPr="0080359A">
        <w:t>The agency should nominate a</w:t>
      </w:r>
      <w:r w:rsidR="00B246AE">
        <w:t>n</w:t>
      </w:r>
      <w:r w:rsidRPr="0080359A">
        <w:t xml:space="preserve"> </w:t>
      </w:r>
      <w:r>
        <w:t xml:space="preserve">agency </w:t>
      </w:r>
      <w:r w:rsidRPr="0080359A">
        <w:t>representative who is responsible for answering qu</w:t>
      </w:r>
      <w:r w:rsidR="009D59FA">
        <w:t>e</w:t>
      </w:r>
      <w:r w:rsidRPr="0080359A">
        <w:t>ries during the tendering period</w:t>
      </w:r>
      <w:r>
        <w:t xml:space="preserve">. </w:t>
      </w:r>
      <w:r w:rsidRPr="0080359A">
        <w:t xml:space="preserve">This person </w:t>
      </w:r>
      <w:r w:rsidR="009D59FA">
        <w:t>should have</w:t>
      </w:r>
      <w:r w:rsidR="009D59FA" w:rsidRPr="0080359A">
        <w:t xml:space="preserve"> </w:t>
      </w:r>
      <w:r w:rsidRPr="0080359A">
        <w:t>knowledge and understanding of the project</w:t>
      </w:r>
      <w:r>
        <w:t xml:space="preserve"> and</w:t>
      </w:r>
      <w:r w:rsidRPr="0080359A">
        <w:t xml:space="preserve"> </w:t>
      </w:r>
      <w:r w:rsidR="008D030D">
        <w:t>be</w:t>
      </w:r>
      <w:r w:rsidRPr="0080359A">
        <w:t xml:space="preserve"> available</w:t>
      </w:r>
      <w:r>
        <w:t xml:space="preserve"> for the </w:t>
      </w:r>
      <w:r w:rsidR="008D030D">
        <w:t>entire</w:t>
      </w:r>
      <w:r>
        <w:t xml:space="preserve"> tender period. The nominated representative should provide consistent responses to all tender participants and ensure </w:t>
      </w:r>
      <w:r w:rsidRPr="0080359A">
        <w:t>that any additional information provided to one supplier is provided to all suppliers.</w:t>
      </w:r>
    </w:p>
    <w:p w14:paraId="62332429" w14:textId="28312559" w:rsidR="00456CEF" w:rsidRDefault="00456CEF" w:rsidP="00834461">
      <w:pPr>
        <w:pStyle w:val="NormalIndent"/>
      </w:pPr>
      <w:r w:rsidRPr="0080359A">
        <w:t xml:space="preserve">The nominated representative </w:t>
      </w:r>
      <w:r>
        <w:t>must</w:t>
      </w:r>
      <w:r w:rsidRPr="0080359A">
        <w:t xml:space="preserve"> record all tender enquiries and responses.</w:t>
      </w:r>
    </w:p>
    <w:p w14:paraId="5EFF143B" w14:textId="77777777" w:rsidR="003324A3" w:rsidRPr="00387024" w:rsidRDefault="003324A3" w:rsidP="001D2615">
      <w:pPr>
        <w:pStyle w:val="Heading3numbered"/>
      </w:pPr>
      <w:r w:rsidRPr="00387024">
        <w:t>Issuing tender documentation</w:t>
      </w:r>
    </w:p>
    <w:p w14:paraId="7AB80561" w14:textId="0F2B456B" w:rsidR="00456CEF" w:rsidRPr="001938B8" w:rsidRDefault="00456CEF" w:rsidP="00834461">
      <w:pPr>
        <w:pStyle w:val="NormalIndent"/>
      </w:pPr>
      <w:r>
        <w:t>Agencies should maintain a</w:t>
      </w:r>
      <w:r w:rsidRPr="0080359A">
        <w:t xml:space="preserve"> written record of all request</w:t>
      </w:r>
      <w:r w:rsidR="008A5516">
        <w:t>s for</w:t>
      </w:r>
      <w:r w:rsidRPr="0080359A">
        <w:t xml:space="preserve"> </w:t>
      </w:r>
      <w:r w:rsidR="008A5516" w:rsidRPr="0080359A">
        <w:t>cop</w:t>
      </w:r>
      <w:r w:rsidR="008A5516">
        <w:t>ies</w:t>
      </w:r>
      <w:r w:rsidR="008A5516" w:rsidRPr="0080359A">
        <w:t xml:space="preserve"> </w:t>
      </w:r>
      <w:r w:rsidRPr="0080359A">
        <w:t xml:space="preserve">of the tender documents. </w:t>
      </w:r>
      <w:r w:rsidRPr="00355E11">
        <w:t>Each set of tender documents released should be numbered for identification and tracking purposes.</w:t>
      </w:r>
      <w:r w:rsidRPr="004C7AAF">
        <w:t xml:space="preserve"> </w:t>
      </w:r>
      <w:r w:rsidRPr="0080359A">
        <w:t>This will assist if changes are made during the tender period or if any follow-up is required.</w:t>
      </w:r>
    </w:p>
    <w:p w14:paraId="00B3544D" w14:textId="77777777" w:rsidR="003324A3" w:rsidRPr="00387024" w:rsidRDefault="003324A3" w:rsidP="001D2615">
      <w:pPr>
        <w:pStyle w:val="Heading3numbered"/>
      </w:pPr>
      <w:r w:rsidRPr="00387024">
        <w:t>Data rooms</w:t>
      </w:r>
    </w:p>
    <w:p w14:paraId="7AB5BD66" w14:textId="4C4B1107" w:rsidR="003324A3" w:rsidRPr="00387024" w:rsidRDefault="00255757" w:rsidP="00834461">
      <w:pPr>
        <w:pStyle w:val="NormalIndent"/>
      </w:pPr>
      <w:r>
        <w:t>The t</w:t>
      </w:r>
      <w:r w:rsidRPr="00387024">
        <w:t xml:space="preserve">ender </w:t>
      </w:r>
      <w:r w:rsidR="003324A3" w:rsidRPr="00387024">
        <w:t xml:space="preserve">documentation, including design documentation and due diligence, may be extensive. Sometimes a physical </w:t>
      </w:r>
      <w:r w:rsidR="00525E8A">
        <w:t xml:space="preserve">room </w:t>
      </w:r>
      <w:r w:rsidR="003324A3" w:rsidRPr="00387024">
        <w:t>or electronic data room is required to allow potential tenderers to view project information.</w:t>
      </w:r>
    </w:p>
    <w:tbl>
      <w:tblPr>
        <w:tblStyle w:val="DTFtexttableindent"/>
        <w:tblW w:w="8298" w:type="dxa"/>
        <w:tblBorders>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699"/>
        <w:gridCol w:w="7599"/>
      </w:tblGrid>
      <w:tr w:rsidR="00EC64B4" w:rsidRPr="002F1856" w14:paraId="29AF19FF" w14:textId="77777777" w:rsidTr="003A7C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9" w:type="dxa"/>
            <w:shd w:val="clear" w:color="auto" w:fill="F2F2F2" w:themeFill="background1" w:themeFillShade="F2"/>
          </w:tcPr>
          <w:p w14:paraId="6BA7BACB" w14:textId="77777777" w:rsidR="00EC64B4" w:rsidRDefault="00EC64B4" w:rsidP="00EC64B4">
            <w:pPr>
              <w:keepNext w:val="0"/>
            </w:pPr>
            <w:r>
              <w:rPr>
                <w:noProof/>
              </w:rPr>
              <w:drawing>
                <wp:inline distT="0" distB="0" distL="0" distR="0" wp14:anchorId="3D8518BD" wp14:editId="10E5C655">
                  <wp:extent cx="371475" cy="278607"/>
                  <wp:effectExtent l="0" t="0" r="0" b="7620"/>
                  <wp:docPr id="53" name="Picture 5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599" w:type="dxa"/>
            <w:shd w:val="clear" w:color="auto" w:fill="F2F2F2" w:themeFill="background1" w:themeFillShade="F2"/>
          </w:tcPr>
          <w:p w14:paraId="1CB5FDBA" w14:textId="28DA45FA" w:rsidR="00EC64B4" w:rsidRPr="00987FC2" w:rsidRDefault="0063303C" w:rsidP="00EC64B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716A27">
              <w:t>Ministerial Direction and Instruction for Public Construction Procurement</w:t>
            </w:r>
            <w:r w:rsidDel="005751CD">
              <w:t xml:space="preserve"> </w:t>
            </w:r>
            <w:r w:rsidR="00EC64B4" w:rsidRPr="00987FC2">
              <w:rPr>
                <w:rFonts w:asciiTheme="minorHAnsi" w:hAnsiTheme="minorHAnsi"/>
              </w:rPr>
              <w:t>4.1.2 requires agencies to provide all tender participants with fair and reasonable access to the data room or similar facility if applicable.</w:t>
            </w:r>
          </w:p>
          <w:p w14:paraId="0CD38557" w14:textId="58BB5957" w:rsidR="00EC64B4" w:rsidRPr="002F1856" w:rsidRDefault="0063303C" w:rsidP="00EC64B4">
            <w:pPr>
              <w:pStyle w:val="Tabletext"/>
              <w:cnfStyle w:val="100000000000" w:firstRow="1" w:lastRow="0" w:firstColumn="0" w:lastColumn="0" w:oddVBand="0" w:evenVBand="0" w:oddHBand="0" w:evenHBand="0" w:firstRowFirstColumn="0" w:firstRowLastColumn="0" w:lastRowFirstColumn="0" w:lastRowLastColumn="0"/>
            </w:pPr>
            <w:r w:rsidRPr="00716A27">
              <w:t>Ministerial Direction and Instruction for Public Construction Procurement</w:t>
            </w:r>
            <w:r w:rsidDel="005751CD">
              <w:t xml:space="preserve"> </w:t>
            </w:r>
            <w:r w:rsidR="00EC64B4" w:rsidRPr="00987FC2">
              <w:rPr>
                <w:rFonts w:asciiTheme="minorHAnsi" w:hAnsiTheme="minorHAnsi"/>
              </w:rPr>
              <w:t>4.1.4 requires agencies to keep a record of any access to the data room.</w:t>
            </w:r>
          </w:p>
        </w:tc>
      </w:tr>
    </w:tbl>
    <w:p w14:paraId="5730A2BF" w14:textId="75F78E1D" w:rsidR="00456CEF" w:rsidRPr="00492E28" w:rsidRDefault="00456CEF" w:rsidP="001D2615">
      <w:pPr>
        <w:pStyle w:val="Heading3numbered"/>
      </w:pPr>
      <w:r w:rsidRPr="001938B8">
        <w:t>Industry briefings or site visits</w:t>
      </w:r>
    </w:p>
    <w:p w14:paraId="7FE062F5" w14:textId="36C5D94B" w:rsidR="003324A3" w:rsidRPr="00387024" w:rsidRDefault="003324A3" w:rsidP="00EC64B4">
      <w:pPr>
        <w:pStyle w:val="NormalIndent"/>
        <w:keepNext/>
      </w:pPr>
      <w:r w:rsidRPr="00387024">
        <w:t xml:space="preserve">Industry briefings and site visits are a mechanism for providing potential suppliers with </w:t>
      </w:r>
      <w:r w:rsidR="005A33FC">
        <w:t>more</w:t>
      </w:r>
      <w:r w:rsidR="005A33FC" w:rsidRPr="00387024">
        <w:t xml:space="preserve"> </w:t>
      </w:r>
      <w:r w:rsidRPr="00387024">
        <w:t>information about a project tha</w:t>
      </w:r>
      <w:r w:rsidR="005A33FC">
        <w:t>n what is</w:t>
      </w:r>
      <w:r w:rsidR="00456CEF" w:rsidRPr="00A44568">
        <w:t xml:space="preserve"> captured in the tender documents.</w:t>
      </w:r>
    </w:p>
    <w:p w14:paraId="5E414E95" w14:textId="77777777" w:rsidR="003324A3" w:rsidRPr="00387024" w:rsidRDefault="003324A3" w:rsidP="00987FC2">
      <w:pPr>
        <w:pStyle w:val="NormalIndent"/>
        <w:keepNext/>
      </w:pPr>
      <w:r w:rsidRPr="00387024">
        <w:t>Industry briefings or site visits:</w:t>
      </w:r>
    </w:p>
    <w:p w14:paraId="0A709475" w14:textId="49819D6B" w:rsidR="003324A3" w:rsidRPr="00387024" w:rsidRDefault="15C8AB0F" w:rsidP="001D2615">
      <w:pPr>
        <w:pStyle w:val="Bulletindent"/>
      </w:pPr>
      <w:r>
        <w:t xml:space="preserve">provide an opportunity for the procurement team to meet potential suppliers and </w:t>
      </w:r>
      <w:r w:rsidR="005A33FC">
        <w:t>gauge</w:t>
      </w:r>
      <w:r>
        <w:t xml:space="preserve"> </w:t>
      </w:r>
      <w:r w:rsidR="005A33FC">
        <w:t xml:space="preserve">supplier </w:t>
      </w:r>
      <w:r>
        <w:t>interest</w:t>
      </w:r>
    </w:p>
    <w:p w14:paraId="1BFBF651" w14:textId="77777777" w:rsidR="003324A3" w:rsidRPr="00387024" w:rsidRDefault="15C8AB0F" w:rsidP="001D2615">
      <w:pPr>
        <w:pStyle w:val="Bulletindent"/>
      </w:pPr>
      <w:r>
        <w:t>provide the market with an indication of the level of competition</w:t>
      </w:r>
    </w:p>
    <w:p w14:paraId="2C25428A" w14:textId="350CDF32" w:rsidR="003324A3" w:rsidRPr="00387024" w:rsidRDefault="15C8AB0F" w:rsidP="001D2615">
      <w:pPr>
        <w:pStyle w:val="Bulletindent"/>
      </w:pPr>
      <w:r>
        <w:t xml:space="preserve">reinforce the </w:t>
      </w:r>
      <w:r w:rsidR="009E7C83">
        <w:t>G</w:t>
      </w:r>
      <w:r>
        <w:t>overnment</w:t>
      </w:r>
      <w:r w:rsidR="00344D3F">
        <w:t>’</w:t>
      </w:r>
      <w:r>
        <w:t>s requirements and expectations</w:t>
      </w:r>
    </w:p>
    <w:p w14:paraId="2C767C0E" w14:textId="0331A1BA" w:rsidR="003324A3" w:rsidRPr="00387024" w:rsidRDefault="15C8AB0F" w:rsidP="001D2615">
      <w:pPr>
        <w:pStyle w:val="Bulletindent"/>
      </w:pPr>
      <w:r>
        <w:t>provide an opportunity for suppliers to clarify issues or areas of uncertainty arising from their interpretation of the tender documents</w:t>
      </w:r>
    </w:p>
    <w:p w14:paraId="5881E958" w14:textId="7933A06D" w:rsidR="003324A3" w:rsidRDefault="00BA6A24" w:rsidP="001D2615">
      <w:pPr>
        <w:pStyle w:val="Bulletindent"/>
      </w:pPr>
      <w:r>
        <w:t>allow</w:t>
      </w:r>
      <w:r w:rsidR="15C8AB0F">
        <w:t xml:space="preserve"> </w:t>
      </w:r>
      <w:r>
        <w:t xml:space="preserve">better </w:t>
      </w:r>
      <w:r w:rsidR="15C8AB0F">
        <w:t>manag</w:t>
      </w:r>
      <w:r>
        <w:t>ement of</w:t>
      </w:r>
      <w:r w:rsidR="15C8AB0F">
        <w:t xml:space="preserve"> tender clarifications and </w:t>
      </w:r>
      <w:r w:rsidR="00F11272">
        <w:t xml:space="preserve">that </w:t>
      </w:r>
      <w:r w:rsidR="15C8AB0F">
        <w:t>all potential suppliers receiv</w:t>
      </w:r>
      <w:r w:rsidR="002424D9">
        <w:t>e</w:t>
      </w:r>
      <w:r w:rsidR="15C8AB0F">
        <w:t xml:space="preserve"> the same information</w:t>
      </w:r>
    </w:p>
    <w:p w14:paraId="0AE1C105" w14:textId="6E0E054A" w:rsidR="003324A3" w:rsidRPr="00387024" w:rsidRDefault="15C8AB0F" w:rsidP="001D2615">
      <w:pPr>
        <w:pStyle w:val="Bulletindent"/>
      </w:pPr>
      <w:r>
        <w:t xml:space="preserve">give suppliers the opportunity to </w:t>
      </w:r>
      <w:r w:rsidR="005A33FC">
        <w:t>assess</w:t>
      </w:r>
      <w:r>
        <w:t xml:space="preserve"> the physical delivery environment</w:t>
      </w:r>
      <w:r w:rsidR="005A33FC">
        <w:t>, including</w:t>
      </w:r>
      <w:r>
        <w:t xml:space="preserve"> issues identified in the due diligence, </w:t>
      </w:r>
      <w:r w:rsidR="005A33FC">
        <w:t>and</w:t>
      </w:r>
      <w:r>
        <w:t xml:space="preserve"> identify any further sources of risk</w:t>
      </w:r>
      <w:r w:rsidR="005A33FC">
        <w:t>. This</w:t>
      </w:r>
      <w:r>
        <w:t xml:space="preserve"> can </w:t>
      </w:r>
      <w:r w:rsidR="005A33FC">
        <w:t xml:space="preserve">lead to greater </w:t>
      </w:r>
      <w:r>
        <w:t>certainty of their costings.</w:t>
      </w:r>
    </w:p>
    <w:p w14:paraId="11B68D73" w14:textId="48980B0B" w:rsidR="003324A3" w:rsidRPr="00387024" w:rsidRDefault="005A33FC" w:rsidP="00834461">
      <w:pPr>
        <w:pStyle w:val="NormalIndent"/>
      </w:pPr>
      <w:r>
        <w:t>T</w:t>
      </w:r>
      <w:r w:rsidRPr="00387024">
        <w:t>o ensure equitable access to all potential suppliers</w:t>
      </w:r>
      <w:r>
        <w:t>,</w:t>
      </w:r>
      <w:r w:rsidRPr="00387024">
        <w:t xml:space="preserve"> </w:t>
      </w:r>
      <w:r>
        <w:t>d</w:t>
      </w:r>
      <w:r w:rsidRPr="00387024">
        <w:t xml:space="preserve">etails </w:t>
      </w:r>
      <w:r w:rsidR="003324A3" w:rsidRPr="00387024">
        <w:t>of industry briefings or site visits</w:t>
      </w:r>
      <w:r>
        <w:t xml:space="preserve"> </w:t>
      </w:r>
      <w:r w:rsidRPr="00387024">
        <w:t>should be clearly outlined in the invitation to tender</w:t>
      </w:r>
      <w:r>
        <w:t xml:space="preserve"> and</w:t>
      </w:r>
      <w:r w:rsidR="003324A3" w:rsidRPr="00387024">
        <w:t xml:space="preserve"> </w:t>
      </w:r>
      <w:r w:rsidRPr="00387024">
        <w:t>includ</w:t>
      </w:r>
      <w:r>
        <w:t>e the</w:t>
      </w:r>
      <w:r w:rsidR="003324A3" w:rsidRPr="00387024">
        <w:t xml:space="preserve"> date, time and location. A register of attendees should be retained for probity purposes. Any information </w:t>
      </w:r>
      <w:r w:rsidRPr="00387024">
        <w:t xml:space="preserve">provided at the </w:t>
      </w:r>
      <w:r>
        <w:t>briefing</w:t>
      </w:r>
      <w:r w:rsidRPr="00387024">
        <w:t xml:space="preserve"> </w:t>
      </w:r>
      <w:r>
        <w:t xml:space="preserve">that was </w:t>
      </w:r>
      <w:r w:rsidRPr="00387024">
        <w:t xml:space="preserve">not clearly addressed in the tender documentation </w:t>
      </w:r>
      <w:r w:rsidR="003324A3" w:rsidRPr="00387024">
        <w:t xml:space="preserve">should be </w:t>
      </w:r>
      <w:r w:rsidRPr="00387024">
        <w:t xml:space="preserve">issued as a tender addendum </w:t>
      </w:r>
      <w:r w:rsidR="003324A3" w:rsidRPr="00387024">
        <w:t>to all interested parties.</w:t>
      </w:r>
    </w:p>
    <w:tbl>
      <w:tblPr>
        <w:tblStyle w:val="DTFtexttableindent"/>
        <w:tblW w:w="8298" w:type="dxa"/>
        <w:tblBorders>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699"/>
        <w:gridCol w:w="7599"/>
      </w:tblGrid>
      <w:tr w:rsidR="00456CEF" w14:paraId="456E50E8" w14:textId="77777777" w:rsidTr="003A7C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9" w:type="dxa"/>
            <w:shd w:val="clear" w:color="auto" w:fill="F2F2F2" w:themeFill="background1" w:themeFillShade="F2"/>
          </w:tcPr>
          <w:p w14:paraId="235D23D6" w14:textId="1CAE26BC" w:rsidR="00456CEF" w:rsidRDefault="00987FC2" w:rsidP="00F7602B">
            <w:r>
              <w:rPr>
                <w:noProof/>
              </w:rPr>
              <w:drawing>
                <wp:inline distT="0" distB="0" distL="0" distR="0" wp14:anchorId="6010C6F2" wp14:editId="60C8C2CB">
                  <wp:extent cx="371475" cy="278607"/>
                  <wp:effectExtent l="0" t="0" r="0" b="7620"/>
                  <wp:docPr id="54" name="Picture 5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599" w:type="dxa"/>
            <w:shd w:val="clear" w:color="auto" w:fill="F2F2F2" w:themeFill="background1" w:themeFillShade="F2"/>
          </w:tcPr>
          <w:p w14:paraId="47347EEA" w14:textId="319D15B4" w:rsidR="00456CEF" w:rsidRPr="00D038A7" w:rsidRDefault="00316520" w:rsidP="00D038A7">
            <w:pPr>
              <w:pStyle w:val="Tabletext"/>
              <w:cnfStyle w:val="100000000000" w:firstRow="1" w:lastRow="0" w:firstColumn="0" w:lastColumn="0" w:oddVBand="0" w:evenVBand="0" w:oddHBand="0" w:evenHBand="0" w:firstRowFirstColumn="0" w:firstRowLastColumn="0" w:lastRowFirstColumn="0" w:lastRowLastColumn="0"/>
              <w:rPr>
                <w:b/>
              </w:rPr>
            </w:pPr>
            <w:r w:rsidRPr="00716A27">
              <w:t>Ministerial Direction and Instruction for Public Construction Procurement</w:t>
            </w:r>
            <w:r w:rsidDel="005751CD">
              <w:t xml:space="preserve"> </w:t>
            </w:r>
            <w:r w:rsidR="00456CEF" w:rsidRPr="00144F94">
              <w:rPr>
                <w:rFonts w:asciiTheme="minorHAnsi" w:hAnsiTheme="minorHAnsi"/>
              </w:rPr>
              <w:t>4.1.2 requires agencies to ensure fair and reasonable allocation of site visits if applicable.</w:t>
            </w:r>
          </w:p>
          <w:p w14:paraId="43F5BD5C" w14:textId="72566564" w:rsidR="00456CEF" w:rsidRPr="00867BAD" w:rsidRDefault="00316520" w:rsidP="00D038A7">
            <w:pPr>
              <w:pStyle w:val="Tabletext"/>
              <w:cnfStyle w:val="100000000000" w:firstRow="1" w:lastRow="0" w:firstColumn="0" w:lastColumn="0" w:oddVBand="0" w:evenVBand="0" w:oddHBand="0" w:evenHBand="0" w:firstRowFirstColumn="0" w:firstRowLastColumn="0" w:lastRowFirstColumn="0" w:lastRowLastColumn="0"/>
            </w:pPr>
            <w:r w:rsidRPr="00716A27">
              <w:t>Ministerial Direction and Instruction for Public Construction Procurement</w:t>
            </w:r>
            <w:r w:rsidDel="005751CD">
              <w:t xml:space="preserve"> </w:t>
            </w:r>
            <w:r w:rsidR="00456CEF" w:rsidRPr="00144F94">
              <w:rPr>
                <w:rFonts w:asciiTheme="minorHAnsi" w:hAnsiTheme="minorHAnsi"/>
              </w:rPr>
              <w:t>4.1.4 requires agencies to keep a record of any site visits if applicable.</w:t>
            </w:r>
          </w:p>
        </w:tc>
      </w:tr>
    </w:tbl>
    <w:p w14:paraId="3422AFFF" w14:textId="77777777" w:rsidR="00456CEF" w:rsidRDefault="00456CEF" w:rsidP="001D2615">
      <w:pPr>
        <w:pStyle w:val="Heading3numbered"/>
        <w:rPr>
          <w:rFonts w:cstheme="minorBidi"/>
        </w:rPr>
      </w:pPr>
      <w:r>
        <w:t>Tender clarifications</w:t>
      </w:r>
    </w:p>
    <w:p w14:paraId="31C689B4" w14:textId="4E293CAD" w:rsidR="00456CEF" w:rsidRDefault="00456CEF" w:rsidP="00834461">
      <w:pPr>
        <w:pStyle w:val="NormalIndent"/>
        <w:rPr>
          <w:rFonts w:eastAsia="Times New Roman"/>
          <w:lang w:val="en"/>
        </w:rPr>
      </w:pPr>
      <w:r w:rsidRPr="002F1856">
        <w:rPr>
          <w:lang w:val="en"/>
        </w:rPr>
        <w:t>Tender clarification</w:t>
      </w:r>
      <w:r w:rsidR="005A33FC">
        <w:rPr>
          <w:lang w:val="en"/>
        </w:rPr>
        <w:t>s</w:t>
      </w:r>
      <w:r>
        <w:rPr>
          <w:rFonts w:eastAsia="Times New Roman"/>
          <w:lang w:val="en"/>
        </w:rPr>
        <w:t xml:space="preserve"> during the tender period</w:t>
      </w:r>
      <w:r w:rsidRPr="002F1856">
        <w:rPr>
          <w:lang w:val="en"/>
        </w:rPr>
        <w:t xml:space="preserve"> </w:t>
      </w:r>
      <w:r w:rsidR="005A33FC">
        <w:rPr>
          <w:lang w:val="en"/>
        </w:rPr>
        <w:t>refer to</w:t>
      </w:r>
      <w:r w:rsidR="002172EE">
        <w:rPr>
          <w:rFonts w:ascii="Calibri" w:hAnsi="Calibri" w:cs="Calibri"/>
          <w:lang w:val="en"/>
        </w:rPr>
        <w:t xml:space="preserve"> </w:t>
      </w:r>
      <w:r w:rsidRPr="002F1856">
        <w:rPr>
          <w:lang w:val="en"/>
        </w:rPr>
        <w:t xml:space="preserve">contact between </w:t>
      </w:r>
      <w:r>
        <w:rPr>
          <w:rFonts w:eastAsia="Times New Roman"/>
          <w:lang w:val="en"/>
        </w:rPr>
        <w:t xml:space="preserve">a </w:t>
      </w:r>
      <w:r w:rsidR="00083843">
        <w:rPr>
          <w:lang w:val="en"/>
        </w:rPr>
        <w:t>tender participant</w:t>
      </w:r>
      <w:r w:rsidR="00083843">
        <w:rPr>
          <w:rFonts w:eastAsia="Times New Roman"/>
          <w:lang w:val="en"/>
        </w:rPr>
        <w:t xml:space="preserve"> </w:t>
      </w:r>
      <w:r>
        <w:rPr>
          <w:rFonts w:eastAsia="Times New Roman"/>
          <w:lang w:val="en"/>
        </w:rPr>
        <w:t>and the agency</w:t>
      </w:r>
      <w:r w:rsidRPr="002F1856">
        <w:rPr>
          <w:lang w:val="en"/>
        </w:rPr>
        <w:t xml:space="preserve"> to clarify aspects of the tender </w:t>
      </w:r>
      <w:r>
        <w:rPr>
          <w:rFonts w:eastAsia="Times New Roman"/>
          <w:lang w:val="en"/>
        </w:rPr>
        <w:t xml:space="preserve">documentation </w:t>
      </w:r>
      <w:r w:rsidR="00B11BDF">
        <w:rPr>
          <w:lang w:val="en"/>
        </w:rPr>
        <w:t xml:space="preserve">that </w:t>
      </w:r>
      <w:r w:rsidRPr="002F1856">
        <w:rPr>
          <w:lang w:val="en"/>
        </w:rPr>
        <w:t>are ambiguous</w:t>
      </w:r>
      <w:r>
        <w:rPr>
          <w:rFonts w:eastAsia="Times New Roman"/>
          <w:lang w:val="en"/>
        </w:rPr>
        <w:t>, inconsistent</w:t>
      </w:r>
      <w:r w:rsidRPr="002F1856">
        <w:rPr>
          <w:lang w:val="en"/>
        </w:rPr>
        <w:t xml:space="preserve"> or irregular.</w:t>
      </w:r>
    </w:p>
    <w:p w14:paraId="289D7D7B" w14:textId="1F098E0B" w:rsidR="00456CEF" w:rsidRPr="002F1856" w:rsidRDefault="00B11BDF" w:rsidP="00834461">
      <w:pPr>
        <w:pStyle w:val="NormalIndent"/>
        <w:rPr>
          <w:color w:val="202124"/>
          <w:sz w:val="27"/>
          <w:szCs w:val="27"/>
        </w:rPr>
      </w:pPr>
      <w:r>
        <w:rPr>
          <w:rFonts w:eastAsia="Times New Roman"/>
        </w:rPr>
        <w:t>T</w:t>
      </w:r>
      <w:r w:rsidR="00456CEF">
        <w:rPr>
          <w:rFonts w:eastAsia="Times New Roman"/>
        </w:rPr>
        <w:t xml:space="preserve">ender clarifications </w:t>
      </w:r>
      <w:r>
        <w:rPr>
          <w:rFonts w:eastAsia="Times New Roman"/>
        </w:rPr>
        <w:t xml:space="preserve">must </w:t>
      </w:r>
      <w:r w:rsidR="00456CEF">
        <w:rPr>
          <w:rFonts w:eastAsia="Times New Roman"/>
        </w:rPr>
        <w:t>not give any one tender participant an advantage.</w:t>
      </w:r>
    </w:p>
    <w:tbl>
      <w:tblPr>
        <w:tblStyle w:val="DTFtexttableindent"/>
        <w:tblW w:w="8298" w:type="dxa"/>
        <w:tblBorders>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699"/>
        <w:gridCol w:w="7599"/>
      </w:tblGrid>
      <w:tr w:rsidR="00456CEF" w14:paraId="2F8BEA07" w14:textId="77777777" w:rsidTr="003A7C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9" w:type="dxa"/>
            <w:shd w:val="clear" w:color="auto" w:fill="F2F2F2" w:themeFill="background1" w:themeFillShade="F2"/>
          </w:tcPr>
          <w:p w14:paraId="3CE3AF46" w14:textId="44F9048A" w:rsidR="00456CEF" w:rsidRPr="001835E7" w:rsidRDefault="00144F94" w:rsidP="00144F94">
            <w:pPr>
              <w:pStyle w:val="Tabletext"/>
              <w:keepNext w:val="0"/>
              <w:rPr>
                <w:b/>
              </w:rPr>
            </w:pPr>
            <w:r>
              <w:rPr>
                <w:noProof/>
              </w:rPr>
              <w:drawing>
                <wp:inline distT="0" distB="0" distL="0" distR="0" wp14:anchorId="202FF36F" wp14:editId="24FEDF49">
                  <wp:extent cx="371475" cy="278607"/>
                  <wp:effectExtent l="0" t="0" r="0" b="7620"/>
                  <wp:docPr id="55" name="Picture 5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599" w:type="dxa"/>
            <w:shd w:val="clear" w:color="auto" w:fill="F2F2F2" w:themeFill="background1" w:themeFillShade="F2"/>
          </w:tcPr>
          <w:p w14:paraId="05C7F73C" w14:textId="71E703D6" w:rsidR="00456CEF" w:rsidRPr="00144F94" w:rsidRDefault="00DB018A" w:rsidP="001835E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000000"/>
              </w:rPr>
            </w:pPr>
            <w:r w:rsidRPr="00716A27">
              <w:t>Ministerial Direction and Instruction for Public Construction Procurement</w:t>
            </w:r>
            <w:r w:rsidDel="005751CD">
              <w:t xml:space="preserve"> </w:t>
            </w:r>
            <w:r w:rsidR="00456CEF" w:rsidRPr="00144F94">
              <w:rPr>
                <w:rFonts w:asciiTheme="minorHAnsi" w:hAnsiTheme="minorHAnsi"/>
              </w:rPr>
              <w:t>4.2.1 requires agencies to es</w:t>
            </w:r>
            <w:r w:rsidR="00456CEF" w:rsidRPr="00144F94">
              <w:rPr>
                <w:rFonts w:asciiTheme="minorHAnsi" w:hAnsiTheme="minorHAnsi" w:cs="Arial"/>
                <w:color w:val="000000"/>
              </w:rPr>
              <w:t xml:space="preserve">tablish a clear process for receiving and responding to questions and </w:t>
            </w:r>
            <w:r w:rsidR="00B11BDF">
              <w:rPr>
                <w:rFonts w:asciiTheme="minorHAnsi" w:hAnsiTheme="minorHAnsi" w:cs="Arial"/>
                <w:color w:val="000000"/>
              </w:rPr>
              <w:t xml:space="preserve">requests for </w:t>
            </w:r>
            <w:r w:rsidR="00456CEF" w:rsidRPr="00144F94">
              <w:rPr>
                <w:rFonts w:asciiTheme="minorHAnsi" w:hAnsiTheme="minorHAnsi" w:cs="Arial"/>
                <w:color w:val="000000"/>
              </w:rPr>
              <w:t>clarification.</w:t>
            </w:r>
          </w:p>
          <w:p w14:paraId="6364745D" w14:textId="6435B7A8" w:rsidR="00456CEF" w:rsidRPr="00144F94" w:rsidRDefault="00DB018A" w:rsidP="001835E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Arial"/>
                <w:b/>
                <w:color w:val="000000"/>
              </w:rPr>
            </w:pPr>
            <w:r w:rsidRPr="00716A27">
              <w:t>Ministerial Direction and Instruction for Public Construction Procurement</w:t>
            </w:r>
            <w:r w:rsidDel="005751CD">
              <w:t xml:space="preserve"> </w:t>
            </w:r>
            <w:r w:rsidR="00456CEF" w:rsidRPr="00144F94">
              <w:rPr>
                <w:rFonts w:asciiTheme="minorHAnsi" w:hAnsiTheme="minorHAnsi" w:cs="Arial"/>
                <w:color w:val="000000"/>
              </w:rPr>
              <w:t>4.1.4 requires agencies to maintain a record of all communication with tender participants.</w:t>
            </w:r>
          </w:p>
          <w:p w14:paraId="1FD0FD23" w14:textId="7CC96C54" w:rsidR="00456CEF" w:rsidRPr="001835E7" w:rsidRDefault="00DB018A" w:rsidP="001835E7">
            <w:pPr>
              <w:pStyle w:val="Tabletext"/>
              <w:cnfStyle w:val="100000000000" w:firstRow="1" w:lastRow="0" w:firstColumn="0" w:lastColumn="0" w:oddVBand="0" w:evenVBand="0" w:oddHBand="0" w:evenHBand="0" w:firstRowFirstColumn="0" w:firstRowLastColumn="0" w:lastRowFirstColumn="0" w:lastRowLastColumn="0"/>
              <w:rPr>
                <w:rFonts w:cs="Arial"/>
                <w:b/>
                <w:color w:val="000000"/>
              </w:rPr>
            </w:pPr>
            <w:r w:rsidRPr="00716A27">
              <w:t>Ministerial Direction and Instruction for Public Construction Procurement</w:t>
            </w:r>
            <w:r w:rsidDel="005751CD">
              <w:t xml:space="preserve"> </w:t>
            </w:r>
            <w:r w:rsidR="00456CEF" w:rsidRPr="00144F94">
              <w:rPr>
                <w:rFonts w:asciiTheme="minorHAnsi" w:hAnsiTheme="minorHAnsi" w:cs="Arial"/>
                <w:color w:val="000000"/>
              </w:rPr>
              <w:t xml:space="preserve">4.1.2 requires agencies to ensure that all tender participants are promptly informed of any new information relevant to the tender process that is provided to any tender participant. </w:t>
            </w:r>
          </w:p>
        </w:tc>
      </w:tr>
    </w:tbl>
    <w:p w14:paraId="259DDEDE" w14:textId="77777777" w:rsidR="00456CEF" w:rsidRPr="005E64E0" w:rsidRDefault="00456CEF" w:rsidP="00976D3F">
      <w:pPr>
        <w:pStyle w:val="Heading3numbered"/>
        <w:spacing w:after="0"/>
      </w:pPr>
      <w:r w:rsidRPr="005E64E0">
        <w:t>Addenda</w:t>
      </w:r>
    </w:p>
    <w:tbl>
      <w:tblPr>
        <w:tblStyle w:val="DTFtexttableindent"/>
        <w:tblW w:w="8298" w:type="dxa"/>
        <w:tblBorders>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699"/>
        <w:gridCol w:w="7599"/>
      </w:tblGrid>
      <w:tr w:rsidR="00456CEF" w:rsidRPr="00867BAD" w14:paraId="68AD0633" w14:textId="77777777" w:rsidTr="003A7C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9" w:type="dxa"/>
            <w:shd w:val="clear" w:color="auto" w:fill="F2F2F2" w:themeFill="background1" w:themeFillShade="F2"/>
          </w:tcPr>
          <w:p w14:paraId="347BB9B3" w14:textId="06799D43" w:rsidR="00456CEF" w:rsidRDefault="00144F94" w:rsidP="00F7602B">
            <w:r>
              <w:rPr>
                <w:noProof/>
              </w:rPr>
              <w:drawing>
                <wp:inline distT="0" distB="0" distL="0" distR="0" wp14:anchorId="0292D6B4" wp14:editId="21FA93A5">
                  <wp:extent cx="371475" cy="278607"/>
                  <wp:effectExtent l="0" t="0" r="0" b="7620"/>
                  <wp:docPr id="56" name="Picture 5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599" w:type="dxa"/>
            <w:shd w:val="clear" w:color="auto" w:fill="F2F2F2" w:themeFill="background1" w:themeFillShade="F2"/>
          </w:tcPr>
          <w:p w14:paraId="098FD3B5" w14:textId="7F9A310B" w:rsidR="00456CEF" w:rsidRPr="00144F94" w:rsidRDefault="00A1781C" w:rsidP="001835E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716A27">
              <w:t>Ministerial Direction and Instruction for Public Construction Procurement</w:t>
            </w:r>
            <w:r w:rsidDel="005751CD">
              <w:t xml:space="preserve"> </w:t>
            </w:r>
            <w:r w:rsidR="00456CEF" w:rsidRPr="00144F94">
              <w:rPr>
                <w:rFonts w:asciiTheme="minorHAnsi" w:hAnsiTheme="minorHAnsi"/>
              </w:rPr>
              <w:t>3.6.3 states that agencies should avoid making changes to the tender documentation during the tender period.</w:t>
            </w:r>
          </w:p>
          <w:p w14:paraId="6DB98BC3" w14:textId="77777777" w:rsidR="00456CEF" w:rsidRPr="00144F94" w:rsidRDefault="00456CEF" w:rsidP="001835E7">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144F94">
              <w:rPr>
                <w:rFonts w:asciiTheme="minorHAnsi" w:hAnsiTheme="minorHAnsi"/>
              </w:rPr>
              <w:t>If changes are unavoidable, agencies should ensure that:</w:t>
            </w:r>
          </w:p>
          <w:p w14:paraId="02339CD9" w14:textId="59586689" w:rsidR="00456CEF" w:rsidRPr="00144F94" w:rsidRDefault="00E202F2" w:rsidP="00976D3F">
            <w:pPr>
              <w:pStyle w:val="Tablebullet"/>
              <w:spacing w:before="40" w:after="40"/>
              <w:cnfStyle w:val="100000000000" w:firstRow="1" w:lastRow="0" w:firstColumn="0" w:lastColumn="0" w:oddVBand="0" w:evenVBand="0" w:oddHBand="0" w:evenHBand="0" w:firstRowFirstColumn="0" w:firstRowLastColumn="0" w:lastRowFirstColumn="0" w:lastRowLastColumn="0"/>
              <w:rPr>
                <w:b/>
              </w:rPr>
            </w:pPr>
            <w:r w:rsidRPr="00F454ED">
              <w:rPr>
                <w:rFonts w:asciiTheme="minorHAnsi" w:hAnsiTheme="minorHAnsi"/>
              </w:rPr>
              <w:t>t</w:t>
            </w:r>
            <w:r w:rsidR="282846A6" w:rsidRPr="00F454ED">
              <w:rPr>
                <w:rFonts w:asciiTheme="minorHAnsi" w:hAnsiTheme="minorHAnsi"/>
              </w:rPr>
              <w:t xml:space="preserve">ender participants have a reasonable </w:t>
            </w:r>
            <w:r w:rsidR="00B11BDF">
              <w:rPr>
                <w:rFonts w:asciiTheme="minorHAnsi" w:hAnsiTheme="minorHAnsi"/>
              </w:rPr>
              <w:t xml:space="preserve">amount of </w:t>
            </w:r>
            <w:r w:rsidR="282846A6" w:rsidRPr="00F454ED">
              <w:rPr>
                <w:rFonts w:asciiTheme="minorHAnsi" w:hAnsiTheme="minorHAnsi"/>
              </w:rPr>
              <w:t xml:space="preserve">time to consider the changes and address </w:t>
            </w:r>
            <w:r w:rsidR="00B11BDF">
              <w:rPr>
                <w:rFonts w:asciiTheme="minorHAnsi" w:hAnsiTheme="minorHAnsi"/>
              </w:rPr>
              <w:t xml:space="preserve">them </w:t>
            </w:r>
            <w:r w:rsidR="282846A6" w:rsidRPr="00F454ED">
              <w:rPr>
                <w:rFonts w:asciiTheme="minorHAnsi" w:hAnsiTheme="minorHAnsi"/>
              </w:rPr>
              <w:t>within their submissions</w:t>
            </w:r>
          </w:p>
          <w:p w14:paraId="1114DE9E" w14:textId="2FDD2EE9" w:rsidR="00456CEF" w:rsidRPr="001835E7" w:rsidRDefault="00E202F2" w:rsidP="00976D3F">
            <w:pPr>
              <w:pStyle w:val="Tablebullet"/>
              <w:spacing w:before="40" w:after="40"/>
              <w:cnfStyle w:val="100000000000" w:firstRow="1" w:lastRow="0" w:firstColumn="0" w:lastColumn="0" w:oddVBand="0" w:evenVBand="0" w:oddHBand="0" w:evenHBand="0" w:firstRowFirstColumn="0" w:firstRowLastColumn="0" w:lastRowFirstColumn="0" w:lastRowLastColumn="0"/>
              <w:rPr>
                <w:b/>
              </w:rPr>
            </w:pPr>
            <w:r w:rsidRPr="00F454ED">
              <w:rPr>
                <w:rFonts w:asciiTheme="minorHAnsi" w:hAnsiTheme="minorHAnsi"/>
              </w:rPr>
              <w:t>a</w:t>
            </w:r>
            <w:r w:rsidR="282846A6" w:rsidRPr="00F454ED">
              <w:rPr>
                <w:rFonts w:asciiTheme="minorHAnsi" w:hAnsiTheme="minorHAnsi"/>
              </w:rPr>
              <w:t xml:space="preserve">ny changes are consistent with the </w:t>
            </w:r>
            <w:r w:rsidR="000F0F6F" w:rsidRPr="00716A27">
              <w:t>Ministerial Direction</w:t>
            </w:r>
            <w:r w:rsidR="000F0F6F">
              <w:t>s</w:t>
            </w:r>
            <w:r w:rsidR="000F0F6F" w:rsidRPr="00716A27">
              <w:t xml:space="preserve"> and Instruction</w:t>
            </w:r>
            <w:r w:rsidR="000F0F6F">
              <w:t>s</w:t>
            </w:r>
            <w:r w:rsidR="000F0F6F" w:rsidRPr="00716A27">
              <w:t xml:space="preserve"> for Public Construction Procurement</w:t>
            </w:r>
            <w:r w:rsidR="000F0F6F" w:rsidDel="005751CD">
              <w:t xml:space="preserve"> </w:t>
            </w:r>
            <w:r w:rsidR="000F0F6F">
              <w:t>(</w:t>
            </w:r>
            <w:r w:rsidR="282846A6" w:rsidRPr="00F454ED">
              <w:rPr>
                <w:rFonts w:asciiTheme="minorHAnsi" w:hAnsiTheme="minorHAnsi"/>
              </w:rPr>
              <w:t xml:space="preserve">probity principle 1.2 and </w:t>
            </w:r>
            <w:r w:rsidR="006E63D3">
              <w:rPr>
                <w:rFonts w:asciiTheme="minorHAnsi" w:hAnsiTheme="minorHAnsi"/>
              </w:rPr>
              <w:t xml:space="preserve">managing probity </w:t>
            </w:r>
            <w:r w:rsidR="282846A6" w:rsidRPr="00F454ED">
              <w:rPr>
                <w:rFonts w:asciiTheme="minorHAnsi" w:hAnsiTheme="minorHAnsi"/>
              </w:rPr>
              <w:t>requirements 4.1).</w:t>
            </w:r>
          </w:p>
        </w:tc>
      </w:tr>
    </w:tbl>
    <w:p w14:paraId="50D3C937" w14:textId="4A3994D5" w:rsidR="00456CEF" w:rsidRPr="001938B8" w:rsidRDefault="00E202F2" w:rsidP="00FE29CC">
      <w:pPr>
        <w:pStyle w:val="NormalIndent"/>
        <w:spacing w:before="110" w:after="110"/>
      </w:pPr>
      <w:r>
        <w:t>D</w:t>
      </w:r>
      <w:r w:rsidR="00456CEF" w:rsidRPr="003D5023">
        <w:t>uring the tender development phase</w:t>
      </w:r>
      <w:r>
        <w:t xml:space="preserve">, agencies </w:t>
      </w:r>
      <w:r w:rsidR="003A21EB">
        <w:t>shou</w:t>
      </w:r>
      <w:r w:rsidR="008E5280">
        <w:t>ld</w:t>
      </w:r>
      <w:r w:rsidR="00456CEF" w:rsidRPr="003D5023">
        <w:t xml:space="preserve"> ensure adequate due diligence and project documentation is carried out prior to finalising tender documents to minimise the need for addenda. Where amendments are unavoidable, they must be provided as an addendum to all tenderers.</w:t>
      </w:r>
    </w:p>
    <w:p w14:paraId="67DB1207" w14:textId="77777777" w:rsidR="00456CEF" w:rsidRPr="001938B8" w:rsidRDefault="00456CEF" w:rsidP="00FE29CC">
      <w:pPr>
        <w:pStyle w:val="NormalIndent"/>
        <w:spacing w:before="110" w:after="110"/>
      </w:pPr>
      <w:r w:rsidRPr="003D5023">
        <w:t>Where changes are significant or complex, or are issued during the five working days prior to the tender closing, the procurement team should consider extending the tender period</w:t>
      </w:r>
      <w:r>
        <w:t xml:space="preserve"> to provide tender participants with sufficient time to address the change in their responses</w:t>
      </w:r>
      <w:r w:rsidRPr="003D5023">
        <w:t>.</w:t>
      </w:r>
    </w:p>
    <w:p w14:paraId="5A4F8895" w14:textId="535D68E0" w:rsidR="00456CEF" w:rsidRPr="001938B8" w:rsidRDefault="00456CEF" w:rsidP="00FE29CC">
      <w:pPr>
        <w:pStyle w:val="NormalIndent"/>
        <w:spacing w:before="110" w:after="110"/>
      </w:pPr>
      <w:r w:rsidRPr="003D5023">
        <w:t xml:space="preserve">Receipt of addenda should be acknowledged with submitted tenders. This avoids the possibility of </w:t>
      </w:r>
      <w:r>
        <w:t>agencies</w:t>
      </w:r>
      <w:r w:rsidRPr="003D5023">
        <w:t xml:space="preserve"> assessing tenders that have been based on different assumptions and information.</w:t>
      </w:r>
    </w:p>
    <w:p w14:paraId="3837A780" w14:textId="77777777" w:rsidR="003324A3" w:rsidRDefault="003324A3" w:rsidP="00976D3F">
      <w:pPr>
        <w:pStyle w:val="Heading3numbered"/>
        <w:spacing w:after="60"/>
        <w:rPr>
          <w:rFonts w:cstheme="minorBidi"/>
        </w:rPr>
      </w:pPr>
      <w:r w:rsidRPr="00387024">
        <w:t>Interactive tendering</w:t>
      </w:r>
    </w:p>
    <w:p w14:paraId="4A21BE81" w14:textId="293BC973" w:rsidR="00456CEF" w:rsidRDefault="00456CEF" w:rsidP="00976D3F">
      <w:pPr>
        <w:pStyle w:val="NormalIndent"/>
        <w:spacing w:before="60" w:after="110"/>
      </w:pPr>
      <w:r>
        <w:t xml:space="preserve">Interactive tendering is encouraged for complex infrastructure procurement. </w:t>
      </w:r>
      <w:r w:rsidRPr="00CC2F0A">
        <w:t>Interactive tendering occurs whe</w:t>
      </w:r>
      <w:r w:rsidR="00634C19">
        <w:t>n</w:t>
      </w:r>
      <w:r w:rsidRPr="00CC2F0A">
        <w:t xml:space="preserve"> there is opportunity for an appropriate amount of active interface and dialogue between the tendering agency and tenderers</w:t>
      </w:r>
      <w:r w:rsidR="00192B26">
        <w:t>.</w:t>
      </w:r>
    </w:p>
    <w:p w14:paraId="0B962F03" w14:textId="2A25535D" w:rsidR="00456CEF" w:rsidRDefault="00192B26" w:rsidP="00FE29CC">
      <w:pPr>
        <w:pStyle w:val="NormalIndent"/>
        <w:spacing w:before="110" w:after="110"/>
      </w:pPr>
      <w:r>
        <w:t>The h</w:t>
      </w:r>
      <w:r w:rsidRPr="00CC2F0A">
        <w:t>istorical</w:t>
      </w:r>
      <w:r>
        <w:t xml:space="preserve"> </w:t>
      </w:r>
      <w:r w:rsidR="00456CEF">
        <w:t>practice</w:t>
      </w:r>
      <w:r>
        <w:t xml:space="preserve"> of maintaining</w:t>
      </w:r>
      <w:r w:rsidR="00456CEF">
        <w:t xml:space="preserve"> </w:t>
      </w:r>
      <w:r w:rsidR="00456CEF" w:rsidRPr="00CC2F0A">
        <w:t>little or no verbal communication with tenderers during the tender phase</w:t>
      </w:r>
      <w:r w:rsidR="00456CEF">
        <w:t xml:space="preserve"> </w:t>
      </w:r>
      <w:r>
        <w:t xml:space="preserve">is </w:t>
      </w:r>
      <w:r w:rsidR="00456CEF">
        <w:t>discouraged for infrastructure delivery</w:t>
      </w:r>
      <w:r>
        <w:t xml:space="preserve">, because </w:t>
      </w:r>
      <w:r w:rsidR="006203FF">
        <w:t xml:space="preserve">it </w:t>
      </w:r>
      <w:r w:rsidR="003E3145">
        <w:t>can</w:t>
      </w:r>
      <w:r w:rsidR="00E202F2">
        <w:t xml:space="preserve"> </w:t>
      </w:r>
      <w:r w:rsidR="00456CEF" w:rsidRPr="00CC2F0A">
        <w:t>le</w:t>
      </w:r>
      <w:r w:rsidR="003E3145">
        <w:t>a</w:t>
      </w:r>
      <w:r w:rsidR="00456CEF" w:rsidRPr="00CC2F0A">
        <w:t>d to</w:t>
      </w:r>
      <w:r w:rsidR="00456CEF">
        <w:t xml:space="preserve"> </w:t>
      </w:r>
      <w:r w:rsidR="003E3145">
        <w:t xml:space="preserve">tenderers </w:t>
      </w:r>
      <w:r w:rsidR="00456CEF">
        <w:t>misunderstanding</w:t>
      </w:r>
      <w:r w:rsidR="003E3145">
        <w:t xml:space="preserve"> the</w:t>
      </w:r>
      <w:r w:rsidR="00456CEF">
        <w:t xml:space="preserve"> project scope and deliverables</w:t>
      </w:r>
      <w:r w:rsidR="003E3145">
        <w:t>,</w:t>
      </w:r>
      <w:r w:rsidR="00456CEF">
        <w:t xml:space="preserve"> </w:t>
      </w:r>
      <w:r w:rsidR="003E3145">
        <w:t xml:space="preserve">which can </w:t>
      </w:r>
      <w:r w:rsidR="00CA39B9">
        <w:t>result in avoidable</w:t>
      </w:r>
      <w:r w:rsidR="00456CEF" w:rsidRPr="00CC2F0A">
        <w:t xml:space="preserve"> disputes</w:t>
      </w:r>
      <w:r w:rsidR="00456CEF">
        <w:t xml:space="preserve"> </w:t>
      </w:r>
      <w:r w:rsidR="00456CEF" w:rsidRPr="00CC2F0A">
        <w:t>during the contract term.</w:t>
      </w:r>
    </w:p>
    <w:p w14:paraId="4EC28F8D" w14:textId="77BE78D2" w:rsidR="00D72AA1" w:rsidRDefault="00456CEF" w:rsidP="00FE29CC">
      <w:pPr>
        <w:pStyle w:val="NormalIndent"/>
        <w:spacing w:before="110" w:after="110"/>
      </w:pPr>
      <w:r>
        <w:t xml:space="preserve">Interactive tendering provides each tender participant team </w:t>
      </w:r>
      <w:r w:rsidR="00CA39B9">
        <w:t xml:space="preserve">an opportunity </w:t>
      </w:r>
      <w:r>
        <w:t>to discuss their bid with the client team as they develop and refine th</w:t>
      </w:r>
      <w:r w:rsidR="00CA39B9">
        <w:t>e technical and commercial aspects of their</w:t>
      </w:r>
      <w:r w:rsidR="00AE3F0F">
        <w:t xml:space="preserve"> </w:t>
      </w:r>
      <w:r>
        <w:t xml:space="preserve">response. </w:t>
      </w:r>
    </w:p>
    <w:p w14:paraId="48252318" w14:textId="7FD52BAD" w:rsidR="00D72AA1" w:rsidRDefault="00D72AA1" w:rsidP="00FE29CC">
      <w:pPr>
        <w:pStyle w:val="NormalIndent"/>
        <w:spacing w:before="110" w:after="110"/>
      </w:pPr>
      <w:r w:rsidRPr="00CC32EE">
        <w:t>I</w:t>
      </w:r>
      <w:r>
        <w:t>n</w:t>
      </w:r>
      <w:r w:rsidRPr="00CC32EE">
        <w:t>t</w:t>
      </w:r>
      <w:r>
        <w:t>eractive tendering</w:t>
      </w:r>
      <w:r w:rsidRPr="00CC32EE">
        <w:t xml:space="preserve"> can encourage innovative solutions to </w:t>
      </w:r>
      <w:r>
        <w:t>g</w:t>
      </w:r>
      <w:r w:rsidRPr="00CC32EE">
        <w:t>overnment need</w:t>
      </w:r>
      <w:r>
        <w:t xml:space="preserve"> </w:t>
      </w:r>
      <w:r w:rsidRPr="00387024">
        <w:t xml:space="preserve">and provides a mechanism for </w:t>
      </w:r>
      <w:r>
        <w:t xml:space="preserve">tenderers </w:t>
      </w:r>
      <w:r w:rsidRPr="00387024">
        <w:t xml:space="preserve">to </w:t>
      </w:r>
      <w:r w:rsidR="005B7F1D">
        <w:t xml:space="preserve">test their responses </w:t>
      </w:r>
      <w:r w:rsidR="00D07F6D">
        <w:t>in a confidential environment.</w:t>
      </w:r>
    </w:p>
    <w:p w14:paraId="1B9638E5" w14:textId="066ABEC4" w:rsidR="00456CEF" w:rsidRPr="009C7797" w:rsidRDefault="00456CEF" w:rsidP="00FE29CC">
      <w:pPr>
        <w:pStyle w:val="NormalIndent"/>
        <w:spacing w:before="110" w:after="110"/>
      </w:pPr>
      <w:r w:rsidRPr="00CC2F0A">
        <w:t>The primary aim of interactive tendering is to improve the quality of the tender submissions and the project outcome by:</w:t>
      </w:r>
    </w:p>
    <w:p w14:paraId="6D116282" w14:textId="7E422477" w:rsidR="00456CEF" w:rsidRPr="009C7797" w:rsidRDefault="282846A6" w:rsidP="00976D3F">
      <w:pPr>
        <w:pStyle w:val="Bulletindent"/>
        <w:spacing w:before="40" w:after="40"/>
        <w:ind w:right="-64"/>
      </w:pPr>
      <w:r>
        <w:t>expanding and clarifying tenderers</w:t>
      </w:r>
      <w:r w:rsidR="00344D3F">
        <w:t>’</w:t>
      </w:r>
      <w:r>
        <w:t xml:space="preserve"> understanding of government requirements, including the tender requirements, project brief and</w:t>
      </w:r>
      <w:r w:rsidR="00BD5B23">
        <w:t xml:space="preserve"> </w:t>
      </w:r>
      <w:r>
        <w:t>client expectations</w:t>
      </w:r>
    </w:p>
    <w:p w14:paraId="4EFD13B4" w14:textId="0FD1780C" w:rsidR="003324A3" w:rsidRPr="00387024" w:rsidRDefault="00447E92" w:rsidP="00976D3F">
      <w:pPr>
        <w:pStyle w:val="Bulletindent"/>
        <w:spacing w:before="40" w:after="40"/>
      </w:pPr>
      <w:r>
        <w:t xml:space="preserve">avoiding </w:t>
      </w:r>
      <w:r w:rsidR="15C8AB0F">
        <w:t xml:space="preserve">tenderers </w:t>
      </w:r>
      <w:r>
        <w:t xml:space="preserve">incurring </w:t>
      </w:r>
      <w:r w:rsidR="15C8AB0F">
        <w:t>costs</w:t>
      </w:r>
      <w:r w:rsidR="000F012B">
        <w:t xml:space="preserve"> </w:t>
      </w:r>
      <w:r w:rsidR="00BD5B23">
        <w:t>from a</w:t>
      </w:r>
      <w:r w:rsidR="15C8AB0F">
        <w:t xml:space="preserve"> misunderstanding or misinterpretation of the tender requirements</w:t>
      </w:r>
    </w:p>
    <w:p w14:paraId="5DE9D19B" w14:textId="55E19E49" w:rsidR="003324A3" w:rsidRPr="00387024" w:rsidRDefault="005F03AE" w:rsidP="00976D3F">
      <w:pPr>
        <w:pStyle w:val="Bulletindent"/>
        <w:spacing w:before="40" w:after="40"/>
      </w:pPr>
      <w:r>
        <w:t xml:space="preserve">preventing </w:t>
      </w:r>
      <w:r w:rsidR="00331620">
        <w:t xml:space="preserve">a re-tendering process by ensuring that </w:t>
      </w:r>
      <w:r w:rsidR="008C30F4">
        <w:t>submitted</w:t>
      </w:r>
      <w:r w:rsidR="15C8AB0F">
        <w:t xml:space="preserve"> tenders meet</w:t>
      </w:r>
      <w:r w:rsidR="00331620">
        <w:t xml:space="preserve"> </w:t>
      </w:r>
      <w:r w:rsidR="15C8AB0F">
        <w:t>the tender requirement</w:t>
      </w:r>
      <w:r w:rsidR="00331620">
        <w:t>s</w:t>
      </w:r>
      <w:r w:rsidR="15C8AB0F">
        <w:t>.</w:t>
      </w:r>
    </w:p>
    <w:p w14:paraId="6E1B12C1" w14:textId="2BAE0A2D" w:rsidR="003324A3" w:rsidRPr="00387024" w:rsidRDefault="00E202F2" w:rsidP="00EC64B4">
      <w:pPr>
        <w:pStyle w:val="NormalIndent"/>
        <w:keepNext/>
      </w:pPr>
      <w:r w:rsidRPr="00387024">
        <w:t>Generally</w:t>
      </w:r>
      <w:r w:rsidRPr="00387024">
        <w:rPr>
          <w:rFonts w:hint="eastAsia"/>
        </w:rPr>
        <w:t>,</w:t>
      </w:r>
      <w:r w:rsidR="003324A3" w:rsidRPr="00387024">
        <w:t xml:space="preserve"> tenderers have two ways of obtaining feedback from the agency during the tender phase:</w:t>
      </w:r>
    </w:p>
    <w:p w14:paraId="1FAB6216" w14:textId="394DEC69" w:rsidR="003324A3" w:rsidRPr="00387024" w:rsidRDefault="0060185C" w:rsidP="001D2615">
      <w:pPr>
        <w:pStyle w:val="Bulletindent"/>
      </w:pPr>
      <w:r>
        <w:t xml:space="preserve">in a </w:t>
      </w:r>
      <w:r w:rsidR="00E202F2" w:rsidRPr="00F844AB">
        <w:rPr>
          <w:b/>
          <w:bCs/>
        </w:rPr>
        <w:t>Q&amp;A process</w:t>
      </w:r>
      <w:r w:rsidR="00E202F2">
        <w:t xml:space="preserve"> </w:t>
      </w:r>
      <w:r w:rsidR="15C8AB0F">
        <w:t xml:space="preserve">tenderers submit questions to the procurement team in writing, </w:t>
      </w:r>
      <w:r w:rsidR="00451F7B">
        <w:t xml:space="preserve">and </w:t>
      </w:r>
      <w:r w:rsidR="15C8AB0F">
        <w:t xml:space="preserve">the procurement team </w:t>
      </w:r>
      <w:r w:rsidR="00451F7B">
        <w:t xml:space="preserve">provides </w:t>
      </w:r>
      <w:r w:rsidR="15C8AB0F">
        <w:t xml:space="preserve">written responses </w:t>
      </w:r>
    </w:p>
    <w:p w14:paraId="0CDEB618" w14:textId="1F942699" w:rsidR="00456CEF" w:rsidRPr="001938B8" w:rsidRDefault="00451F7B" w:rsidP="001D2615">
      <w:pPr>
        <w:pStyle w:val="Bulletindent"/>
      </w:pPr>
      <w:r>
        <w:t>in an</w:t>
      </w:r>
      <w:r w:rsidRPr="00F844AB">
        <w:rPr>
          <w:b/>
          <w:bCs/>
        </w:rPr>
        <w:t xml:space="preserve"> </w:t>
      </w:r>
      <w:r w:rsidR="00E202F2" w:rsidRPr="00F844AB">
        <w:rPr>
          <w:b/>
          <w:bCs/>
        </w:rPr>
        <w:t>interactive tender proces</w:t>
      </w:r>
      <w:r w:rsidR="00E202F2" w:rsidRPr="00451F7B">
        <w:rPr>
          <w:b/>
          <w:bCs/>
        </w:rPr>
        <w:t>s</w:t>
      </w:r>
      <w:r w:rsidR="00E202F2">
        <w:t xml:space="preserve"> </w:t>
      </w:r>
      <w:r w:rsidR="282846A6">
        <w:t>individual tender teams participate in structured workshops involving the procurement team and other project stakeholders if necessary</w:t>
      </w:r>
      <w:r w:rsidR="00E202F2">
        <w:t>.</w:t>
      </w:r>
    </w:p>
    <w:p w14:paraId="56FC70DD" w14:textId="418D371C" w:rsidR="003324A3" w:rsidRPr="00387024" w:rsidRDefault="00456CEF" w:rsidP="00834461">
      <w:pPr>
        <w:pStyle w:val="NormalIndent"/>
      </w:pPr>
      <w:r w:rsidRPr="00492E28">
        <w:t xml:space="preserve">The interactive tender process is </w:t>
      </w:r>
      <w:r>
        <w:t>essential for</w:t>
      </w:r>
      <w:r w:rsidRPr="00492E28">
        <w:t xml:space="preserve"> complex projects. It is often used for </w:t>
      </w:r>
      <w:r w:rsidR="004E10DD">
        <w:rPr>
          <w:rFonts w:hint="eastAsia"/>
        </w:rPr>
        <w:t>W</w:t>
      </w:r>
      <w:r w:rsidR="001C744E">
        <w:t>hole of Life</w:t>
      </w:r>
      <w:r>
        <w:t xml:space="preserve"> procurements</w:t>
      </w:r>
      <w:r w:rsidRPr="00492E28">
        <w:t>, particularly community partnerships</w:t>
      </w:r>
      <w:r w:rsidR="003324A3">
        <w:t xml:space="preserve"> where there is </w:t>
      </w:r>
      <w:r w:rsidR="009A6857">
        <w:t xml:space="preserve">often </w:t>
      </w:r>
      <w:r w:rsidR="003324A3">
        <w:t xml:space="preserve">a considerable interface risk between private sector infrastructure providers and </w:t>
      </w:r>
      <w:r w:rsidR="007D59DC">
        <w:t xml:space="preserve">government </w:t>
      </w:r>
      <w:r w:rsidR="003324A3">
        <w:t>operators.</w:t>
      </w:r>
    </w:p>
    <w:p w14:paraId="2D82A654" w14:textId="7D99787B" w:rsidR="003324A3" w:rsidRPr="00387024" w:rsidRDefault="00457690" w:rsidP="00834461">
      <w:pPr>
        <w:pStyle w:val="NormalIndent"/>
      </w:pPr>
      <w:r>
        <w:t>More</w:t>
      </w:r>
      <w:r w:rsidRPr="00387024">
        <w:t xml:space="preserve"> </w:t>
      </w:r>
      <w:r w:rsidR="003324A3" w:rsidRPr="00387024">
        <w:t xml:space="preserve">information </w:t>
      </w:r>
      <w:r>
        <w:t>about</w:t>
      </w:r>
      <w:r w:rsidRPr="00387024">
        <w:t xml:space="preserve"> </w:t>
      </w:r>
      <w:r w:rsidR="003324A3" w:rsidRPr="00387024">
        <w:t>best</w:t>
      </w:r>
      <w:r>
        <w:t>-</w:t>
      </w:r>
      <w:r w:rsidR="003324A3" w:rsidRPr="00387024">
        <w:t xml:space="preserve">practice interactive tendering is available in the </w:t>
      </w:r>
      <w:bookmarkStart w:id="422" w:name="OLE_LINK74"/>
      <w:bookmarkStart w:id="423" w:name="OLE_LINK75"/>
      <w:r w:rsidR="005676BF">
        <w:t>N</w:t>
      </w:r>
      <w:r w:rsidR="003324A3" w:rsidRPr="00387024">
        <w:t>ational PPP guidelines</w:t>
      </w:r>
      <w:bookmarkEnd w:id="422"/>
      <w:bookmarkEnd w:id="423"/>
      <w:r w:rsidR="00E30F35">
        <w:t xml:space="preserve"> available at: </w:t>
      </w:r>
      <w:r w:rsidR="00E30F35" w:rsidRPr="00E30F35">
        <w:t>https://www.infrastructure.gov.au/infrastructure-transport-vehicles/infrastructure-investment-project-delivery/national-guidelines-infrastructure-project-delivery</w:t>
      </w:r>
      <w:r w:rsidR="003324A3" w:rsidRPr="00387024">
        <w:t xml:space="preserve">. </w:t>
      </w:r>
      <w:r w:rsidR="00CF4DB8">
        <w:t>Because t</w:t>
      </w:r>
      <w:r w:rsidR="00CF4DB8" w:rsidRPr="00387024">
        <w:t xml:space="preserve">he </w:t>
      </w:r>
      <w:r w:rsidR="003324A3" w:rsidRPr="00387024">
        <w:t>interactive tender process is continually being refined</w:t>
      </w:r>
      <w:r w:rsidR="009A6857">
        <w:t>,</w:t>
      </w:r>
      <w:r w:rsidR="003324A3" w:rsidRPr="00387024">
        <w:t xml:space="preserve"> this guidance should be considered in light of </w:t>
      </w:r>
      <w:r w:rsidR="009A6857">
        <w:t>evolving</w:t>
      </w:r>
      <w:r w:rsidR="009A6857" w:rsidRPr="00387024">
        <w:t xml:space="preserve"> </w:t>
      </w:r>
      <w:r w:rsidR="003324A3" w:rsidRPr="00387024">
        <w:t>contemporary practice.</w:t>
      </w:r>
    </w:p>
    <w:p w14:paraId="40D040A0" w14:textId="25B9F46B" w:rsidR="00456CEF" w:rsidRPr="00387024" w:rsidRDefault="00456CEF" w:rsidP="001D2615">
      <w:pPr>
        <w:pStyle w:val="Heading2numbered"/>
      </w:pPr>
      <w:bookmarkStart w:id="424" w:name="_Toc147750098"/>
      <w:bookmarkStart w:id="425" w:name="_Toc161321788"/>
      <w:bookmarkEnd w:id="424"/>
      <w:r w:rsidRPr="00387024">
        <w:t>Closing and receiving tenders</w:t>
      </w:r>
      <w:bookmarkEnd w:id="425"/>
    </w:p>
    <w:p w14:paraId="104BFF5D" w14:textId="77777777" w:rsidR="00456CEF" w:rsidRPr="00387024" w:rsidRDefault="00456CEF" w:rsidP="001D2615">
      <w:pPr>
        <w:pStyle w:val="Heading3numbered"/>
      </w:pPr>
      <w:r w:rsidRPr="00387024">
        <w:t>Tender close</w:t>
      </w:r>
    </w:p>
    <w:p w14:paraId="4E903FF7" w14:textId="603545DC" w:rsidR="00456CEF" w:rsidRDefault="00456CEF" w:rsidP="00F454ED">
      <w:pPr>
        <w:pStyle w:val="NormalIndent"/>
        <w:keepNext/>
      </w:pPr>
      <w:r w:rsidRPr="00387024">
        <w:t>The tender close is the date, time and place that tenders are due.</w:t>
      </w:r>
    </w:p>
    <w:p w14:paraId="0EF2D4E1" w14:textId="10EF2D84" w:rsidR="00456CEF" w:rsidRPr="00387024" w:rsidRDefault="00456CEF" w:rsidP="00834461">
      <w:pPr>
        <w:pStyle w:val="NormalIndent"/>
      </w:pPr>
      <w:r w:rsidRPr="00387024">
        <w:t>The invitation to tender must clearly state the nominated tender closing time and date, and the place and method of lodging tenders. Recommended practice for closing tenders is as follows:</w:t>
      </w:r>
    </w:p>
    <w:p w14:paraId="14DD6FAB" w14:textId="77777777" w:rsidR="00456CEF" w:rsidRPr="00387024" w:rsidRDefault="282846A6" w:rsidP="001D2615">
      <w:pPr>
        <w:pStyle w:val="Bulletindent"/>
      </w:pPr>
      <w:r>
        <w:t>not before 2.00pm</w:t>
      </w:r>
    </w:p>
    <w:p w14:paraId="0E11A1E1" w14:textId="77777777" w:rsidR="00456CEF" w:rsidRPr="00387024" w:rsidRDefault="282846A6" w:rsidP="001D2615">
      <w:pPr>
        <w:pStyle w:val="Bulletindent"/>
      </w:pPr>
      <w:r>
        <w:t>at least one day after a weekend, public holiday, building industry holiday or standard industry rostered day off</w:t>
      </w:r>
    </w:p>
    <w:p w14:paraId="557BF567" w14:textId="63226E7D" w:rsidR="00456CEF" w:rsidRPr="00387024" w:rsidRDefault="282846A6" w:rsidP="001D2615">
      <w:pPr>
        <w:pStyle w:val="Bulletindent"/>
      </w:pPr>
      <w:r>
        <w:t>at least one week after a recognised industry holiday period</w:t>
      </w:r>
      <w:r w:rsidR="00994CC9">
        <w:t>,</w:t>
      </w:r>
      <w:r>
        <w:t xml:space="preserve"> </w:t>
      </w:r>
      <w:r w:rsidR="00994CC9">
        <w:t xml:space="preserve">for example, </w:t>
      </w:r>
      <w:r w:rsidR="002826E2">
        <w:t xml:space="preserve">the </w:t>
      </w:r>
      <w:r>
        <w:t>Christmas</w:t>
      </w:r>
      <w:r w:rsidR="002826E2">
        <w:t xml:space="preserve"> and </w:t>
      </w:r>
      <w:r>
        <w:t>New Year period</w:t>
      </w:r>
      <w:r w:rsidR="00E202F2">
        <w:t>.</w:t>
      </w:r>
    </w:p>
    <w:p w14:paraId="0F8240E5" w14:textId="13B5364E" w:rsidR="00456CEF" w:rsidRPr="00387024" w:rsidRDefault="00456CEF" w:rsidP="00834461">
      <w:pPr>
        <w:pStyle w:val="NormalIndent"/>
      </w:pPr>
      <w:r w:rsidRPr="00387024">
        <w:t xml:space="preserve">The nominated tender closing time and date </w:t>
      </w:r>
      <w:r>
        <w:t xml:space="preserve">should </w:t>
      </w:r>
      <w:r w:rsidRPr="00387024">
        <w:t>be strictly upheld</w:t>
      </w:r>
      <w:r w:rsidR="00E202F2">
        <w:t>. N</w:t>
      </w:r>
      <w:r w:rsidRPr="00387024">
        <w:t xml:space="preserve">o individual tenderer should be given </w:t>
      </w:r>
      <w:r w:rsidR="002826E2">
        <w:t>an</w:t>
      </w:r>
      <w:r w:rsidR="002826E2" w:rsidRPr="00387024">
        <w:t xml:space="preserve"> </w:t>
      </w:r>
      <w:r w:rsidRPr="00387024">
        <w:t>unfair advantage of receiving additional time.</w:t>
      </w:r>
    </w:p>
    <w:p w14:paraId="130047D1" w14:textId="77777777" w:rsidR="00456CEF" w:rsidRPr="00387024" w:rsidRDefault="00456CEF" w:rsidP="001D2615">
      <w:pPr>
        <w:pStyle w:val="Heading3numbered"/>
      </w:pPr>
      <w:r w:rsidRPr="00387024">
        <w:t>Receiving tenders</w:t>
      </w:r>
    </w:p>
    <w:p w14:paraId="0CCFE05D" w14:textId="51A4A6A2" w:rsidR="00456CEF" w:rsidRDefault="00456CEF" w:rsidP="00EC64B4">
      <w:pPr>
        <w:pStyle w:val="NormalIndent"/>
        <w:keepNext/>
      </w:pPr>
      <w:r w:rsidRPr="00387024">
        <w:t>Tenders may be received at any time prior to the nominated closing time.</w:t>
      </w:r>
      <w:r w:rsidRPr="001126AE">
        <w:t xml:space="preserve"> </w:t>
      </w:r>
      <w:r w:rsidRPr="00387024">
        <w:t>The process of receiving and recording tender submissions must be conducted in a manner that ensures the integrity, fairness and impartiality of the tendering process and maintains the security of tenderers</w:t>
      </w:r>
      <w:r w:rsidR="00344D3F">
        <w:t>’</w:t>
      </w:r>
      <w:r w:rsidRPr="00387024">
        <w:t xml:space="preserve"> intellectual property.</w:t>
      </w:r>
    </w:p>
    <w:tbl>
      <w:tblPr>
        <w:tblStyle w:val="DTFtexttableindent"/>
        <w:tblW w:w="8388" w:type="dxa"/>
        <w:tblBorders>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828"/>
        <w:gridCol w:w="7560"/>
      </w:tblGrid>
      <w:tr w:rsidR="00456CEF" w14:paraId="487080CD" w14:textId="77777777" w:rsidTr="00976D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8" w:type="dxa"/>
            <w:shd w:val="clear" w:color="auto" w:fill="F2F2F2" w:themeFill="background1" w:themeFillShade="F2"/>
          </w:tcPr>
          <w:p w14:paraId="1DDF158C" w14:textId="16F7848E" w:rsidR="00456CEF" w:rsidRPr="00485FF5" w:rsidRDefault="00F454ED" w:rsidP="00F7602B">
            <w:pPr>
              <w:rPr>
                <w:b/>
              </w:rPr>
            </w:pPr>
            <w:r>
              <w:rPr>
                <w:noProof/>
              </w:rPr>
              <w:drawing>
                <wp:inline distT="0" distB="0" distL="0" distR="0" wp14:anchorId="30A4E758" wp14:editId="02B2D74F">
                  <wp:extent cx="371475" cy="278607"/>
                  <wp:effectExtent l="0" t="0" r="0" b="7620"/>
                  <wp:docPr id="57" name="Picture 5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560" w:type="dxa"/>
            <w:shd w:val="clear" w:color="auto" w:fill="F2F2F2" w:themeFill="background1" w:themeFillShade="F2"/>
            <w:vAlign w:val="center"/>
          </w:tcPr>
          <w:p w14:paraId="124A5376" w14:textId="61880FED" w:rsidR="00456CEF" w:rsidRPr="00F454ED" w:rsidRDefault="00AF050A" w:rsidP="00F844A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16A27">
              <w:t>Ministerial Direction and Instruction for Public Construction Procurement</w:t>
            </w:r>
            <w:r w:rsidDel="005751CD">
              <w:t xml:space="preserve"> </w:t>
            </w:r>
            <w:r w:rsidR="00456CEF" w:rsidRPr="00F454ED">
              <w:rPr>
                <w:rFonts w:asciiTheme="minorHAnsi" w:hAnsiTheme="minorHAnsi"/>
              </w:rPr>
              <w:t xml:space="preserve"> 4.1 requires agencies to maintain confidentiality of participants</w:t>
            </w:r>
            <w:r w:rsidR="002D1174">
              <w:rPr>
                <w:rFonts w:asciiTheme="minorHAnsi" w:hAnsiTheme="minorHAnsi"/>
              </w:rPr>
              <w:t>’</w:t>
            </w:r>
            <w:r w:rsidR="00456CEF" w:rsidRPr="00F454ED">
              <w:rPr>
                <w:rFonts w:asciiTheme="minorHAnsi" w:hAnsiTheme="minorHAnsi"/>
              </w:rPr>
              <w:t xml:space="preserve"> confidential information, including commercially sensitive information and intellectual property</w:t>
            </w:r>
            <w:r w:rsidR="002D1174">
              <w:rPr>
                <w:rFonts w:asciiTheme="minorHAnsi" w:hAnsiTheme="minorHAnsi"/>
              </w:rPr>
              <w:t>.</w:t>
            </w:r>
          </w:p>
        </w:tc>
      </w:tr>
    </w:tbl>
    <w:p w14:paraId="1F0A1563" w14:textId="6F56350B" w:rsidR="00456CEF" w:rsidRPr="00387024" w:rsidRDefault="00456CEF" w:rsidP="00834461">
      <w:pPr>
        <w:pStyle w:val="NormalIndent"/>
      </w:pPr>
      <w:r w:rsidRPr="00387024">
        <w:t xml:space="preserve">Tenders should be opened and registered as soon as possible after the closing time </w:t>
      </w:r>
      <w:r w:rsidR="00DE4FA7">
        <w:t>with</w:t>
      </w:r>
      <w:r w:rsidR="00DE4FA7" w:rsidRPr="00387024">
        <w:t xml:space="preserve"> </w:t>
      </w:r>
      <w:r w:rsidR="00DE4FA7">
        <w:t>no fewer than</w:t>
      </w:r>
      <w:r w:rsidRPr="00387024">
        <w:t xml:space="preserve"> two people</w:t>
      </w:r>
      <w:r w:rsidR="00DE4FA7">
        <w:t xml:space="preserve"> present</w:t>
      </w:r>
      <w:r w:rsidRPr="00387024">
        <w:t xml:space="preserve">. </w:t>
      </w:r>
      <w:r>
        <w:t>Depending on the complexity of the procurement, it</w:t>
      </w:r>
      <w:r w:rsidRPr="00387024">
        <w:t xml:space="preserve"> is good practice for the tender opening to be witnessed by a probity advis</w:t>
      </w:r>
      <w:r>
        <w:t>e</w:t>
      </w:r>
      <w:r w:rsidRPr="00387024">
        <w:t xml:space="preserve">r or </w:t>
      </w:r>
      <w:r w:rsidR="00311934">
        <w:t xml:space="preserve">project </w:t>
      </w:r>
      <w:r w:rsidRPr="00387024">
        <w:t>auditor</w:t>
      </w:r>
      <w:r w:rsidR="00311934">
        <w:t>,</w:t>
      </w:r>
      <w:r w:rsidRPr="00387024">
        <w:t xml:space="preserve"> </w:t>
      </w:r>
      <w:r>
        <w:t>or by a departmental representative who is not involved in the procurement</w:t>
      </w:r>
      <w:r w:rsidRPr="00387024">
        <w:t>.</w:t>
      </w:r>
    </w:p>
    <w:p w14:paraId="60E3336E" w14:textId="7A68AC96" w:rsidR="00456CEF" w:rsidRDefault="00456CEF" w:rsidP="00834461">
      <w:pPr>
        <w:pStyle w:val="NormalIndent"/>
      </w:pPr>
      <w:r w:rsidRPr="00387024">
        <w:t xml:space="preserve">The </w:t>
      </w:r>
      <w:r>
        <w:t>agency</w:t>
      </w:r>
      <w:r w:rsidRPr="00387024">
        <w:t xml:space="preserve"> should record the names of all tenderers and their tendered price</w:t>
      </w:r>
      <w:r w:rsidR="00067B7F">
        <w:t>(</w:t>
      </w:r>
      <w:r w:rsidRPr="00387024">
        <w:t>s</w:t>
      </w:r>
      <w:r w:rsidR="00067B7F">
        <w:t>)</w:t>
      </w:r>
      <w:r w:rsidRPr="00387024">
        <w:t>, including those submitted as an alternative to the purchaser</w:t>
      </w:r>
      <w:r w:rsidR="00344D3F">
        <w:t>’</w:t>
      </w:r>
      <w:r w:rsidRPr="00387024">
        <w:t>s specified requirements and those received after closing time. The list or summary of tenders is retained as a record of the tender opening process and should be signed and dated by those present.</w:t>
      </w:r>
    </w:p>
    <w:p w14:paraId="0738F335" w14:textId="596C971F" w:rsidR="00456CEF" w:rsidRPr="00387024" w:rsidRDefault="00456CEF" w:rsidP="00834461">
      <w:pPr>
        <w:pStyle w:val="NormalIndent"/>
      </w:pPr>
      <w:r>
        <w:t xml:space="preserve">A record of documents submitted in tender responses, </w:t>
      </w:r>
      <w:r w:rsidR="009A6774">
        <w:t>including</w:t>
      </w:r>
      <w:r>
        <w:t xml:space="preserve"> the number of electronic and hard copies</w:t>
      </w:r>
      <w:r w:rsidR="0057368E">
        <w:t>, should be kept in a document register</w:t>
      </w:r>
      <w:r>
        <w:t>.</w:t>
      </w:r>
    </w:p>
    <w:p w14:paraId="2ED6EF7A" w14:textId="54182B98" w:rsidR="00456CEF" w:rsidRPr="00387024" w:rsidRDefault="00456CEF" w:rsidP="00834461">
      <w:pPr>
        <w:pStyle w:val="NormalIndent"/>
      </w:pPr>
      <w:r w:rsidRPr="00387024">
        <w:t xml:space="preserve">Once received and registered, tenders should be held </w:t>
      </w:r>
      <w:r>
        <w:t>in a secure document management system. Hard copies should be limited</w:t>
      </w:r>
      <w:r w:rsidR="007E33AB">
        <w:t>,</w:t>
      </w:r>
      <w:r>
        <w:t xml:space="preserve"> and should be numbered and held in </w:t>
      </w:r>
      <w:r w:rsidRPr="00387024">
        <w:t>safe, lockable cabinet or lockable room.</w:t>
      </w:r>
    </w:p>
    <w:p w14:paraId="06ADF025" w14:textId="0C723427" w:rsidR="00456CEF" w:rsidRPr="004C57F9" w:rsidRDefault="00456CEF" w:rsidP="001D2615">
      <w:pPr>
        <w:pStyle w:val="Heading3numbered"/>
      </w:pPr>
      <w:r>
        <w:t>Managing tender responses</w:t>
      </w:r>
    </w:p>
    <w:tbl>
      <w:tblPr>
        <w:tblStyle w:val="DTFtexttableindent"/>
        <w:tblW w:w="8388" w:type="dxa"/>
        <w:tblBorders>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699"/>
        <w:gridCol w:w="7689"/>
      </w:tblGrid>
      <w:tr w:rsidR="00456CEF" w14:paraId="7EED0FD0" w14:textId="77777777" w:rsidTr="00976D3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9" w:type="dxa"/>
            <w:shd w:val="clear" w:color="auto" w:fill="F2F2F2" w:themeFill="background1" w:themeFillShade="F2"/>
          </w:tcPr>
          <w:p w14:paraId="59E2603B" w14:textId="010A3787" w:rsidR="00456CEF" w:rsidRPr="00647E17" w:rsidRDefault="00815BAC" w:rsidP="00F7602B">
            <w:pPr>
              <w:rPr>
                <w:b/>
                <w:sz w:val="20"/>
                <w:szCs w:val="20"/>
              </w:rPr>
            </w:pPr>
            <w:r>
              <w:rPr>
                <w:noProof/>
              </w:rPr>
              <w:drawing>
                <wp:inline distT="0" distB="0" distL="0" distR="0" wp14:anchorId="0000E913" wp14:editId="2CC7A933">
                  <wp:extent cx="371475" cy="278607"/>
                  <wp:effectExtent l="0" t="0" r="0" b="7620"/>
                  <wp:docPr id="58" name="Picture 5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689" w:type="dxa"/>
            <w:shd w:val="clear" w:color="auto" w:fill="F2F2F2" w:themeFill="background1" w:themeFillShade="F2"/>
            <w:vAlign w:val="center"/>
          </w:tcPr>
          <w:p w14:paraId="5C929864" w14:textId="3BD7E05F" w:rsidR="00456CEF" w:rsidRPr="00815BAC" w:rsidRDefault="00501D79" w:rsidP="00F844AB">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b/>
              </w:rPr>
            </w:pPr>
            <w:r w:rsidRPr="00716A27">
              <w:t>Ministerial Direction and Instruction for Public Construction Procurement</w:t>
            </w:r>
            <w:r w:rsidDel="005751CD">
              <w:t xml:space="preserve"> </w:t>
            </w:r>
            <w:r w:rsidR="00456CEF" w:rsidRPr="00815BAC">
              <w:rPr>
                <w:rFonts w:asciiTheme="minorHAnsi" w:hAnsiTheme="minorHAnsi"/>
              </w:rPr>
              <w:t xml:space="preserve">4.1 requires agencies to maintain </w:t>
            </w:r>
            <w:r w:rsidR="00F92CAC">
              <w:rPr>
                <w:rFonts w:asciiTheme="minorHAnsi" w:hAnsiTheme="minorHAnsi"/>
              </w:rPr>
              <w:t xml:space="preserve">the </w:t>
            </w:r>
            <w:r w:rsidR="00456CEF" w:rsidRPr="00815BAC">
              <w:rPr>
                <w:rFonts w:asciiTheme="minorHAnsi" w:hAnsiTheme="minorHAnsi"/>
              </w:rPr>
              <w:t>confidentiality of participants</w:t>
            </w:r>
            <w:r w:rsidR="00F92CAC">
              <w:rPr>
                <w:rFonts w:asciiTheme="minorHAnsi" w:hAnsiTheme="minorHAnsi"/>
              </w:rPr>
              <w:t>’</w:t>
            </w:r>
            <w:r w:rsidR="00456CEF" w:rsidRPr="00815BAC">
              <w:rPr>
                <w:rFonts w:asciiTheme="minorHAnsi" w:hAnsiTheme="minorHAnsi"/>
              </w:rPr>
              <w:t xml:space="preserve"> information, including commercially sensitive information and intellectual property</w:t>
            </w:r>
            <w:r w:rsidR="002D1174">
              <w:rPr>
                <w:rFonts w:asciiTheme="minorHAnsi" w:hAnsiTheme="minorHAnsi"/>
              </w:rPr>
              <w:t>.</w:t>
            </w:r>
          </w:p>
        </w:tc>
      </w:tr>
    </w:tbl>
    <w:p w14:paraId="67849672" w14:textId="77777777" w:rsidR="00456CEF" w:rsidRDefault="00456CEF" w:rsidP="00815BAC">
      <w:pPr>
        <w:pStyle w:val="Spacer"/>
      </w:pPr>
    </w:p>
    <w:p w14:paraId="648C853A" w14:textId="77777777" w:rsidR="00456CEF" w:rsidRPr="00647E17" w:rsidRDefault="00456CEF" w:rsidP="00834461">
      <w:pPr>
        <w:pStyle w:val="NormalIndent"/>
      </w:pPr>
      <w:r w:rsidRPr="00647E17">
        <w:t>Tenders may include the following types of confidential information:</w:t>
      </w:r>
    </w:p>
    <w:p w14:paraId="7DDFFEE6" w14:textId="77777777" w:rsidR="00456CEF" w:rsidRPr="00903B99" w:rsidRDefault="00456CEF" w:rsidP="001D2615">
      <w:pPr>
        <w:pStyle w:val="Bulletindent"/>
      </w:pPr>
      <w:r w:rsidRPr="00903B99">
        <w:t>designated or defined elements of the tender responses</w:t>
      </w:r>
    </w:p>
    <w:p w14:paraId="1542AEED" w14:textId="74FF0922" w:rsidR="00456CEF" w:rsidRPr="00903B99" w:rsidRDefault="00456CEF" w:rsidP="001D2615">
      <w:pPr>
        <w:pStyle w:val="Bulletindent"/>
      </w:pPr>
      <w:r w:rsidRPr="00903B99">
        <w:t>proprietary methodologies held by the tender participants and other commercial</w:t>
      </w:r>
      <w:r w:rsidR="00FB02E3">
        <w:t>-</w:t>
      </w:r>
      <w:r w:rsidRPr="00903B99">
        <w:t>in</w:t>
      </w:r>
      <w:r w:rsidR="00FB02E3">
        <w:t>-</w:t>
      </w:r>
      <w:r w:rsidRPr="00903B99">
        <w:t>confidence information</w:t>
      </w:r>
    </w:p>
    <w:p w14:paraId="3A3D66D5" w14:textId="77777777" w:rsidR="00456CEF" w:rsidRPr="00903B99" w:rsidRDefault="00456CEF" w:rsidP="001D2615">
      <w:pPr>
        <w:pStyle w:val="Bulletindent"/>
      </w:pPr>
      <w:r w:rsidRPr="00903B99">
        <w:t>innovative alternative solutions</w:t>
      </w:r>
    </w:p>
    <w:p w14:paraId="609EBDB6" w14:textId="118F4C4D" w:rsidR="00456CEF" w:rsidRPr="00903B99" w:rsidRDefault="00456CEF" w:rsidP="001D2615">
      <w:pPr>
        <w:pStyle w:val="Bulletindent"/>
      </w:pPr>
      <w:r w:rsidRPr="00903B99">
        <w:t>intellectual property</w:t>
      </w:r>
    </w:p>
    <w:p w14:paraId="44E0E222" w14:textId="32B675AC" w:rsidR="00456CEF" w:rsidRPr="00903B99" w:rsidRDefault="00456CEF" w:rsidP="001D2615">
      <w:pPr>
        <w:pStyle w:val="Bulletindent"/>
      </w:pPr>
      <w:r w:rsidRPr="00903B99">
        <w:t>subcontracting pricing and staffing structures.</w:t>
      </w:r>
    </w:p>
    <w:p w14:paraId="0250053A" w14:textId="21896D5B" w:rsidR="00456CEF" w:rsidRPr="00647E17" w:rsidRDefault="00456CEF" w:rsidP="00EC64B4">
      <w:pPr>
        <w:pStyle w:val="NormalIndent"/>
        <w:keepNext/>
      </w:pPr>
      <w:r w:rsidRPr="00647E17">
        <w:t xml:space="preserve">Confidentiality and security can be achieved in </w:t>
      </w:r>
      <w:r w:rsidRPr="1B43530C">
        <w:t>several</w:t>
      </w:r>
      <w:r w:rsidRPr="00647E17">
        <w:t xml:space="preserve"> ways</w:t>
      </w:r>
      <w:r w:rsidR="0015660D">
        <w:t>. The approach</w:t>
      </w:r>
      <w:r w:rsidRPr="00647E17">
        <w:t xml:space="preserve"> should be scaled to match the size, complexity and risk of the procurement.</w:t>
      </w:r>
      <w:r>
        <w:t xml:space="preserve"> </w:t>
      </w:r>
      <w:r w:rsidRPr="00647E17">
        <w:t>Agencies should establish clear physical security measures for handling documents, such as:</w:t>
      </w:r>
    </w:p>
    <w:p w14:paraId="52E53180" w14:textId="77777777" w:rsidR="00456CEF" w:rsidRPr="00647E17" w:rsidRDefault="00456CEF" w:rsidP="001D2615">
      <w:pPr>
        <w:pStyle w:val="Bulletindent"/>
        <w:keepNext/>
      </w:pPr>
      <w:r w:rsidRPr="00647E17">
        <w:t>restricting access to controlled documents to authorised personnel</w:t>
      </w:r>
    </w:p>
    <w:p w14:paraId="3DA8D485" w14:textId="77777777" w:rsidR="00456CEF" w:rsidRPr="00647E17" w:rsidRDefault="00456CEF" w:rsidP="001D2615">
      <w:pPr>
        <w:pStyle w:val="Bulletindent"/>
        <w:keepNext/>
      </w:pPr>
      <w:r w:rsidRPr="00647E17">
        <w:t>maintaining a document register</w:t>
      </w:r>
    </w:p>
    <w:p w14:paraId="10EDB4B5" w14:textId="08ACD176" w:rsidR="00456CEF" w:rsidRPr="00647E17" w:rsidRDefault="00456CEF" w:rsidP="001D2615">
      <w:pPr>
        <w:pStyle w:val="Bulletindent"/>
        <w:keepNext/>
      </w:pPr>
      <w:r w:rsidRPr="00647E17">
        <w:t xml:space="preserve">using a </w:t>
      </w:r>
      <w:r w:rsidR="009A362E">
        <w:t>dedicated</w:t>
      </w:r>
      <w:r w:rsidR="009A362E" w:rsidRPr="00647E17">
        <w:t xml:space="preserve"> </w:t>
      </w:r>
      <w:r w:rsidRPr="00647E17">
        <w:t>lockable tender room for conducting evaluations</w:t>
      </w:r>
    </w:p>
    <w:p w14:paraId="0A3A34B0" w14:textId="4ABE4AE2" w:rsidR="00456CEF" w:rsidRPr="00647E17" w:rsidRDefault="00456CEF" w:rsidP="001D2615">
      <w:pPr>
        <w:pStyle w:val="Bulletindent"/>
      </w:pPr>
      <w:r w:rsidRPr="00647E17">
        <w:t xml:space="preserve">limiting </w:t>
      </w:r>
      <w:r w:rsidR="00111A34">
        <w:t>copies of</w:t>
      </w:r>
      <w:r w:rsidRPr="00647E17">
        <w:t xml:space="preserve"> documents and ensuring strict movement controls on all offer-related documents.</w:t>
      </w:r>
    </w:p>
    <w:p w14:paraId="7603E880" w14:textId="014BABC7" w:rsidR="00456CEF" w:rsidRPr="00647E17" w:rsidRDefault="00456CEF" w:rsidP="00834461">
      <w:pPr>
        <w:pStyle w:val="NormalIndent"/>
      </w:pPr>
      <w:r w:rsidRPr="00647E17">
        <w:t xml:space="preserve">Agencies should implement </w:t>
      </w:r>
      <w:r w:rsidR="00111A34">
        <w:t xml:space="preserve">and </w:t>
      </w:r>
      <w:r w:rsidRPr="00647E17">
        <w:t>document procedures for paper and electronic security including information storage and communication processes. This should include:</w:t>
      </w:r>
    </w:p>
    <w:p w14:paraId="0EFB68EB" w14:textId="77777777" w:rsidR="00456CEF" w:rsidRPr="00647E17" w:rsidRDefault="00456CEF" w:rsidP="001D2615">
      <w:pPr>
        <w:pStyle w:val="Bulletindent"/>
      </w:pPr>
      <w:r w:rsidRPr="00647E17">
        <w:t>controlling how documents are delivered electronically</w:t>
      </w:r>
    </w:p>
    <w:p w14:paraId="5DF4C0EF" w14:textId="77777777" w:rsidR="00456CEF" w:rsidRPr="00647E17" w:rsidRDefault="00456CEF" w:rsidP="001D2615">
      <w:pPr>
        <w:pStyle w:val="Bulletindent"/>
      </w:pPr>
      <w:r w:rsidRPr="00647E17">
        <w:t>protecting data stored on networks</w:t>
      </w:r>
    </w:p>
    <w:p w14:paraId="119A6832" w14:textId="77777777" w:rsidR="00456CEF" w:rsidRPr="00647E17" w:rsidRDefault="00456CEF" w:rsidP="001D2615">
      <w:pPr>
        <w:pStyle w:val="Bulletindent"/>
      </w:pPr>
      <w:r w:rsidRPr="00647E17">
        <w:t>segregating information held on networked devices</w:t>
      </w:r>
    </w:p>
    <w:p w14:paraId="6B9BF1B2" w14:textId="77777777" w:rsidR="00456CEF" w:rsidRPr="00647E17" w:rsidRDefault="00456CEF" w:rsidP="001D2615">
      <w:pPr>
        <w:pStyle w:val="Bulletindent"/>
      </w:pPr>
      <w:r w:rsidRPr="00647E17">
        <w:t>using independent security passwords</w:t>
      </w:r>
    </w:p>
    <w:p w14:paraId="589427F5" w14:textId="02B5AAE7" w:rsidR="00456CEF" w:rsidRPr="00647E17" w:rsidRDefault="00456CEF" w:rsidP="001D2615">
      <w:pPr>
        <w:pStyle w:val="Bulletindent"/>
      </w:pPr>
      <w:r w:rsidRPr="00647E17">
        <w:t>transmitting documents securely, such as via password protected files and verifying procedures to ensure the correct transmission of emails and attachments</w:t>
      </w:r>
      <w:r w:rsidR="00903B99">
        <w:t>.</w:t>
      </w:r>
    </w:p>
    <w:p w14:paraId="46CDCA3B" w14:textId="3B2479E0" w:rsidR="00456CEF" w:rsidRPr="00D12B09" w:rsidRDefault="00456CEF" w:rsidP="00834461">
      <w:pPr>
        <w:pStyle w:val="NormalIndent"/>
        <w:rPr>
          <w:color w:val="232B39"/>
        </w:rPr>
      </w:pPr>
      <w:r w:rsidRPr="0E9FEF1B">
        <w:t>Electronic document management systems are commonly used for the submission of tenders and for the tender evaluation process. The use of an electronic document management system allows for tender evaluation panel members to evaluate tenders in a secure and audited environment and does not require documentation</w:t>
      </w:r>
      <w:r w:rsidR="00A43073">
        <w:t xml:space="preserve"> to be </w:t>
      </w:r>
      <w:r w:rsidR="00A43073" w:rsidRPr="0E9FEF1B">
        <w:t>download</w:t>
      </w:r>
      <w:r w:rsidR="00A43073">
        <w:t>ed</w:t>
      </w:r>
      <w:r w:rsidRPr="0E9FEF1B">
        <w:t xml:space="preserve">. Access should only be approved as required, by the project manager. </w:t>
      </w:r>
      <w:r w:rsidR="00213F14">
        <w:t>If the</w:t>
      </w:r>
      <w:r w:rsidRPr="0E9FEF1B">
        <w:t xml:space="preserve"> document management system allows, evaluators</w:t>
      </w:r>
      <w:r w:rsidR="00344D3F">
        <w:t>’</w:t>
      </w:r>
      <w:r w:rsidRPr="0E9FEF1B">
        <w:t xml:space="preserve"> access should be restricted to only those criteria related to the returnables assigned to them. This ensures strict separation between the commercial and technical aspects of the evaluation.</w:t>
      </w:r>
    </w:p>
    <w:p w14:paraId="5FD4064F" w14:textId="71910842" w:rsidR="00456CEF" w:rsidRPr="00D12B09" w:rsidRDefault="008B723E" w:rsidP="00834461">
      <w:pPr>
        <w:pStyle w:val="NormalIndent"/>
        <w:rPr>
          <w:color w:val="232B39"/>
        </w:rPr>
      </w:pPr>
      <w:r>
        <w:t>A</w:t>
      </w:r>
      <w:r w:rsidR="00456CEF" w:rsidRPr="0E9FEF1B">
        <w:t>n adequate and secure filing system s</w:t>
      </w:r>
      <w:r>
        <w:t>hould be</w:t>
      </w:r>
      <w:r w:rsidR="00456CEF" w:rsidRPr="0E9FEF1B">
        <w:t xml:space="preserve"> maintained for all </w:t>
      </w:r>
      <w:r w:rsidRPr="0E9FEF1B">
        <w:t xml:space="preserve">hard copy </w:t>
      </w:r>
      <w:r w:rsidR="00456CEF" w:rsidRPr="0E9FEF1B">
        <w:t>documentation and information associated with the tender evaluation phase. Tender evaluation panel members should undertake to comply with appropriate document control requirements</w:t>
      </w:r>
      <w:r w:rsidR="00DD0809">
        <w:t>,</w:t>
      </w:r>
      <w:r w:rsidR="00456CEF" w:rsidRPr="0E9FEF1B">
        <w:t xml:space="preserve"> including returning or destroying </w:t>
      </w:r>
      <w:r w:rsidR="00DD0809">
        <w:t xml:space="preserve">any </w:t>
      </w:r>
      <w:r w:rsidR="00456CEF" w:rsidRPr="0E9FEF1B">
        <w:t>hardcopy documentation in their possession at the end of the tender evaluation.</w:t>
      </w:r>
    </w:p>
    <w:p w14:paraId="6402EC79" w14:textId="12AC54E6" w:rsidR="00456CEF" w:rsidRPr="00647E17" w:rsidRDefault="00456CEF" w:rsidP="00834461">
      <w:pPr>
        <w:pStyle w:val="NormalIndent"/>
      </w:pPr>
      <w:r w:rsidRPr="00647E17">
        <w:t>Agencies may also obtain specific advice from security experts or from a probity adviser</w:t>
      </w:r>
      <w:r w:rsidR="007325BB">
        <w:t>,</w:t>
      </w:r>
      <w:r w:rsidRPr="00647E17">
        <w:t xml:space="preserve"> if one has been appointed.</w:t>
      </w:r>
    </w:p>
    <w:p w14:paraId="5F36CDC0" w14:textId="5682CEE5" w:rsidR="00456CEF" w:rsidRPr="00647E17" w:rsidRDefault="00456CEF" w:rsidP="00834461">
      <w:pPr>
        <w:pStyle w:val="NormalIndent"/>
      </w:pPr>
      <w:r w:rsidRPr="00647E17">
        <w:t>The need to maintain the confidentiality of participants</w:t>
      </w:r>
      <w:r w:rsidR="00344D3F">
        <w:t>’</w:t>
      </w:r>
      <w:r w:rsidRPr="00647E17">
        <w:t xml:space="preserve"> information continues after the contract has been awarded. </w:t>
      </w:r>
      <w:r w:rsidR="00C517BE">
        <w:t>W</w:t>
      </w:r>
      <w:r w:rsidRPr="00647E17">
        <w:t>hen contracts must be disclosed in full, commercially sensitive information should be redacted.</w:t>
      </w:r>
    </w:p>
    <w:p w14:paraId="548018E3" w14:textId="53DCDFD0" w:rsidR="00456CEF" w:rsidRDefault="00456CEF" w:rsidP="00834461">
      <w:pPr>
        <w:pStyle w:val="NormalIndent"/>
      </w:pPr>
      <w:r w:rsidRPr="00647E17">
        <w:t xml:space="preserve">Maintaining confidentiality is not absolute and should be assessed in terms of contract disclosure requirements for </w:t>
      </w:r>
      <w:r w:rsidR="0060430B">
        <w:t>f</w:t>
      </w:r>
      <w:r w:rsidRPr="00647E17">
        <w:t xml:space="preserve">reedom of </w:t>
      </w:r>
      <w:r w:rsidR="0060430B">
        <w:t>i</w:t>
      </w:r>
      <w:r w:rsidR="0060430B" w:rsidRPr="00647E17">
        <w:t xml:space="preserve">nformation </w:t>
      </w:r>
      <w:r w:rsidRPr="00647E17">
        <w:t>and audit purposes.</w:t>
      </w:r>
    </w:p>
    <w:p w14:paraId="5147AA02" w14:textId="17C40A7D" w:rsidR="003324A3" w:rsidRPr="00387024" w:rsidRDefault="003324A3" w:rsidP="001D2615">
      <w:pPr>
        <w:pStyle w:val="Heading2numbered"/>
      </w:pPr>
      <w:bookmarkStart w:id="426" w:name="_Toc25662706"/>
      <w:bookmarkStart w:id="427" w:name="_Toc161321789"/>
      <w:r w:rsidRPr="00387024">
        <w:t>Tendering phase checklist</w:t>
      </w:r>
      <w:bookmarkEnd w:id="426"/>
      <w:bookmarkEnd w:id="427"/>
    </w:p>
    <w:p w14:paraId="5B04A812" w14:textId="282007E9" w:rsidR="00D75C69" w:rsidRPr="00387024" w:rsidRDefault="00464932" w:rsidP="00834461">
      <w:pPr>
        <w:pStyle w:val="NormalIndent"/>
      </w:pPr>
      <w:r>
        <w:t>T</w:t>
      </w:r>
      <w:r w:rsidRPr="00387024">
        <w:t xml:space="preserve">he following tasks </w:t>
      </w:r>
      <w:r>
        <w:t>should be completed before</w:t>
      </w:r>
      <w:r w:rsidR="00B71327">
        <w:t xml:space="preserve"> </w:t>
      </w:r>
      <w:r w:rsidR="00FC5215">
        <w:t xml:space="preserve">the </w:t>
      </w:r>
      <w:r w:rsidR="00B71327">
        <w:t>tender</w:t>
      </w:r>
      <w:r w:rsidR="003324A3" w:rsidRPr="00387024">
        <w:t xml:space="preserve"> phase </w:t>
      </w:r>
      <w:r w:rsidR="00DC491B">
        <w:t>is</w:t>
      </w:r>
      <w:r w:rsidR="00B71327">
        <w:t xml:space="preserve"> complete.</w:t>
      </w:r>
      <w:r w:rsidR="004B552F">
        <w:t xml:space="preserve"> </w:t>
      </w:r>
    </w:p>
    <w:p w14:paraId="5D34E5F0" w14:textId="7F4C7C0D" w:rsidR="00D75C69" w:rsidRDefault="00A23826" w:rsidP="00815BAC">
      <w:pPr>
        <w:pStyle w:val="Captionindent"/>
      </w:pPr>
      <w:bookmarkStart w:id="428" w:name="_Toc145621362"/>
      <w:bookmarkStart w:id="429" w:name="_Toc146097256"/>
      <w:r>
        <w:t xml:space="preserve">Table </w:t>
      </w:r>
      <w:r w:rsidR="00D75C69">
        <w:fldChar w:fldCharType="begin"/>
      </w:r>
      <w:r w:rsidR="00D75C69">
        <w:instrText>SEQ Table \* ARABIC</w:instrText>
      </w:r>
      <w:r w:rsidR="00D75C69">
        <w:fldChar w:fldCharType="separate"/>
      </w:r>
      <w:r w:rsidR="008A4B3E">
        <w:rPr>
          <w:noProof/>
        </w:rPr>
        <w:t>14</w:t>
      </w:r>
      <w:r w:rsidR="00D75C69">
        <w:fldChar w:fldCharType="end"/>
      </w:r>
      <w:r>
        <w:t xml:space="preserve"> </w:t>
      </w:r>
      <w:r w:rsidR="00E958D5">
        <w:t xml:space="preserve">– </w:t>
      </w:r>
      <w:r w:rsidR="00D75C69" w:rsidRPr="00C75E76">
        <w:t>Tender phase checklist</w:t>
      </w:r>
      <w:bookmarkEnd w:id="428"/>
      <w:bookmarkEnd w:id="429"/>
    </w:p>
    <w:tbl>
      <w:tblPr>
        <w:tblStyle w:val="DTFtexttableindent"/>
        <w:tblW w:w="8298" w:type="dxa"/>
        <w:tblLook w:val="0620" w:firstRow="1" w:lastRow="0" w:firstColumn="0" w:lastColumn="0" w:noHBand="1" w:noVBand="1"/>
      </w:tblPr>
      <w:tblGrid>
        <w:gridCol w:w="8298"/>
      </w:tblGrid>
      <w:tr w:rsidR="00456CEF" w:rsidRPr="00387024" w14:paraId="47B08073" w14:textId="77777777" w:rsidTr="00815BAC">
        <w:trPr>
          <w:cnfStyle w:val="100000000000" w:firstRow="1" w:lastRow="0" w:firstColumn="0" w:lastColumn="0" w:oddVBand="0" w:evenVBand="0" w:oddHBand="0" w:evenHBand="0" w:firstRowFirstColumn="0" w:firstRowLastColumn="0" w:lastRowFirstColumn="0" w:lastRowLastColumn="0"/>
        </w:trPr>
        <w:tc>
          <w:tcPr>
            <w:tcW w:w="8298" w:type="dxa"/>
          </w:tcPr>
          <w:p w14:paraId="7589EF5C" w14:textId="54042C4E" w:rsidR="00456CEF" w:rsidRPr="00387024" w:rsidRDefault="00456CEF" w:rsidP="00F7602B">
            <w:pPr>
              <w:pStyle w:val="Tableheader"/>
            </w:pPr>
            <w:r w:rsidRPr="00387024">
              <w:t>Tender phase key tasks</w:t>
            </w:r>
          </w:p>
        </w:tc>
      </w:tr>
      <w:tr w:rsidR="00456CEF" w:rsidRPr="00387024" w14:paraId="0718FF7C" w14:textId="77777777" w:rsidTr="00815BAC">
        <w:tc>
          <w:tcPr>
            <w:tcW w:w="8298" w:type="dxa"/>
          </w:tcPr>
          <w:p w14:paraId="593CA87F" w14:textId="3F249550" w:rsidR="00456CEF" w:rsidRPr="00387024" w:rsidRDefault="00456CEF" w:rsidP="00815BAC">
            <w:pPr>
              <w:pStyle w:val="Tabletext"/>
              <w:ind w:left="360" w:hanging="360"/>
            </w:pPr>
            <w:r w:rsidRPr="00387024">
              <w:rPr>
                <w:rFonts w:ascii="Wingdings" w:eastAsia="Wingdings" w:hAnsi="Wingdings" w:cs="Wingdings"/>
              </w:rPr>
              <w:t>ü</w:t>
            </w:r>
            <w:r w:rsidRPr="00387024">
              <w:tab/>
              <w:t xml:space="preserve">Release </w:t>
            </w:r>
            <w:r>
              <w:t xml:space="preserve">tender notice and </w:t>
            </w:r>
            <w:r w:rsidRPr="00387024">
              <w:t>tender documentation</w:t>
            </w:r>
            <w:r>
              <w:t xml:space="preserve"> to invited tender participants</w:t>
            </w:r>
            <w:r w:rsidR="004B552F">
              <w:t>:</w:t>
            </w:r>
            <w:r w:rsidDel="004B552F">
              <w:t xml:space="preserve"> </w:t>
            </w:r>
            <w:hyperlink r:id="rId182" w:history="1">
              <w:r w:rsidRPr="009D5C6E">
                <w:rPr>
                  <w:rStyle w:val="Hyperlink"/>
                </w:rPr>
                <w:t>https://www.buyingfor.vic.gov.au/browse-construction-supplier-registers</w:t>
              </w:r>
            </w:hyperlink>
            <w:r>
              <w:t xml:space="preserve"> </w:t>
            </w:r>
          </w:p>
        </w:tc>
      </w:tr>
      <w:tr w:rsidR="00456CEF" w:rsidRPr="00387024" w14:paraId="61988AC8" w14:textId="77777777" w:rsidTr="00815BAC">
        <w:tc>
          <w:tcPr>
            <w:tcW w:w="8298" w:type="dxa"/>
          </w:tcPr>
          <w:p w14:paraId="650DE860" w14:textId="77777777" w:rsidR="00456CEF" w:rsidRPr="00387024" w:rsidRDefault="00456CEF" w:rsidP="00815BAC">
            <w:pPr>
              <w:pStyle w:val="Tabletext"/>
              <w:ind w:left="360" w:hanging="360"/>
            </w:pPr>
            <w:r w:rsidRPr="00387024">
              <w:rPr>
                <w:rFonts w:ascii="Wingdings" w:eastAsia="Wingdings" w:hAnsi="Wingdings" w:cs="Wingdings"/>
              </w:rPr>
              <w:t>ü</w:t>
            </w:r>
            <w:r w:rsidRPr="00387024">
              <w:tab/>
              <w:t>Manage tender communications in accordance with probity plan and requirements</w:t>
            </w:r>
          </w:p>
        </w:tc>
      </w:tr>
      <w:tr w:rsidR="00456CEF" w:rsidRPr="00387024" w14:paraId="0C605CB4" w14:textId="77777777" w:rsidTr="00815BAC">
        <w:tc>
          <w:tcPr>
            <w:tcW w:w="8298" w:type="dxa"/>
          </w:tcPr>
          <w:p w14:paraId="341107AE" w14:textId="77777777" w:rsidR="00456CEF" w:rsidRPr="00387024" w:rsidRDefault="00456CEF" w:rsidP="00815BAC">
            <w:pPr>
              <w:pStyle w:val="Tabletext"/>
              <w:ind w:left="360" w:hanging="360"/>
            </w:pPr>
            <w:r w:rsidRPr="00387024">
              <w:rPr>
                <w:rFonts w:ascii="Wingdings" w:eastAsia="Wingdings" w:hAnsi="Wingdings" w:cs="Wingdings"/>
              </w:rPr>
              <w:t>ü</w:t>
            </w:r>
            <w:r w:rsidRPr="00387024">
              <w:tab/>
              <w:t>Close and receive tenders</w:t>
            </w:r>
          </w:p>
        </w:tc>
      </w:tr>
      <w:tr w:rsidR="00456CEF" w:rsidRPr="00387024" w14:paraId="5E826DFD" w14:textId="77777777" w:rsidTr="00815BAC">
        <w:tc>
          <w:tcPr>
            <w:tcW w:w="8298" w:type="dxa"/>
          </w:tcPr>
          <w:p w14:paraId="67D12B99" w14:textId="77777777" w:rsidR="00456CEF" w:rsidRPr="00387024" w:rsidRDefault="00456CEF" w:rsidP="00815BAC">
            <w:pPr>
              <w:pStyle w:val="Tabletext"/>
              <w:ind w:left="360" w:hanging="360"/>
            </w:pPr>
            <w:r w:rsidRPr="00387024">
              <w:rPr>
                <w:rFonts w:ascii="Wingdings" w:eastAsia="Wingdings" w:hAnsi="Wingdings" w:cs="Wingdings"/>
              </w:rPr>
              <w:t>ü</w:t>
            </w:r>
            <w:r w:rsidRPr="00387024">
              <w:tab/>
              <w:t>Manage late tenders in accordance with probity plan and requirements</w:t>
            </w:r>
          </w:p>
        </w:tc>
      </w:tr>
    </w:tbl>
    <w:p w14:paraId="712ACE1D" w14:textId="77777777" w:rsidR="003324A3" w:rsidRPr="00387024" w:rsidRDefault="003324A3" w:rsidP="00755802"/>
    <w:p w14:paraId="61D172BD" w14:textId="4E283C4E" w:rsidR="003324A3" w:rsidRPr="00387024" w:rsidRDefault="5E3D2FB8" w:rsidP="001D2615">
      <w:pPr>
        <w:pStyle w:val="Heading1numbered"/>
      </w:pPr>
      <w:bookmarkStart w:id="430" w:name="_Toc25662707"/>
      <w:bookmarkStart w:id="431" w:name="_Toc161321790"/>
      <w:r>
        <w:t>Tender evaluation</w:t>
      </w:r>
      <w:bookmarkEnd w:id="430"/>
      <w:bookmarkEnd w:id="431"/>
    </w:p>
    <w:p w14:paraId="3E8EDAC5" w14:textId="7BC72E28" w:rsidR="00825494" w:rsidRPr="00825494" w:rsidRDefault="00825494" w:rsidP="00834461">
      <w:pPr>
        <w:pStyle w:val="NormalIndent"/>
      </w:pPr>
      <w:bookmarkStart w:id="432" w:name="_Ref144243893"/>
      <w:r w:rsidRPr="00825494">
        <w:t>During the tender evaluation phase, the procurement team evaluates the tenders received to identify a preferred contractor. The tenders are evaluated using the criteria set out in the tender evaluation plan</w:t>
      </w:r>
      <w:r w:rsidR="00A705AD">
        <w:t>,</w:t>
      </w:r>
      <w:r w:rsidRPr="00825494">
        <w:t xml:space="preserve"> to ensure the successful tender meets the scope requirements and offers value-for-money.</w:t>
      </w:r>
    </w:p>
    <w:p w14:paraId="639A8051" w14:textId="317B10F0" w:rsidR="00825494" w:rsidRDefault="00825494" w:rsidP="00834461">
      <w:pPr>
        <w:pStyle w:val="NormalIndent"/>
      </w:pPr>
      <w:r w:rsidRPr="00825494">
        <w:t>Tender evaluation processes must be conducted in accordance with the tender documentation and with fairness, equality and impartiality</w:t>
      </w:r>
      <w:r w:rsidR="00ED5F03">
        <w:t>,</w:t>
      </w:r>
      <w:r w:rsidRPr="00825494">
        <w:t xml:space="preserve"> in order to achieve a non-contestable outcome and avoid process problems.</w:t>
      </w:r>
    </w:p>
    <w:p w14:paraId="16894C83" w14:textId="6D6B9EEE" w:rsidR="003324A3" w:rsidRPr="00387024" w:rsidRDefault="003324A3" w:rsidP="00815BAC">
      <w:pPr>
        <w:pStyle w:val="Captionindent"/>
      </w:pPr>
      <w:bookmarkStart w:id="433" w:name="_Toc145621488"/>
      <w:bookmarkStart w:id="434" w:name="_Toc145621617"/>
      <w:bookmarkStart w:id="435" w:name="_Toc160457793"/>
      <w:r w:rsidRPr="00387024">
        <w:t xml:space="preserve">Figure </w:t>
      </w:r>
      <w:r>
        <w:fldChar w:fldCharType="begin"/>
      </w:r>
      <w:r>
        <w:instrText>SEQ Figure \* ARABIC</w:instrText>
      </w:r>
      <w:r>
        <w:fldChar w:fldCharType="separate"/>
      </w:r>
      <w:r w:rsidR="008A4B3E">
        <w:rPr>
          <w:noProof/>
        </w:rPr>
        <w:t>24</w:t>
      </w:r>
      <w:r>
        <w:fldChar w:fldCharType="end"/>
      </w:r>
      <w:r w:rsidR="00E958D5">
        <w:t xml:space="preserve"> –</w:t>
      </w:r>
      <w:r>
        <w:t xml:space="preserve"> </w:t>
      </w:r>
      <w:bookmarkStart w:id="436" w:name="Chapter8"/>
      <w:r w:rsidR="006E3642">
        <w:t>Chapter 8</w:t>
      </w:r>
      <w:bookmarkEnd w:id="436"/>
      <w:r w:rsidR="006E3642">
        <w:t xml:space="preserve"> overview</w:t>
      </w:r>
      <w:bookmarkEnd w:id="432"/>
      <w:bookmarkEnd w:id="433"/>
      <w:bookmarkEnd w:id="434"/>
      <w:bookmarkEnd w:id="435"/>
    </w:p>
    <w:p w14:paraId="7AD91B60" w14:textId="26713CD8" w:rsidR="006B4F86" w:rsidRPr="00387024" w:rsidRDefault="00963F55" w:rsidP="00834461">
      <w:pPr>
        <w:pStyle w:val="NormalIndent"/>
      </w:pPr>
      <w:r w:rsidRPr="00490C38">
        <w:rPr>
          <w:noProof/>
        </w:rPr>
        <w:drawing>
          <wp:inline distT="0" distB="0" distL="0" distR="0" wp14:anchorId="780C805C" wp14:editId="0A88BFDA">
            <wp:extent cx="5224182" cy="1299389"/>
            <wp:effectExtent l="0" t="0" r="0" b="0"/>
            <wp:docPr id="1239886120" name="Graphic 1239886120" descr="Figure 24 provides an overview of the contents of the following chapt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86120" name="Picture 1239886120" descr="Figure 24 provides an overview of the contents of the following chapter (8)"/>
                    <pic:cNvPicPr/>
                  </pic:nvPicPr>
                  <pic:blipFill>
                    <a:blip r:embed="rId183" cstate="screen">
                      <a:extLst>
                        <a:ext uri="{28A0092B-C50C-407E-A947-70E740481C1C}">
                          <a14:useLocalDpi xmlns:a14="http://schemas.microsoft.com/office/drawing/2010/main"/>
                        </a:ext>
                        <a:ext uri="{96DAC541-7B7A-43D3-8B79-37D633B846F1}">
                          <asvg:svgBlip xmlns:asvg="http://schemas.microsoft.com/office/drawing/2016/SVG/main" r:embed="rId184"/>
                        </a:ext>
                      </a:extLst>
                    </a:blip>
                    <a:stretch>
                      <a:fillRect/>
                    </a:stretch>
                  </pic:blipFill>
                  <pic:spPr>
                    <a:xfrm>
                      <a:off x="0" y="0"/>
                      <a:ext cx="5238244" cy="1302886"/>
                    </a:xfrm>
                    <a:prstGeom prst="rect">
                      <a:avLst/>
                    </a:prstGeom>
                  </pic:spPr>
                </pic:pic>
              </a:graphicData>
            </a:graphic>
          </wp:inline>
        </w:drawing>
      </w:r>
    </w:p>
    <w:p w14:paraId="20EF171B" w14:textId="4CCF85A9" w:rsidR="002C09FC" w:rsidRPr="00A51D25" w:rsidRDefault="002C09FC" w:rsidP="001D2615">
      <w:pPr>
        <w:pStyle w:val="Heading2numbered"/>
      </w:pPr>
      <w:bookmarkStart w:id="437" w:name="_Toc25662708"/>
      <w:bookmarkStart w:id="438" w:name="_Toc161321791"/>
      <w:r w:rsidRPr="00A51D25">
        <w:t>Review the tender evaluation plan</w:t>
      </w:r>
      <w:bookmarkEnd w:id="438"/>
    </w:p>
    <w:p w14:paraId="451FC620" w14:textId="6206E96E" w:rsidR="00151120" w:rsidRDefault="565B7B3C" w:rsidP="00834461">
      <w:pPr>
        <w:pStyle w:val="NormalIndent"/>
        <w:rPr>
          <w:rFonts w:cs="Arial"/>
          <w:color w:val="000000"/>
        </w:rPr>
      </w:pPr>
      <w:r w:rsidRPr="00AE3DD1">
        <w:t>A tender evaluation plan should have been developed in the procurement development stage</w:t>
      </w:r>
      <w:r>
        <w:t xml:space="preserve"> (see </w:t>
      </w:r>
      <w:r w:rsidR="009729CB">
        <w:t>S</w:t>
      </w:r>
      <w:r>
        <w:t xml:space="preserve">ection </w:t>
      </w:r>
      <w:r w:rsidR="00E53826">
        <w:fldChar w:fldCharType="begin" w:fldLock="1"/>
      </w:r>
      <w:r w:rsidR="00E53826">
        <w:instrText xml:space="preserve"> REF _Ref144388821 \r \h </w:instrText>
      </w:r>
      <w:r w:rsidR="00E53826">
        <w:fldChar w:fldCharType="separate"/>
      </w:r>
      <w:r w:rsidR="003D4A19">
        <w:t>6.4</w:t>
      </w:r>
      <w:r w:rsidR="00E53826">
        <w:fldChar w:fldCharType="end"/>
      </w:r>
      <w:r>
        <w:t xml:space="preserve"> for </w:t>
      </w:r>
      <w:r w:rsidR="00ED5F03">
        <w:t xml:space="preserve">more </w:t>
      </w:r>
      <w:r>
        <w:t>information on tender</w:t>
      </w:r>
      <w:r w:rsidR="00D169AC">
        <w:t xml:space="preserve"> evaluation plan</w:t>
      </w:r>
      <w:r w:rsidR="00ED5F03">
        <w:t>s</w:t>
      </w:r>
      <w:r w:rsidR="00D169AC">
        <w:t>)</w:t>
      </w:r>
      <w:r w:rsidRPr="00AE3DD1">
        <w:t>.</w:t>
      </w:r>
      <w:r w:rsidR="00151120" w:rsidDel="00151120">
        <w:t xml:space="preserve"> </w:t>
      </w:r>
      <w:bookmarkEnd w:id="437"/>
    </w:p>
    <w:p w14:paraId="6859019C" w14:textId="5E5E448A" w:rsidR="002C09FC" w:rsidRPr="00A57D17" w:rsidRDefault="002C09FC" w:rsidP="00171CF8">
      <w:pPr>
        <w:pStyle w:val="NormalIndent"/>
      </w:pPr>
      <w:r w:rsidRPr="00A57D17">
        <w:t>The plan should be reviewed to ensure it is comprehensive</w:t>
      </w:r>
      <w:r w:rsidR="004A2898">
        <w:t xml:space="preserve"> and</w:t>
      </w:r>
      <w:r w:rsidRPr="00A57D17">
        <w:t xml:space="preserve"> </w:t>
      </w:r>
      <w:r w:rsidRPr="00D100BA">
        <w:rPr>
          <w:rFonts w:cs="Segoe UI"/>
        </w:rPr>
        <w:t>accurate</w:t>
      </w:r>
      <w:r w:rsidR="004A2898">
        <w:rPr>
          <w:rFonts w:cs="Segoe UI"/>
        </w:rPr>
        <w:t>,</w:t>
      </w:r>
      <w:r w:rsidRPr="00A57D17">
        <w:t xml:space="preserve"> and that the criteria address the </w:t>
      </w:r>
      <w:r w:rsidR="004A2898" w:rsidRPr="00A57D17">
        <w:t xml:space="preserve">project </w:t>
      </w:r>
      <w:r w:rsidRPr="00A57D17">
        <w:t xml:space="preserve">requirements. If changes </w:t>
      </w:r>
      <w:r>
        <w:t xml:space="preserve">are required, </w:t>
      </w:r>
      <w:r w:rsidRPr="00A57D17">
        <w:t>they must be communicated to suppliers</w:t>
      </w:r>
      <w:r>
        <w:t xml:space="preserve"> </w:t>
      </w:r>
      <w:r w:rsidR="00E57B92">
        <w:t xml:space="preserve">through </w:t>
      </w:r>
      <w:r>
        <w:t xml:space="preserve">updated tender documentation </w:t>
      </w:r>
      <w:r w:rsidRPr="00A57D17">
        <w:t>prior to the tender closing date.</w:t>
      </w:r>
    </w:p>
    <w:p w14:paraId="399F9A95" w14:textId="3FDC44E4" w:rsidR="002C09FC" w:rsidRDefault="002C09FC" w:rsidP="00834461">
      <w:pPr>
        <w:pStyle w:val="NormalIndent"/>
      </w:pPr>
      <w:r w:rsidRPr="00A57D17">
        <w:t>The tender evaluation plan will include</w:t>
      </w:r>
      <w:r>
        <w:t xml:space="preserve"> process details </w:t>
      </w:r>
      <w:r w:rsidRPr="00A57D17">
        <w:t xml:space="preserve">such as the </w:t>
      </w:r>
      <w:r w:rsidRPr="00D100BA">
        <w:rPr>
          <w:rFonts w:cs="Segoe UI"/>
        </w:rPr>
        <w:t>timetable</w:t>
      </w:r>
      <w:r w:rsidRPr="00A57D17">
        <w:t xml:space="preserve"> for evaluation, </w:t>
      </w:r>
      <w:r w:rsidR="00FC3E85">
        <w:t xml:space="preserve">as well as requirements for </w:t>
      </w:r>
      <w:r w:rsidRPr="00A57D17">
        <w:t>probity</w:t>
      </w:r>
      <w:r w:rsidR="00FC3E85">
        <w:t>,</w:t>
      </w:r>
      <w:r w:rsidRPr="00A57D17">
        <w:t xml:space="preserve"> document</w:t>
      </w:r>
      <w:r w:rsidR="00FC3E85">
        <w:t>ation</w:t>
      </w:r>
      <w:r w:rsidRPr="00A57D17">
        <w:t xml:space="preserve"> and information management. These details should be communicated to all parties involved in the evaluation process</w:t>
      </w:r>
      <w:r w:rsidR="00463C01">
        <w:t>,</w:t>
      </w:r>
      <w:r w:rsidRPr="00A57D17">
        <w:t xml:space="preserve"> including the tender evaluation panel and any specialist advis</w:t>
      </w:r>
      <w:r w:rsidR="00ED5704">
        <w:t>e</w:t>
      </w:r>
      <w:r w:rsidRPr="00A57D17">
        <w:t>rs.</w:t>
      </w:r>
    </w:p>
    <w:p w14:paraId="3AFA28F6" w14:textId="77777777" w:rsidR="002C09FC" w:rsidRPr="005102BC" w:rsidRDefault="002C09FC" w:rsidP="001D2615">
      <w:pPr>
        <w:pStyle w:val="Heading2numbered"/>
      </w:pPr>
      <w:bookmarkStart w:id="439" w:name="_Toc161321792"/>
      <w:r w:rsidRPr="005102BC">
        <w:t>Tender evaluation resources</w:t>
      </w:r>
      <w:bookmarkEnd w:id="439"/>
    </w:p>
    <w:p w14:paraId="2A022F40" w14:textId="77777777" w:rsidR="002C09FC" w:rsidRPr="00387024" w:rsidRDefault="002C09FC" w:rsidP="001D2615">
      <w:pPr>
        <w:pStyle w:val="Heading3numbered"/>
      </w:pPr>
      <w:r w:rsidRPr="00387024">
        <w:t>Tender evaluation panel</w:t>
      </w:r>
    </w:p>
    <w:p w14:paraId="30DB6179" w14:textId="77777777" w:rsidR="002C09FC" w:rsidRPr="00387024" w:rsidRDefault="002C09FC" w:rsidP="00834461">
      <w:pPr>
        <w:pStyle w:val="NormalIndent"/>
      </w:pPr>
      <w:r w:rsidRPr="00EE3025">
        <w:t xml:space="preserve">A tender evaluation panel should be established to assess the tenders. The panel should </w:t>
      </w:r>
      <w:r>
        <w:t xml:space="preserve">be a cross-functional group and may </w:t>
      </w:r>
      <w:r w:rsidRPr="00EE3025">
        <w:t>comprise</w:t>
      </w:r>
      <w:r w:rsidRPr="00387024">
        <w:t>:</w:t>
      </w:r>
    </w:p>
    <w:p w14:paraId="6B3733C6" w14:textId="325F9AAF" w:rsidR="003324A3" w:rsidRPr="00387024" w:rsidRDefault="15C8AB0F" w:rsidP="001D2615">
      <w:pPr>
        <w:pStyle w:val="Bulletindent"/>
      </w:pPr>
      <w:r>
        <w:t>members of the procurement team</w:t>
      </w:r>
    </w:p>
    <w:p w14:paraId="3FCA2472" w14:textId="36FF780A" w:rsidR="003324A3" w:rsidRPr="00387024" w:rsidRDefault="15C8AB0F" w:rsidP="001D2615">
      <w:pPr>
        <w:pStyle w:val="Bulletindent"/>
      </w:pPr>
      <w:r>
        <w:t>other staff with appropriate skills and experience (for example</w:t>
      </w:r>
      <w:r w:rsidR="0044384B">
        <w:t>,</w:t>
      </w:r>
      <w:r>
        <w:t xml:space="preserve"> departmental staff with a strong </w:t>
      </w:r>
      <w:r w:rsidR="0044384B">
        <w:t xml:space="preserve">and relevant </w:t>
      </w:r>
      <w:r>
        <w:t>technical background)</w:t>
      </w:r>
    </w:p>
    <w:p w14:paraId="48E50A72" w14:textId="4B89E08C" w:rsidR="003324A3" w:rsidRPr="00387024" w:rsidRDefault="15C8AB0F" w:rsidP="001D2615">
      <w:pPr>
        <w:pStyle w:val="Bulletindent"/>
      </w:pPr>
      <w:r>
        <w:t>staff from departments with an interest in the project (for example, whe</w:t>
      </w:r>
      <w:r w:rsidR="00145834">
        <w:t>n</w:t>
      </w:r>
      <w:r>
        <w:t xml:space="preserve"> a project has a significant impact on urban planning and amenity, it may be useful to include representatives from Department of </w:t>
      </w:r>
      <w:r w:rsidR="565B7B3C">
        <w:t>Transport and Planning.</w:t>
      </w:r>
      <w:r>
        <w:t xml:space="preserve"> It may also be appropriate to include a DTF representative)</w:t>
      </w:r>
    </w:p>
    <w:p w14:paraId="15CE99DF" w14:textId="77777777" w:rsidR="003324A3" w:rsidRPr="00387024" w:rsidRDefault="15C8AB0F" w:rsidP="001D2615">
      <w:pPr>
        <w:pStyle w:val="Bulletindent"/>
      </w:pPr>
      <w:r>
        <w:t>specialist advisers to the procurement team</w:t>
      </w:r>
    </w:p>
    <w:p w14:paraId="31F1CD6A" w14:textId="42BE6CAB" w:rsidR="003324A3" w:rsidRPr="00387024" w:rsidRDefault="15C8AB0F" w:rsidP="001D2615">
      <w:pPr>
        <w:pStyle w:val="Bulletindent"/>
      </w:pPr>
      <w:r>
        <w:t>representatives from the user reference group, in particular end users</w:t>
      </w:r>
      <w:r w:rsidR="565B7B3C">
        <w:t xml:space="preserve"> (</w:t>
      </w:r>
      <w:r w:rsidR="00145834">
        <w:t>for example, operator</w:t>
      </w:r>
      <w:r w:rsidR="565B7B3C">
        <w:t xml:space="preserve"> representatives).</w:t>
      </w:r>
    </w:p>
    <w:p w14:paraId="24622756" w14:textId="50046CFA" w:rsidR="002C09FC" w:rsidRDefault="002C09FC" w:rsidP="00834461">
      <w:pPr>
        <w:pStyle w:val="NormalIndent"/>
      </w:pPr>
      <w:r w:rsidRPr="00387024">
        <w:t xml:space="preserve">The tender evaluation panel </w:t>
      </w:r>
      <w:r w:rsidRPr="00BF7CF2">
        <w:t>will also include a small number of people who are responsible for evaluating the tenders against the mandatory evaluation criteria specified in the invitation to tender</w:t>
      </w:r>
      <w:r>
        <w:t xml:space="preserve"> (see</w:t>
      </w:r>
      <w:r w:rsidR="009729CB">
        <w:t xml:space="preserve"> </w:t>
      </w:r>
      <w:r>
        <w:rPr>
          <w:highlight w:val="yellow"/>
        </w:rPr>
        <w:fldChar w:fldCharType="begin" w:fldLock="1"/>
      </w:r>
      <w:r>
        <w:instrText xml:space="preserve"> REF _Ref143177972 \r \p \h </w:instrText>
      </w:r>
      <w:r>
        <w:rPr>
          <w:highlight w:val="yellow"/>
        </w:rPr>
      </w:r>
      <w:r>
        <w:rPr>
          <w:highlight w:val="yellow"/>
        </w:rPr>
        <w:fldChar w:fldCharType="separate"/>
      </w:r>
      <w:r w:rsidR="003539E4">
        <w:t>Section 8</w:t>
      </w:r>
      <w:r w:rsidR="003D4A19">
        <w:t>.4.5</w:t>
      </w:r>
      <w:r>
        <w:rPr>
          <w:highlight w:val="yellow"/>
        </w:rPr>
        <w:fldChar w:fldCharType="end"/>
      </w:r>
      <w:r>
        <w:t>).</w:t>
      </w:r>
    </w:p>
    <w:p w14:paraId="648BE130" w14:textId="1AAAD337" w:rsidR="002C09FC" w:rsidRDefault="002C09FC" w:rsidP="001D2615">
      <w:pPr>
        <w:pStyle w:val="Heading3numbered"/>
      </w:pPr>
      <w:r>
        <w:t>Sub</w:t>
      </w:r>
      <w:r w:rsidR="007334C6">
        <w:rPr>
          <w:rFonts w:hint="eastAsia"/>
        </w:rPr>
        <w:t>panel</w:t>
      </w:r>
      <w:r>
        <w:t xml:space="preserve"> arrangements</w:t>
      </w:r>
    </w:p>
    <w:p w14:paraId="654ACB32" w14:textId="63C77E37" w:rsidR="002C09FC" w:rsidRDefault="002C09FC" w:rsidP="00834461">
      <w:pPr>
        <w:pStyle w:val="NormalIndent"/>
      </w:pPr>
      <w:r>
        <w:t xml:space="preserve">For complex evaluations the tender evaluation panel may decide to </w:t>
      </w:r>
      <w:r w:rsidR="00257864">
        <w:t xml:space="preserve">establish </w:t>
      </w:r>
      <w:r>
        <w:t>specialist evaluation boards or sub</w:t>
      </w:r>
      <w:r w:rsidR="007334C6">
        <w:rPr>
          <w:rFonts w:hint="eastAsia"/>
        </w:rPr>
        <w:t>panel</w:t>
      </w:r>
      <w:r>
        <w:t>s to assess specific evaluation criteria such as financial, commercial, technical or legal aspects of the tenders. These sub</w:t>
      </w:r>
      <w:r w:rsidR="007334C6">
        <w:rPr>
          <w:rFonts w:hint="eastAsia"/>
        </w:rPr>
        <w:t>panel</w:t>
      </w:r>
      <w:r>
        <w:t xml:space="preserve">s contribute information and analysis to support the overarching tender evaluation panel </w:t>
      </w:r>
      <w:r w:rsidR="00BF141D">
        <w:t xml:space="preserve">when they are </w:t>
      </w:r>
      <w:r>
        <w:t>assess</w:t>
      </w:r>
      <w:r w:rsidR="00BF141D">
        <w:t>ing</w:t>
      </w:r>
      <w:r>
        <w:t xml:space="preserve"> and scor</w:t>
      </w:r>
      <w:r w:rsidR="00BF141D">
        <w:t>ing</w:t>
      </w:r>
      <w:r>
        <w:t xml:space="preserve"> complex elements of a proposal.</w:t>
      </w:r>
    </w:p>
    <w:p w14:paraId="0162386D" w14:textId="32564506" w:rsidR="002C09FC" w:rsidRDefault="00654E41" w:rsidP="00834461">
      <w:pPr>
        <w:pStyle w:val="NormalIndent"/>
      </w:pPr>
      <w:r>
        <w:t>T</w:t>
      </w:r>
      <w:r w:rsidRPr="00BF7CF2">
        <w:t>he commercial</w:t>
      </w:r>
      <w:r>
        <w:t xml:space="preserve"> manager</w:t>
      </w:r>
      <w:r w:rsidRPr="00BF7CF2">
        <w:t xml:space="preserve"> should chair</w:t>
      </w:r>
      <w:r>
        <w:t xml:space="preserve"> </w:t>
      </w:r>
      <w:r w:rsidR="002C09FC" w:rsidRPr="00BF7CF2">
        <w:t>a commercial or financial sub</w:t>
      </w:r>
      <w:r w:rsidR="007334C6">
        <w:rPr>
          <w:rFonts w:hint="eastAsia"/>
        </w:rPr>
        <w:t>panel</w:t>
      </w:r>
      <w:r w:rsidR="002C09FC" w:rsidRPr="00BF7CF2">
        <w:t>,</w:t>
      </w:r>
      <w:r w:rsidR="000F012B">
        <w:t xml:space="preserve"> </w:t>
      </w:r>
      <w:r w:rsidR="001E0BEE">
        <w:t>and membership will</w:t>
      </w:r>
      <w:r w:rsidR="002C09FC" w:rsidRPr="00BF7CF2">
        <w:t xml:space="preserve"> include the project manager, a relevant finance officer and other function</w:t>
      </w:r>
      <w:r w:rsidR="001E0BEE">
        <w:t>al</w:t>
      </w:r>
      <w:r w:rsidR="002C09FC" w:rsidRPr="00BF7CF2">
        <w:t xml:space="preserve"> specialists. </w:t>
      </w:r>
      <w:r w:rsidR="001E0BEE">
        <w:t>P</w:t>
      </w:r>
      <w:r w:rsidR="001E0BEE" w:rsidRPr="00BF7CF2">
        <w:t xml:space="preserve">ricing information </w:t>
      </w:r>
      <w:r w:rsidR="001E0BEE">
        <w:t xml:space="preserve">should be </w:t>
      </w:r>
      <w:r w:rsidR="001E0BEE" w:rsidRPr="00BF7CF2">
        <w:t xml:space="preserve">restricted to </w:t>
      </w:r>
      <w:r w:rsidR="001E0BEE">
        <w:t>t</w:t>
      </w:r>
      <w:r w:rsidR="002C09FC" w:rsidRPr="00BF7CF2">
        <w:t>hese sub</w:t>
      </w:r>
      <w:r w:rsidR="007334C6">
        <w:rPr>
          <w:rFonts w:hint="eastAsia"/>
        </w:rPr>
        <w:t>panel</w:t>
      </w:r>
      <w:r w:rsidR="002C09FC" w:rsidRPr="00BF7CF2">
        <w:t xml:space="preserve"> members</w:t>
      </w:r>
      <w:r w:rsidR="002C09FC" w:rsidRPr="003317B0">
        <w:t>,</w:t>
      </w:r>
      <w:r w:rsidR="002C09FC" w:rsidRPr="00BF7CF2">
        <w:t xml:space="preserve"> and they must not communicate it to members of other sub</w:t>
      </w:r>
      <w:r w:rsidR="007334C6">
        <w:rPr>
          <w:rFonts w:hint="eastAsia"/>
        </w:rPr>
        <w:t>panel</w:t>
      </w:r>
      <w:r w:rsidR="002C09FC" w:rsidRPr="00BF7CF2">
        <w:t>s.</w:t>
      </w:r>
    </w:p>
    <w:p w14:paraId="243FD4E6" w14:textId="7D8F6653" w:rsidR="002C09FC" w:rsidRPr="002152CE" w:rsidRDefault="002C09FC" w:rsidP="00834461">
      <w:pPr>
        <w:pStyle w:val="NormalIndent"/>
      </w:pPr>
      <w:r>
        <w:t>Technical sub</w:t>
      </w:r>
      <w:r w:rsidR="007334C6">
        <w:rPr>
          <w:rFonts w:hint="eastAsia"/>
        </w:rPr>
        <w:t>panel</w:t>
      </w:r>
      <w:r>
        <w:t xml:space="preserve">s, which may </w:t>
      </w:r>
      <w:r w:rsidR="00A46EFE">
        <w:t>be established to assess</w:t>
      </w:r>
      <w:r>
        <w:t xml:space="preserve"> </w:t>
      </w:r>
      <w:r w:rsidR="005B7366">
        <w:t xml:space="preserve">such elements as </w:t>
      </w:r>
      <w:r>
        <w:t>engineering and design elements of a proposal, should not have access to pric</w:t>
      </w:r>
      <w:r w:rsidR="005B7366">
        <w:t>ing</w:t>
      </w:r>
      <w:r>
        <w:t xml:space="preserve"> but may have access to other commercial information whe</w:t>
      </w:r>
      <w:r w:rsidR="005B7366">
        <w:t>n</w:t>
      </w:r>
      <w:r>
        <w:t xml:space="preserve"> necessary.</w:t>
      </w:r>
    </w:p>
    <w:p w14:paraId="3FD73C8E" w14:textId="3499C504" w:rsidR="002C09FC" w:rsidRDefault="002C09FC" w:rsidP="001D2615">
      <w:pPr>
        <w:pStyle w:val="Heading2numbered"/>
      </w:pPr>
      <w:bookmarkStart w:id="440" w:name="_Toc161321793"/>
      <w:r>
        <w:t>Probity</w:t>
      </w:r>
      <w:r w:rsidR="00076D2D">
        <w:t xml:space="preserve"> in tender evaluation</w:t>
      </w:r>
      <w:bookmarkEnd w:id="440"/>
    </w:p>
    <w:p w14:paraId="3F3AF03C" w14:textId="52AF814B" w:rsidR="002C09FC" w:rsidRDefault="002C09FC" w:rsidP="00834461">
      <w:pPr>
        <w:pStyle w:val="NormalIndent"/>
      </w:pPr>
      <w:r>
        <w:t>Tender evaluation panel members should not engage in any conduct that could impact a fair and transparent selection process</w:t>
      </w:r>
      <w:r w:rsidR="00716EBC">
        <w:t>.</w:t>
      </w:r>
      <w:r>
        <w:t xml:space="preserve"> </w:t>
      </w:r>
      <w:r w:rsidR="00716EBC">
        <w:t xml:space="preserve">They </w:t>
      </w:r>
      <w:r>
        <w:t>must avoid any practice that gives one party an improper advantage over another.</w:t>
      </w:r>
    </w:p>
    <w:p w14:paraId="531F0B75" w14:textId="43610B6F" w:rsidR="002C09FC" w:rsidRDefault="002C09FC" w:rsidP="00834461">
      <w:pPr>
        <w:pStyle w:val="NormalIndent"/>
      </w:pPr>
      <w:r>
        <w:t xml:space="preserve">A probity plan should have been prepared during the procurement development phase (see </w:t>
      </w:r>
      <w:r w:rsidR="003539E4">
        <w:t>S</w:t>
      </w:r>
      <w:r w:rsidR="003539E4" w:rsidRPr="00BA4FB6">
        <w:t xml:space="preserve">ection </w:t>
      </w:r>
      <w:r w:rsidR="00E66A01">
        <w:fldChar w:fldCharType="begin" w:fldLock="1"/>
      </w:r>
      <w:r w:rsidR="00E66A01">
        <w:instrText xml:space="preserve"> REF _Ref144388936 \r \h </w:instrText>
      </w:r>
      <w:r w:rsidR="00E66A01">
        <w:fldChar w:fldCharType="separate"/>
      </w:r>
      <w:r w:rsidR="003D4A19">
        <w:t>5.4</w:t>
      </w:r>
      <w:r w:rsidR="00E66A01">
        <w:fldChar w:fldCharType="end"/>
      </w:r>
      <w:r>
        <w:t xml:space="preserve"> for </w:t>
      </w:r>
      <w:r w:rsidR="00716EBC">
        <w:t xml:space="preserve">more </w:t>
      </w:r>
      <w:r>
        <w:t xml:space="preserve">information on </w:t>
      </w:r>
      <w:r w:rsidR="00917CB6">
        <w:t>probity requirements</w:t>
      </w:r>
      <w:r>
        <w:t>)</w:t>
      </w:r>
      <w:r w:rsidR="00C139CF">
        <w:t>. The probity plan</w:t>
      </w:r>
      <w:r>
        <w:t xml:space="preserve"> will guide the management of information and conflicts of interest during the tender evaluation phase.</w:t>
      </w:r>
    </w:p>
    <w:p w14:paraId="5B78FB47" w14:textId="77777777" w:rsidR="002C09FC" w:rsidRPr="00387024" w:rsidRDefault="002C09FC" w:rsidP="001D2615">
      <w:pPr>
        <w:pStyle w:val="Heading3numbered"/>
      </w:pPr>
      <w:r>
        <w:t>C</w:t>
      </w:r>
      <w:r w:rsidRPr="00387024">
        <w:t>onflicts of interest</w:t>
      </w:r>
    </w:p>
    <w:p w14:paraId="4B4CB420" w14:textId="63D1A8D5" w:rsidR="002C09FC" w:rsidRDefault="002C09FC" w:rsidP="00834461">
      <w:pPr>
        <w:pStyle w:val="NormalIndent"/>
      </w:pPr>
      <w:r>
        <w:t>A conflict of interest arises when a tender evaluation panel member has an affiliation or interest that prejudices, or might be seen to prejudice, their impartiality.</w:t>
      </w:r>
    </w:p>
    <w:p w14:paraId="58A70797" w14:textId="77777777" w:rsidR="002C09FC" w:rsidRDefault="002C09FC" w:rsidP="00834461">
      <w:pPr>
        <w:pStyle w:val="NormalIndent"/>
      </w:pPr>
      <w:r>
        <w:t>Conflicts can be categorised in one of three ways:</w:t>
      </w:r>
    </w:p>
    <w:p w14:paraId="1ADB0F23" w14:textId="39D85A0F" w:rsidR="002C09FC" w:rsidRDefault="565B7B3C" w:rsidP="001D2615">
      <w:pPr>
        <w:pStyle w:val="Bulletindent"/>
      </w:pPr>
      <w:r w:rsidRPr="00462CA1">
        <w:rPr>
          <w:b/>
          <w:bCs/>
        </w:rPr>
        <w:t xml:space="preserve">Actual </w:t>
      </w:r>
      <w:r w:rsidR="00C3280A" w:rsidRPr="00462CA1">
        <w:rPr>
          <w:b/>
          <w:bCs/>
        </w:rPr>
        <w:t>conflicts</w:t>
      </w:r>
      <w:r w:rsidR="00C3280A">
        <w:rPr>
          <w:b/>
          <w:bCs/>
        </w:rPr>
        <w:t xml:space="preserve"> </w:t>
      </w:r>
      <w:r w:rsidR="00C3280A" w:rsidRPr="00E81DE5">
        <w:t>–</w:t>
      </w:r>
      <w:r w:rsidR="00CB655D">
        <w:t xml:space="preserve"> </w:t>
      </w:r>
      <w:r>
        <w:t>where there is a real conflict</w:t>
      </w:r>
      <w:r w:rsidR="000A4EE5">
        <w:t xml:space="preserve">. </w:t>
      </w:r>
      <w:r w:rsidR="006F2A14">
        <w:t>For example, a</w:t>
      </w:r>
      <w:r>
        <w:t>n evaluation panel member has a personal relationship with a tenderer who has submitted a tender or a supplier has advised on early project works and therefore has greater project knowledge than will be provided to other tenderers.</w:t>
      </w:r>
    </w:p>
    <w:p w14:paraId="60E07F0A" w14:textId="3C03C0CD" w:rsidR="002C09FC" w:rsidRDefault="565B7B3C" w:rsidP="001D2615">
      <w:pPr>
        <w:pStyle w:val="Bulletindent"/>
      </w:pPr>
      <w:r w:rsidRPr="00462CA1">
        <w:rPr>
          <w:b/>
          <w:bCs/>
        </w:rPr>
        <w:t>Potential conflict</w:t>
      </w:r>
      <w:r w:rsidRPr="00E81DE5">
        <w:rPr>
          <w:b/>
          <w:bCs/>
        </w:rPr>
        <w:t>s</w:t>
      </w:r>
      <w:r w:rsidR="008027AA" w:rsidRPr="005822D0">
        <w:t xml:space="preserve"> –</w:t>
      </w:r>
      <w:r w:rsidR="005822D0">
        <w:t xml:space="preserve"> </w:t>
      </w:r>
      <w:r>
        <w:t>where future events may result in an actual conflict</w:t>
      </w:r>
      <w:r w:rsidR="00385AE2">
        <w:t xml:space="preserve">. </w:t>
      </w:r>
      <w:r w:rsidR="00312760">
        <w:t>For example, a</w:t>
      </w:r>
      <w:r>
        <w:t xml:space="preserve"> supplier has bid on, and may be awarded, a contract that has competing interests to the project.</w:t>
      </w:r>
    </w:p>
    <w:p w14:paraId="1F768DDC" w14:textId="770839A8" w:rsidR="002C09FC" w:rsidRDefault="565B7B3C" w:rsidP="001D2615">
      <w:pPr>
        <w:pStyle w:val="Bulletindent"/>
      </w:pPr>
      <w:r w:rsidRPr="00462CA1">
        <w:rPr>
          <w:b/>
          <w:bCs/>
        </w:rPr>
        <w:t>Perceived conflict</w:t>
      </w:r>
      <w:r w:rsidRPr="00B6189E">
        <w:rPr>
          <w:b/>
          <w:bCs/>
        </w:rPr>
        <w:t>s</w:t>
      </w:r>
      <w:r w:rsidR="00FD3C6F" w:rsidRPr="00FD3C6F">
        <w:t xml:space="preserve"> </w:t>
      </w:r>
      <w:r w:rsidR="00FD3C6F" w:rsidRPr="00B6189E">
        <w:rPr>
          <w:rFonts w:hint="eastAsia"/>
        </w:rPr>
        <w:t>–</w:t>
      </w:r>
      <w:r w:rsidR="00FD3C6F" w:rsidRPr="00B6189E">
        <w:t xml:space="preserve"> </w:t>
      </w:r>
      <w:r>
        <w:t>where circumstances could cause a third party to think there is a conflict of interest</w:t>
      </w:r>
      <w:r w:rsidR="00EE4672">
        <w:t xml:space="preserve">. </w:t>
      </w:r>
      <w:r w:rsidR="00312760">
        <w:t>For example, a</w:t>
      </w:r>
      <w:r>
        <w:t xml:space="preserve"> tenderer has a personal relationship with an employee of the agency delivering the project, however</w:t>
      </w:r>
      <w:r w:rsidR="005D6026">
        <w:t>,</w:t>
      </w:r>
      <w:r>
        <w:t xml:space="preserve"> that employee is not a tender evaluation panel member and </w:t>
      </w:r>
      <w:r w:rsidR="00403E94">
        <w:t xml:space="preserve">is not </w:t>
      </w:r>
      <w:r>
        <w:t xml:space="preserve">involved in setting the evaluation criteria. While there is no actual conflict of interest, the personal relationship could create the risk of a perception that the employee was involved in the tender evaluation and is </w:t>
      </w:r>
      <w:r w:rsidR="00E81DE5">
        <w:t>able</w:t>
      </w:r>
      <w:r>
        <w:t xml:space="preserve"> to influence the decision.</w:t>
      </w:r>
    </w:p>
    <w:p w14:paraId="222CE1A1" w14:textId="40404E98" w:rsidR="002C09FC" w:rsidRDefault="002C09FC" w:rsidP="00834461">
      <w:pPr>
        <w:pStyle w:val="NormalIndent"/>
      </w:pPr>
      <w:r>
        <w:t>Conflicts of interest do arise</w:t>
      </w:r>
      <w:r w:rsidR="00F67A66">
        <w:t>,</w:t>
      </w:r>
      <w:r>
        <w:t xml:space="preserve"> and provided they are identified early and dealt with effectively, they do not represent any wrongdoing.</w:t>
      </w:r>
    </w:p>
    <w:p w14:paraId="2ED89383" w14:textId="0C45855F" w:rsidR="002C09FC" w:rsidRDefault="002C09FC" w:rsidP="00834461">
      <w:pPr>
        <w:pStyle w:val="NormalIndent"/>
      </w:pPr>
      <w:r w:rsidRPr="00BF7CF2">
        <w:t>Failure to declare an interest</w:t>
      </w:r>
      <w:r>
        <w:t xml:space="preserve">, </w:t>
      </w:r>
      <w:r w:rsidRPr="00BF7CF2">
        <w:t>even if the individual in question believes there is no actual conflict</w:t>
      </w:r>
      <w:r>
        <w:t xml:space="preserve">, </w:t>
      </w:r>
      <w:r w:rsidRPr="00BF7CF2">
        <w:t xml:space="preserve">can compromise the </w:t>
      </w:r>
      <w:r>
        <w:t xml:space="preserve">tender evaluation process </w:t>
      </w:r>
      <w:r w:rsidRPr="00BF7CF2">
        <w:t xml:space="preserve">and may result in legal challenges. </w:t>
      </w:r>
      <w:r>
        <w:t>Tender evaluation panel members are required to maintain the highest standards of ethical behaviour during the evaluation period from receipt of tenders to the contract award decision.</w:t>
      </w:r>
    </w:p>
    <w:p w14:paraId="459FE101" w14:textId="14E00EDC" w:rsidR="002C09FC" w:rsidRDefault="00F67A66" w:rsidP="00834461">
      <w:pPr>
        <w:pStyle w:val="NormalIndent"/>
      </w:pPr>
      <w:r>
        <w:t>P</w:t>
      </w:r>
      <w:r w:rsidR="002C09FC" w:rsidRPr="1B43530C">
        <w:t xml:space="preserve">ublic officials must also comply with the </w:t>
      </w:r>
      <w:hyperlink r:id="rId185" w:history="1">
        <w:r w:rsidR="002C09FC" w:rsidRPr="007C6CA0">
          <w:rPr>
            <w:rStyle w:val="Hyperlink"/>
          </w:rPr>
          <w:t>Code of Conduct for Victorian Public Sector</w:t>
        </w:r>
        <w:r w:rsidR="00F05547" w:rsidRPr="007C6CA0">
          <w:rPr>
            <w:rStyle w:val="Hyperlink"/>
          </w:rPr>
          <w:t xml:space="preserve"> Employees</w:t>
        </w:r>
        <w:r w:rsidR="002C09FC" w:rsidRPr="007C6CA0">
          <w:rPr>
            <w:rStyle w:val="Hyperlink"/>
          </w:rPr>
          <w:t>.</w:t>
        </w:r>
      </w:hyperlink>
    </w:p>
    <w:p w14:paraId="2187CA18" w14:textId="35A285E7" w:rsidR="002C09FC" w:rsidRPr="00EE3025" w:rsidRDefault="002C09FC" w:rsidP="00976D3F">
      <w:pPr>
        <w:pStyle w:val="NormalIndent"/>
        <w:keepNext/>
        <w:rPr>
          <w:rFonts w:ascii="Segoe UI" w:hAnsi="Segoe UI"/>
          <w:sz w:val="18"/>
          <w:szCs w:val="18"/>
        </w:rPr>
      </w:pPr>
      <w:r w:rsidRPr="00EE3025">
        <w:t xml:space="preserve">Tender documentation should include a requirement for all </w:t>
      </w:r>
      <w:r>
        <w:t>tenderers</w:t>
      </w:r>
      <w:r w:rsidRPr="00EE3025">
        <w:t xml:space="preserve"> to identify any conflicts of interest. Conflicts of interest </w:t>
      </w:r>
      <w:r>
        <w:t xml:space="preserve">for suppliers may </w:t>
      </w:r>
      <w:r w:rsidRPr="00EE3025">
        <w:t>include</w:t>
      </w:r>
      <w:r w:rsidR="00160065">
        <w:t xml:space="preserve"> any of the following</w:t>
      </w:r>
      <w:r w:rsidRPr="00EE3025">
        <w:t>:</w:t>
      </w:r>
      <w:r w:rsidRPr="00EE3025" w:rsidDel="00177E31">
        <w:rPr>
          <w:rFonts w:ascii="Calibri" w:hAnsi="Calibri" w:cs="Calibri"/>
        </w:rPr>
        <w:t> </w:t>
      </w:r>
    </w:p>
    <w:p w14:paraId="7160AF51" w14:textId="03C9DB09" w:rsidR="002C09FC" w:rsidRPr="00EE3025" w:rsidRDefault="00160065" w:rsidP="00976D3F">
      <w:pPr>
        <w:pStyle w:val="Bulletindent"/>
        <w:keepNext/>
      </w:pPr>
      <w:r>
        <w:t xml:space="preserve">a </w:t>
      </w:r>
      <w:r w:rsidR="565B7B3C">
        <w:t xml:space="preserve">supplier </w:t>
      </w:r>
      <w:r>
        <w:t xml:space="preserve">has been involved </w:t>
      </w:r>
      <w:r w:rsidR="565B7B3C">
        <w:t>in an earlier stage of the project development</w:t>
      </w:r>
      <w:r w:rsidR="565B7B3C" w:rsidRPr="76AB2BEA" w:rsidDel="00160065">
        <w:rPr>
          <w:rFonts w:ascii="Calibri" w:hAnsi="Calibri"/>
        </w:rPr>
        <w:t> </w:t>
      </w:r>
    </w:p>
    <w:p w14:paraId="2532A3E6" w14:textId="71E498F8" w:rsidR="002C09FC" w:rsidRPr="00EE3025" w:rsidRDefault="00160065" w:rsidP="00976D3F">
      <w:pPr>
        <w:pStyle w:val="Bulletindent"/>
        <w:keepNext/>
      </w:pPr>
      <w:r>
        <w:t xml:space="preserve">a </w:t>
      </w:r>
      <w:r w:rsidR="565B7B3C">
        <w:t>supplier has a competing commercial or private interest in the project</w:t>
      </w:r>
      <w:r w:rsidR="565B7B3C" w:rsidRPr="76AB2BEA" w:rsidDel="00160065">
        <w:rPr>
          <w:rFonts w:ascii="Calibri" w:hAnsi="Calibri"/>
        </w:rPr>
        <w:t> </w:t>
      </w:r>
    </w:p>
    <w:p w14:paraId="22C67092" w14:textId="01B9C6B4" w:rsidR="002C09FC" w:rsidRPr="00EE3025" w:rsidRDefault="00160065" w:rsidP="001D2615">
      <w:pPr>
        <w:pStyle w:val="Bulletindent"/>
      </w:pPr>
      <w:r>
        <w:t>a current</w:t>
      </w:r>
      <w:r w:rsidR="565B7B3C">
        <w:t xml:space="preserve"> supplier </w:t>
      </w:r>
      <w:r>
        <w:t xml:space="preserve">is involved </w:t>
      </w:r>
      <w:r w:rsidR="565B7B3C">
        <w:t>with an interested party with a competing interest</w:t>
      </w:r>
      <w:r w:rsidR="565B7B3C" w:rsidRPr="76AB2BEA" w:rsidDel="00160065">
        <w:rPr>
          <w:rFonts w:ascii="Calibri" w:hAnsi="Calibri"/>
        </w:rPr>
        <w:t> </w:t>
      </w:r>
    </w:p>
    <w:p w14:paraId="31D9457D" w14:textId="46C08988" w:rsidR="002C09FC" w:rsidRPr="00EE3025" w:rsidRDefault="565B7B3C" w:rsidP="001D2615">
      <w:pPr>
        <w:pStyle w:val="Bulletindent"/>
      </w:pPr>
      <w:r>
        <w:t>a supplier</w:t>
      </w:r>
      <w:r w:rsidR="00344D3F">
        <w:t>’</w:t>
      </w:r>
      <w:r>
        <w:t>s affiliations or interests will or may compromise, or has the appearance of compromising, their ability to fulfil their duties in relation to the project</w:t>
      </w:r>
      <w:r w:rsidRPr="76AB2BEA" w:rsidDel="00160065">
        <w:rPr>
          <w:rFonts w:ascii="Calibri" w:hAnsi="Calibri"/>
        </w:rPr>
        <w:t> </w:t>
      </w:r>
    </w:p>
    <w:p w14:paraId="774BABF1" w14:textId="4EB11D41" w:rsidR="002C09FC" w:rsidRPr="00EE3025" w:rsidRDefault="565B7B3C" w:rsidP="001D2615">
      <w:pPr>
        <w:pStyle w:val="Bulletindent"/>
      </w:pPr>
      <w:r>
        <w:t>a supplier</w:t>
      </w:r>
      <w:r w:rsidR="00344D3F">
        <w:t>’</w:t>
      </w:r>
      <w:r>
        <w:t xml:space="preserve">s impartiality </w:t>
      </w:r>
      <w:r w:rsidR="00160065">
        <w:t xml:space="preserve">is </w:t>
      </w:r>
      <w:r>
        <w:t>called into question because of personal, financial or other consideration</w:t>
      </w:r>
      <w:r w:rsidRPr="76AB2BEA" w:rsidDel="00160065">
        <w:rPr>
          <w:rFonts w:ascii="Calibri" w:hAnsi="Calibri"/>
        </w:rPr>
        <w:t> </w:t>
      </w:r>
    </w:p>
    <w:p w14:paraId="2D102D18" w14:textId="00D2DBA0" w:rsidR="002C09FC" w:rsidRPr="00EE3025" w:rsidRDefault="565B7B3C" w:rsidP="001D2615">
      <w:pPr>
        <w:pStyle w:val="Bulletindent"/>
      </w:pPr>
      <w:r>
        <w:t>any situation where a reasonable observer would consider there to be a possibility of bias.</w:t>
      </w:r>
      <w:r w:rsidRPr="76AB2BEA" w:rsidDel="00177E31">
        <w:rPr>
          <w:rFonts w:ascii="Calibri" w:hAnsi="Calibri"/>
        </w:rPr>
        <w:t> </w:t>
      </w:r>
    </w:p>
    <w:p w14:paraId="609EC4F6" w14:textId="1EC39549" w:rsidR="002C09FC" w:rsidRDefault="002C09FC" w:rsidP="00834461">
      <w:pPr>
        <w:pStyle w:val="NormalIndent"/>
      </w:pPr>
      <w:r>
        <w:t xml:space="preserve">While </w:t>
      </w:r>
      <w:r w:rsidRPr="00EE3025">
        <w:t xml:space="preserve">a </w:t>
      </w:r>
      <w:r>
        <w:t>tenderer</w:t>
      </w:r>
      <w:r w:rsidRPr="00EE3025">
        <w:t xml:space="preserve"> </w:t>
      </w:r>
      <w:r w:rsidR="004B2BF8">
        <w:t xml:space="preserve">may </w:t>
      </w:r>
      <w:r w:rsidR="004B2BF8" w:rsidRPr="00EE3025">
        <w:t>ha</w:t>
      </w:r>
      <w:r w:rsidR="004B2BF8">
        <w:t>ve</w:t>
      </w:r>
      <w:r w:rsidR="004B2BF8" w:rsidRPr="00EE3025">
        <w:t xml:space="preserve"> </w:t>
      </w:r>
      <w:r w:rsidRPr="00EE3025">
        <w:t xml:space="preserve">a minor conflict of interest that can be managed throughout the process, </w:t>
      </w:r>
      <w:r>
        <w:t>material conflicts of interest would preclude involvement in the project.</w:t>
      </w:r>
    </w:p>
    <w:p w14:paraId="45F70A00" w14:textId="569FDA0E" w:rsidR="002C09FC" w:rsidRPr="002152CE" w:rsidRDefault="002C09FC" w:rsidP="00834461">
      <w:pPr>
        <w:pStyle w:val="NormalIndent"/>
      </w:pPr>
      <w:r w:rsidRPr="0E9FEF1B">
        <w:t>Given this, all tenderers should be checked for any conflicts of interest as a priority. If any conflict is acknowledged, it should be assessed. Where a conflict will result in a supplier being unable to complete a contract without impacting on project process and probity requirements, it should be ruled out and the tender should not be considered in the evaluation process.</w:t>
      </w:r>
      <w:r w:rsidRPr="0E9FEF1B" w:rsidDel="00177E31">
        <w:rPr>
          <w:rFonts w:ascii="Calibri" w:eastAsia="Times New Roman" w:hAnsi="Calibri" w:cs="Calibri"/>
        </w:rPr>
        <w:t> </w:t>
      </w:r>
    </w:p>
    <w:p w14:paraId="31478CC6" w14:textId="77777777" w:rsidR="003324A3" w:rsidRPr="00387024" w:rsidRDefault="003324A3" w:rsidP="001D2615">
      <w:pPr>
        <w:pStyle w:val="Heading2numbered"/>
      </w:pPr>
      <w:bookmarkStart w:id="441" w:name="_Toc25662714"/>
      <w:bookmarkStart w:id="442" w:name="_Toc161321794"/>
      <w:r w:rsidRPr="00387024">
        <w:t>Evaluation process</w:t>
      </w:r>
      <w:bookmarkEnd w:id="441"/>
      <w:bookmarkEnd w:id="442"/>
    </w:p>
    <w:p w14:paraId="20F05B8D" w14:textId="6A38A841" w:rsidR="002C09FC" w:rsidRPr="008F3E78" w:rsidRDefault="002C09FC" w:rsidP="001D2615">
      <w:pPr>
        <w:pStyle w:val="Heading3numbered"/>
      </w:pPr>
      <w:r>
        <w:t>Evaluation overview</w:t>
      </w:r>
    </w:p>
    <w:p w14:paraId="3FF4FEF9" w14:textId="5CC35AD6" w:rsidR="003324A3" w:rsidRPr="00387024" w:rsidRDefault="003324A3" w:rsidP="008B6E3D">
      <w:pPr>
        <w:pStyle w:val="NormalIndent"/>
        <w:spacing w:before="40" w:after="40"/>
      </w:pPr>
      <w:r w:rsidRPr="00387024">
        <w:t>The tender evaluati</w:t>
      </w:r>
      <w:r w:rsidR="007B17B3">
        <w:t>o</w:t>
      </w:r>
      <w:r w:rsidR="00B40047">
        <w:t>n</w:t>
      </w:r>
      <w:r w:rsidRPr="00387024">
        <w:t xml:space="preserve"> is usually undertaken in the following general phases:</w:t>
      </w:r>
    </w:p>
    <w:p w14:paraId="34E66CA0" w14:textId="07094591" w:rsidR="002C09FC" w:rsidRPr="00BF7CF2" w:rsidRDefault="00F44E42" w:rsidP="001D2615">
      <w:pPr>
        <w:pStyle w:val="Bulletindent"/>
        <w:spacing w:before="40" w:after="40"/>
      </w:pPr>
      <w:r>
        <w:t xml:space="preserve">assess for </w:t>
      </w:r>
      <w:r w:rsidR="565B7B3C">
        <w:t>tender conformance, including against any mandatory criteria</w:t>
      </w:r>
      <w:r w:rsidR="000F012B">
        <w:rPr>
          <w:rFonts w:ascii="Calibri" w:hAnsi="Calibri"/>
        </w:rPr>
        <w:t xml:space="preserve"> </w:t>
      </w:r>
    </w:p>
    <w:p w14:paraId="06E20B9F" w14:textId="2300F2E3" w:rsidR="003324A3" w:rsidRPr="00387024" w:rsidRDefault="00F44E42" w:rsidP="001D2615">
      <w:pPr>
        <w:pStyle w:val="Bulletindent"/>
        <w:spacing w:before="40" w:after="40"/>
      </w:pPr>
      <w:r>
        <w:t xml:space="preserve">eliminate </w:t>
      </w:r>
      <w:r w:rsidR="15C8AB0F">
        <w:t>non-compli</w:t>
      </w:r>
      <w:r w:rsidR="00654C3B">
        <w:t>ant</w:t>
      </w:r>
      <w:r w:rsidR="15C8AB0F">
        <w:t xml:space="preserve"> tenders</w:t>
      </w:r>
    </w:p>
    <w:p w14:paraId="28E48FE8" w14:textId="7C41B0AD" w:rsidR="003324A3" w:rsidRPr="00387024" w:rsidRDefault="00F44E42" w:rsidP="001D2615">
      <w:pPr>
        <w:pStyle w:val="Bulletindent"/>
        <w:spacing w:before="40" w:after="40"/>
      </w:pPr>
      <w:r>
        <w:t xml:space="preserve">undertake and identify </w:t>
      </w:r>
      <w:r w:rsidR="15C8AB0F">
        <w:t>any necessary tender clarifications</w:t>
      </w:r>
    </w:p>
    <w:p w14:paraId="63717326" w14:textId="1A9F9308" w:rsidR="003324A3" w:rsidRPr="00387024" w:rsidRDefault="15C8AB0F" w:rsidP="001D2615">
      <w:pPr>
        <w:pStyle w:val="Bulletindent"/>
        <w:spacing w:before="40" w:after="40"/>
      </w:pPr>
      <w:r>
        <w:t>assesses each submission against agreed non-price criteria to develop an individual tender assessment result</w:t>
      </w:r>
      <w:r w:rsidR="00894D8F">
        <w:t xml:space="preserve"> from each tender evaluation panel member</w:t>
      </w:r>
    </w:p>
    <w:p w14:paraId="125B57AB" w14:textId="2ACF2836" w:rsidR="003324A3" w:rsidRPr="00387024" w:rsidRDefault="00894D8F" w:rsidP="001D2615">
      <w:pPr>
        <w:pStyle w:val="Bulletindent"/>
        <w:spacing w:before="40" w:after="40"/>
      </w:pPr>
      <w:r>
        <w:t>review t</w:t>
      </w:r>
      <w:r w:rsidR="15C8AB0F">
        <w:t xml:space="preserve">he results of the individual tender assessments and either agree </w:t>
      </w:r>
      <w:r w:rsidR="007B20BD">
        <w:t xml:space="preserve">upon </w:t>
      </w:r>
      <w:r w:rsidR="15C8AB0F">
        <w:t>or combine to develop an average and final tender assessment result</w:t>
      </w:r>
    </w:p>
    <w:p w14:paraId="553EECF3" w14:textId="5532C07D" w:rsidR="003324A3" w:rsidRPr="00387024" w:rsidRDefault="00894D8F" w:rsidP="001D2615">
      <w:pPr>
        <w:pStyle w:val="Bulletindent"/>
        <w:spacing w:before="40" w:after="40"/>
      </w:pPr>
      <w:r>
        <w:t xml:space="preserve">undertake </w:t>
      </w:r>
      <w:r w:rsidR="15C8AB0F">
        <w:t xml:space="preserve">a </w:t>
      </w:r>
      <w:r w:rsidR="00A50E67">
        <w:t>VfM</w:t>
      </w:r>
      <w:r w:rsidR="15C8AB0F">
        <w:t xml:space="preserve"> assessment</w:t>
      </w:r>
      <w:r>
        <w:t xml:space="preserve">, </w:t>
      </w:r>
      <w:r w:rsidR="15C8AB0F">
        <w:t>comparing the tender evaluation scores against price</w:t>
      </w:r>
    </w:p>
    <w:p w14:paraId="6A14F819" w14:textId="603B917F" w:rsidR="003324A3" w:rsidRPr="00387024" w:rsidRDefault="00894D8F" w:rsidP="001D2615">
      <w:pPr>
        <w:pStyle w:val="Bulletindent"/>
        <w:spacing w:before="40" w:after="40"/>
      </w:pPr>
      <w:r>
        <w:t xml:space="preserve">interview </w:t>
      </w:r>
      <w:r w:rsidR="15C8AB0F">
        <w:t>the tenderers</w:t>
      </w:r>
      <w:r>
        <w:t xml:space="preserve"> </w:t>
      </w:r>
      <w:r w:rsidR="006A3507">
        <w:t>(</w:t>
      </w:r>
      <w:r w:rsidR="15C8AB0F">
        <w:t xml:space="preserve">the </w:t>
      </w:r>
      <w:r w:rsidR="006A3507">
        <w:t>highest</w:t>
      </w:r>
      <w:r w:rsidR="00F33324">
        <w:t xml:space="preserve"> </w:t>
      </w:r>
      <w:r w:rsidR="006A3507">
        <w:t>scoring</w:t>
      </w:r>
      <w:r w:rsidR="15C8AB0F">
        <w:t xml:space="preserve"> tenderer</w:t>
      </w:r>
      <w:r w:rsidR="00303F72">
        <w:t>,</w:t>
      </w:r>
      <w:r w:rsidR="15C8AB0F">
        <w:t xml:space="preserve"> or </w:t>
      </w:r>
      <w:r w:rsidR="0078343E">
        <w:t>the top two or three</w:t>
      </w:r>
      <w:r w:rsidR="00F33324">
        <w:t xml:space="preserve"> </w:t>
      </w:r>
      <w:r w:rsidR="15C8AB0F">
        <w:t>tenderers</w:t>
      </w:r>
      <w:r w:rsidR="005650E8">
        <w:t>)</w:t>
      </w:r>
    </w:p>
    <w:p w14:paraId="417EBE69" w14:textId="63AE0611" w:rsidR="003324A3" w:rsidRPr="00387024" w:rsidRDefault="00894D8F" w:rsidP="001D2615">
      <w:pPr>
        <w:pStyle w:val="Bulletindent"/>
        <w:spacing w:before="40" w:after="40"/>
      </w:pPr>
      <w:r>
        <w:t xml:space="preserve">undertake </w:t>
      </w:r>
      <w:r w:rsidR="15C8AB0F">
        <w:t xml:space="preserve">best and final offers (BAFOs) </w:t>
      </w:r>
      <w:r w:rsidR="565B7B3C">
        <w:t>(if necessary)</w:t>
      </w:r>
    </w:p>
    <w:p w14:paraId="365B8821" w14:textId="0074A8D7" w:rsidR="002C09FC" w:rsidRPr="00387024" w:rsidRDefault="007648BB" w:rsidP="001D2615">
      <w:pPr>
        <w:pStyle w:val="Bulletindent"/>
        <w:spacing w:before="40" w:after="40"/>
      </w:pPr>
      <w:r>
        <w:t xml:space="preserve">check </w:t>
      </w:r>
      <w:r w:rsidR="00894D8F">
        <w:t>r</w:t>
      </w:r>
      <w:r w:rsidR="565B7B3C">
        <w:t>eference</w:t>
      </w:r>
      <w:r>
        <w:t>s</w:t>
      </w:r>
      <w:r w:rsidR="565B7B3C">
        <w:t xml:space="preserve"> o</w:t>
      </w:r>
      <w:r>
        <w:t>f</w:t>
      </w:r>
      <w:r w:rsidR="565B7B3C">
        <w:t xml:space="preserve"> the two or three highest</w:t>
      </w:r>
      <w:r>
        <w:t xml:space="preserve"> </w:t>
      </w:r>
      <w:r w:rsidR="565B7B3C">
        <w:t>scoring tenderers.</w:t>
      </w:r>
    </w:p>
    <w:p w14:paraId="7082267D" w14:textId="15441A9F" w:rsidR="003324A3" w:rsidRPr="00387024" w:rsidRDefault="001A4E00" w:rsidP="00834461">
      <w:pPr>
        <w:pStyle w:val="NormalIndent"/>
      </w:pPr>
      <w:r>
        <w:t>T</w:t>
      </w:r>
      <w:r w:rsidR="003324A3" w:rsidRPr="00387024">
        <w:t>he probity advis</w:t>
      </w:r>
      <w:r w:rsidR="003324A3">
        <w:t>e</w:t>
      </w:r>
      <w:r w:rsidR="003324A3" w:rsidRPr="00387024">
        <w:t xml:space="preserve">r or auditor </w:t>
      </w:r>
      <w:r>
        <w:t xml:space="preserve">should </w:t>
      </w:r>
      <w:r w:rsidR="003324A3" w:rsidRPr="00387024">
        <w:t xml:space="preserve">observe the tender evaluation process </w:t>
      </w:r>
      <w:r>
        <w:t>(</w:t>
      </w:r>
      <w:r w:rsidRPr="00387024">
        <w:t>if applicable</w:t>
      </w:r>
      <w:r>
        <w:t xml:space="preserve">) </w:t>
      </w:r>
      <w:r w:rsidR="003324A3" w:rsidRPr="00387024">
        <w:t>to ensure consistent and objective assessment.</w:t>
      </w:r>
    </w:p>
    <w:p w14:paraId="4C0B74B5" w14:textId="77777777" w:rsidR="002C09FC" w:rsidRDefault="002C09FC" w:rsidP="001D2615">
      <w:pPr>
        <w:pStyle w:val="Heading3numbered"/>
      </w:pPr>
      <w:r w:rsidRPr="00F8209C">
        <w:t>Late, incomplete or amended tenders</w:t>
      </w:r>
    </w:p>
    <w:p w14:paraId="6E8921C9" w14:textId="77777777" w:rsidR="002C09FC" w:rsidRDefault="002C09FC" w:rsidP="00834461">
      <w:pPr>
        <w:pStyle w:val="NormalIndent"/>
      </w:pPr>
      <w:r>
        <w:t>Tenders that are not received in strict accordance with the tender documentation requirements fall into the following groups:</w:t>
      </w:r>
    </w:p>
    <w:p w14:paraId="1DE21AA7" w14:textId="3EA34FA5" w:rsidR="002C09FC" w:rsidRPr="008D181B" w:rsidRDefault="565B7B3C" w:rsidP="001D2615">
      <w:pPr>
        <w:pStyle w:val="Bulletindent"/>
      </w:pPr>
      <w:r>
        <w:t>late tenders</w:t>
      </w:r>
      <w:r w:rsidR="005B24B9">
        <w:t>,</w:t>
      </w:r>
      <w:r>
        <w:t xml:space="preserve"> which are received after the time and date set out in the tender documentation</w:t>
      </w:r>
    </w:p>
    <w:p w14:paraId="06252B40" w14:textId="7E914D24" w:rsidR="002C09FC" w:rsidRPr="008D181B" w:rsidRDefault="565B7B3C" w:rsidP="001D2615">
      <w:pPr>
        <w:pStyle w:val="Bulletindent"/>
      </w:pPr>
      <w:r>
        <w:t xml:space="preserve">tenders </w:t>
      </w:r>
      <w:r w:rsidR="005B24B9">
        <w:t xml:space="preserve">that </w:t>
      </w:r>
      <w:r>
        <w:t>are late due to a technicality</w:t>
      </w:r>
      <w:r w:rsidR="00F913FE">
        <w:t>,</w:t>
      </w:r>
      <w:r>
        <w:t xml:space="preserve"> such as a delay in transit beyond a supplier</w:t>
      </w:r>
      <w:r w:rsidR="00344D3F">
        <w:t>’</w:t>
      </w:r>
      <w:r>
        <w:t>s control or technical issues with an electronic submission</w:t>
      </w:r>
    </w:p>
    <w:p w14:paraId="5AF8DAAA" w14:textId="54A47356" w:rsidR="002C09FC" w:rsidRPr="008D181B" w:rsidRDefault="565B7B3C" w:rsidP="001D2615">
      <w:pPr>
        <w:pStyle w:val="Bulletindent"/>
      </w:pPr>
      <w:r>
        <w:t>incomplete tender</w:t>
      </w:r>
      <w:r w:rsidR="008934FE">
        <w:t>s</w:t>
      </w:r>
      <w:r>
        <w:t xml:space="preserve"> </w:t>
      </w:r>
      <w:r w:rsidR="00C05D30">
        <w:t xml:space="preserve">that lack </w:t>
      </w:r>
      <w:r>
        <w:t>information necessary for evaluation</w:t>
      </w:r>
    </w:p>
    <w:p w14:paraId="17E9903D" w14:textId="4DF0C5D2" w:rsidR="002C09FC" w:rsidRPr="008D181B" w:rsidRDefault="565B7B3C" w:rsidP="001D2615">
      <w:pPr>
        <w:pStyle w:val="Bulletindent"/>
      </w:pPr>
      <w:r>
        <w:t>amended tender</w:t>
      </w:r>
      <w:r w:rsidR="008934FE">
        <w:t>s,</w:t>
      </w:r>
      <w:r>
        <w:t xml:space="preserve"> where a supplier submits an amendment on their own initiative after the time and date set out in the tender documentation.</w:t>
      </w:r>
    </w:p>
    <w:p w14:paraId="764F3DE3" w14:textId="5C3B7351" w:rsidR="002C09FC" w:rsidRPr="00F8209C" w:rsidRDefault="00F93389" w:rsidP="00834461">
      <w:pPr>
        <w:pStyle w:val="NormalIndent"/>
      </w:pPr>
      <w:r>
        <w:t>These</w:t>
      </w:r>
      <w:r w:rsidR="002C09FC">
        <w:t xml:space="preserve"> tenders should only be considered if there is no reason to doubt the integrity of the supplier involved. The tender evaluation panel should exercise care to avoid probity concerns</w:t>
      </w:r>
      <w:r>
        <w:t>,</w:t>
      </w:r>
      <w:r w:rsidR="002C09FC">
        <w:t xml:space="preserve"> such as accusations of bias</w:t>
      </w:r>
      <w:r>
        <w:t>,</w:t>
      </w:r>
      <w:r w:rsidR="002C09FC">
        <w:t xml:space="preserve"> and must ensure there is a detailed record of the decision to accept the tender for evaluation.</w:t>
      </w:r>
    </w:p>
    <w:p w14:paraId="5906237A" w14:textId="56790E1C" w:rsidR="002C09FC" w:rsidRPr="00F8209C" w:rsidRDefault="002C09FC" w:rsidP="001D2615">
      <w:pPr>
        <w:pStyle w:val="Heading3numbered"/>
      </w:pPr>
      <w:r w:rsidRPr="00F8209C">
        <w:t>Tender clarifications</w:t>
      </w:r>
    </w:p>
    <w:p w14:paraId="5B8BDC74" w14:textId="25FFCA5F" w:rsidR="002C09FC" w:rsidRDefault="00320089" w:rsidP="007B17B3">
      <w:pPr>
        <w:pStyle w:val="NormalIndent"/>
        <w:keepNext/>
      </w:pPr>
      <w:r>
        <w:t xml:space="preserve">So that </w:t>
      </w:r>
      <w:r w:rsidRPr="00EE3025">
        <w:t xml:space="preserve">tenders </w:t>
      </w:r>
      <w:r>
        <w:t>can</w:t>
      </w:r>
      <w:r w:rsidRPr="00EE3025">
        <w:t xml:space="preserve"> be assessed on a like-for-like basis</w:t>
      </w:r>
      <w:r>
        <w:t>, i</w:t>
      </w:r>
      <w:r w:rsidR="002C09FC">
        <w:t xml:space="preserve">t </w:t>
      </w:r>
      <w:r w:rsidR="002C09FC" w:rsidRPr="00EE3025">
        <w:t>may be necessary to clarify aspects of a tender so that all commercial</w:t>
      </w:r>
      <w:r w:rsidR="002C09FC" w:rsidRPr="00EC6F3C">
        <w:t xml:space="preserve"> </w:t>
      </w:r>
      <w:r w:rsidR="002C09FC">
        <w:t>or technical</w:t>
      </w:r>
      <w:r w:rsidR="002C09FC" w:rsidRPr="00EE3025">
        <w:t xml:space="preserve"> issues are clear and understood.</w:t>
      </w:r>
    </w:p>
    <w:p w14:paraId="1F9545E1" w14:textId="0643D3F1" w:rsidR="002C09FC" w:rsidRDefault="002C09FC" w:rsidP="00834461">
      <w:pPr>
        <w:pStyle w:val="NormalIndent"/>
      </w:pPr>
      <w:r w:rsidRPr="00EE3025">
        <w:t xml:space="preserve">A single point of contact should be nominated to </w:t>
      </w:r>
      <w:r>
        <w:t xml:space="preserve">coordinate </w:t>
      </w:r>
      <w:r w:rsidRPr="00EE3025">
        <w:t>tender clarifications</w:t>
      </w:r>
      <w:r>
        <w:t xml:space="preserve"> and supplier responses</w:t>
      </w:r>
      <w:r w:rsidRPr="00EE3025">
        <w:t>. Tender clarifications should be submitted in writing to each tenderer</w:t>
      </w:r>
      <w:r w:rsidR="00DA7F84">
        <w:t>,</w:t>
      </w:r>
      <w:r>
        <w:t xml:space="preserve"> with records kept of the clarification and the response. Tender clarifications should be resolved and recorded before a final tender evaluation decision is made.</w:t>
      </w:r>
    </w:p>
    <w:p w14:paraId="3CA68641" w14:textId="4FC8E209" w:rsidR="002C09FC" w:rsidRDefault="00414533" w:rsidP="00834461">
      <w:pPr>
        <w:pStyle w:val="NormalIndent"/>
        <w:rPr>
          <w:rFonts w:ascii="Calibri" w:hAnsi="Calibri" w:cs="Calibri"/>
        </w:rPr>
      </w:pPr>
      <w:r>
        <w:t>Request</w:t>
      </w:r>
      <w:r w:rsidR="00E846DE">
        <w:t>s for</w:t>
      </w:r>
      <w:r w:rsidRPr="00EE3025">
        <w:t xml:space="preserve"> </w:t>
      </w:r>
      <w:r w:rsidR="002C09FC" w:rsidRPr="00EE3025">
        <w:t xml:space="preserve">tender clarifications </w:t>
      </w:r>
      <w:r>
        <w:t>are likely to</w:t>
      </w:r>
      <w:r w:rsidR="002C09FC" w:rsidRPr="00EE3025">
        <w:t xml:space="preserve"> be different for each tenderer</w:t>
      </w:r>
      <w:r w:rsidR="002C09FC">
        <w:t>. T</w:t>
      </w:r>
      <w:r w:rsidR="002C09FC" w:rsidRPr="00EE3025">
        <w:t>ender clarifications should not be circulated to other tenderers</w:t>
      </w:r>
      <w:r w:rsidR="00567EA8">
        <w:t>. T</w:t>
      </w:r>
      <w:r w:rsidR="002C09FC" w:rsidRPr="00EE3025">
        <w:t xml:space="preserve">o do so may result in breaches of confidentiality. </w:t>
      </w:r>
      <w:r w:rsidR="00D338FF">
        <w:t>T</w:t>
      </w:r>
      <w:r w:rsidR="002C09FC">
        <w:t xml:space="preserve">o </w:t>
      </w:r>
      <w:r w:rsidR="00D338FF">
        <w:t xml:space="preserve">manage any </w:t>
      </w:r>
      <w:r w:rsidR="002C09FC">
        <w:t xml:space="preserve">risk of a probity breach through the </w:t>
      </w:r>
      <w:r w:rsidR="002C09FC" w:rsidRPr="00EE3025">
        <w:t>tender clarification</w:t>
      </w:r>
      <w:r w:rsidR="002C09FC">
        <w:t xml:space="preserve"> process, all tender clarifications </w:t>
      </w:r>
      <w:r w:rsidR="002C09FC" w:rsidRPr="00EE3025">
        <w:t xml:space="preserve">should be overseen by a probity adviser or auditor </w:t>
      </w:r>
      <w:r w:rsidR="00113ADC">
        <w:t>(</w:t>
      </w:r>
      <w:r w:rsidR="002C09FC" w:rsidRPr="00EE3025">
        <w:t>if appointed</w:t>
      </w:r>
      <w:r w:rsidR="00113ADC">
        <w:t>)</w:t>
      </w:r>
      <w:r w:rsidR="002C09FC" w:rsidRPr="00EE3025">
        <w:t>.</w:t>
      </w:r>
      <w:r w:rsidR="002C09FC" w:rsidRPr="00EE3025">
        <w:rPr>
          <w:rFonts w:ascii="Calibri" w:hAnsi="Calibri" w:cs="Calibri"/>
        </w:rPr>
        <w:t> </w:t>
      </w:r>
    </w:p>
    <w:p w14:paraId="5B794A52" w14:textId="77777777" w:rsidR="002C09FC" w:rsidRPr="007A40C2" w:rsidRDefault="002C09FC" w:rsidP="001D2615">
      <w:pPr>
        <w:pStyle w:val="Heading3numbered"/>
      </w:pPr>
      <w:r w:rsidRPr="007A40C2">
        <w:t>Alternative proposals</w:t>
      </w:r>
      <w:r w:rsidRPr="007A40C2">
        <w:rPr>
          <w:rFonts w:ascii="Calibri" w:eastAsia="Times New Roman" w:hAnsi="Calibri" w:cs="Calibri"/>
        </w:rPr>
        <w:t> </w:t>
      </w:r>
    </w:p>
    <w:p w14:paraId="57251C68" w14:textId="738D3629" w:rsidR="002C09FC" w:rsidRDefault="002C09FC" w:rsidP="00834461">
      <w:pPr>
        <w:pStyle w:val="NormalIndent"/>
      </w:pPr>
      <w:r w:rsidRPr="00EE3025">
        <w:t>A</w:t>
      </w:r>
      <w:r w:rsidR="00E872D2">
        <w:t>n a</w:t>
      </w:r>
      <w:r w:rsidRPr="00EE3025">
        <w:t xml:space="preserve">lternative proposal </w:t>
      </w:r>
      <w:r w:rsidR="00E872D2">
        <w:t>is a</w:t>
      </w:r>
      <w:r w:rsidR="00E872D2" w:rsidRPr="00EE3025">
        <w:t xml:space="preserve"> </w:t>
      </w:r>
      <w:r w:rsidRPr="00EE3025">
        <w:t>non-conforming</w:t>
      </w:r>
      <w:r>
        <w:t xml:space="preserve"> tender </w:t>
      </w:r>
      <w:r w:rsidR="00E31757">
        <w:t xml:space="preserve">that </w:t>
      </w:r>
      <w:r>
        <w:t xml:space="preserve">a supplier </w:t>
      </w:r>
      <w:r w:rsidR="00E872D2">
        <w:t xml:space="preserve">submits </w:t>
      </w:r>
      <w:r>
        <w:t>alongside a conforming tender.</w:t>
      </w:r>
    </w:p>
    <w:p w14:paraId="45BF9BD8" w14:textId="23276352" w:rsidR="002C09FC" w:rsidRDefault="00320C7A" w:rsidP="00834461">
      <w:pPr>
        <w:pStyle w:val="NormalIndent"/>
      </w:pPr>
      <w:r>
        <w:t>A</w:t>
      </w:r>
      <w:r w:rsidR="002C09FC">
        <w:t>lternative proposal</w:t>
      </w:r>
      <w:r>
        <w:t>s</w:t>
      </w:r>
      <w:r w:rsidR="002C09FC">
        <w:t xml:space="preserve"> are usually submitted whe</w:t>
      </w:r>
      <w:r>
        <w:t>n</w:t>
      </w:r>
      <w:r w:rsidR="002C09FC">
        <w:t xml:space="preserve"> tenderers consider they add value to a procurement</w:t>
      </w:r>
      <w:r w:rsidR="003266CF">
        <w:t>, for example, if they propose</w:t>
      </w:r>
      <w:r w:rsidR="002C09FC" w:rsidRPr="00EE3025">
        <w:t xml:space="preserve"> a solution that better meets procurement requirements than a</w:t>
      </w:r>
      <w:r w:rsidR="00901301">
        <w:t>re</w:t>
      </w:r>
      <w:r w:rsidR="002C09FC" w:rsidRPr="00EE3025">
        <w:t xml:space="preserve"> specified in the tender document</w:t>
      </w:r>
      <w:r w:rsidR="002C09FC">
        <w:t>ation</w:t>
      </w:r>
      <w:r w:rsidR="002C09FC" w:rsidRPr="00EE3025">
        <w:t>, or whe</w:t>
      </w:r>
      <w:r w:rsidR="00901301">
        <w:t>n</w:t>
      </w:r>
      <w:r w:rsidR="002C09FC" w:rsidRPr="00EE3025">
        <w:t xml:space="preserve"> they incorporate innovation</w:t>
      </w:r>
      <w:r w:rsidR="002C09FC">
        <w:t xml:space="preserve"> to </w:t>
      </w:r>
      <w:r w:rsidR="004D22C1">
        <w:t xml:space="preserve">improve </w:t>
      </w:r>
      <w:r w:rsidR="002C09FC">
        <w:t>the project outcome</w:t>
      </w:r>
      <w:r w:rsidR="002C09FC" w:rsidRPr="00EE3025">
        <w:t>.</w:t>
      </w:r>
    </w:p>
    <w:p w14:paraId="62CA940B" w14:textId="6F4137FC" w:rsidR="002C09FC" w:rsidRPr="00BF7CF2" w:rsidRDefault="002C09FC" w:rsidP="00834461">
      <w:pPr>
        <w:pStyle w:val="NormalIndent"/>
      </w:pPr>
      <w:r>
        <w:t>Alternative proposals must be evaluated in accordance with the framework set out</w:t>
      </w:r>
      <w:r w:rsidR="008B6E3D">
        <w:rPr>
          <w:rFonts w:ascii="Calibri" w:hAnsi="Calibri" w:cs="Calibri"/>
        </w:rPr>
        <w:t> </w:t>
      </w:r>
      <w:r>
        <w:t xml:space="preserve">in the tender evaluation plan for such proposals. </w:t>
      </w:r>
      <w:r w:rsidRPr="00EE3025">
        <w:t xml:space="preserve">Ordinarily, </w:t>
      </w:r>
      <w:r w:rsidR="00813630">
        <w:t>this</w:t>
      </w:r>
      <w:r>
        <w:t xml:space="preserve"> framework only</w:t>
      </w:r>
      <w:r w:rsidR="008B6E3D">
        <w:rPr>
          <w:rFonts w:ascii="Calibri" w:hAnsi="Calibri" w:cs="Calibri"/>
        </w:rPr>
        <w:t> </w:t>
      </w:r>
      <w:r>
        <w:t>allow</w:t>
      </w:r>
      <w:r w:rsidR="00813630">
        <w:t>s</w:t>
      </w:r>
      <w:r>
        <w:t xml:space="preserve"> consideration of alternative proposals whe</w:t>
      </w:r>
      <w:r w:rsidR="001B465E">
        <w:t>n</w:t>
      </w:r>
      <w:r>
        <w:t xml:space="preserve"> </w:t>
      </w:r>
      <w:r w:rsidRPr="00EE3025">
        <w:t>they accompany a conforming tender.</w:t>
      </w:r>
    </w:p>
    <w:p w14:paraId="109E5D64" w14:textId="77777777" w:rsidR="002C09FC" w:rsidRPr="00BF7CF2" w:rsidRDefault="002C09FC" w:rsidP="001D2615">
      <w:pPr>
        <w:pStyle w:val="Heading3numbered"/>
      </w:pPr>
      <w:bookmarkStart w:id="443" w:name="_Ref143177972"/>
      <w:r w:rsidRPr="00BF7CF2">
        <w:t>Evaluation of mandatory criteria</w:t>
      </w:r>
      <w:bookmarkEnd w:id="443"/>
      <w:r w:rsidRPr="00BF7CF2">
        <w:rPr>
          <w:rFonts w:ascii="Calibri" w:eastAsia="Times New Roman" w:hAnsi="Calibri" w:cs="Calibri"/>
        </w:rPr>
        <w:t> </w:t>
      </w:r>
    </w:p>
    <w:p w14:paraId="26716E51" w14:textId="4BD1CC68" w:rsidR="002C09FC" w:rsidRDefault="002C09FC" w:rsidP="00834461">
      <w:pPr>
        <w:pStyle w:val="NormalIndent"/>
      </w:pPr>
      <w:r>
        <w:t>Tenderers are required to satisfy several mandatory criteria before they can be awarded a contract</w:t>
      </w:r>
      <w:r w:rsidR="0021787E">
        <w:t>,</w:t>
      </w:r>
      <w:r>
        <w:t xml:space="preserve"> and these criteria should be clearly </w:t>
      </w:r>
      <w:r w:rsidRPr="00EE3025">
        <w:t>identif</w:t>
      </w:r>
      <w:r>
        <w:t>ied in the tender documentation.</w:t>
      </w:r>
    </w:p>
    <w:tbl>
      <w:tblPr>
        <w:tblStyle w:val="DTFtexttableindent"/>
        <w:tblW w:w="8208" w:type="dxa"/>
        <w:tblBorders>
          <w:bottom w:val="none" w:sz="0" w:space="0" w:color="auto"/>
          <w:insideH w:val="none" w:sz="0" w:space="0" w:color="auto"/>
        </w:tblBorders>
        <w:shd w:val="clear" w:color="auto" w:fill="F2F2F2" w:themeFill="background1" w:themeFillShade="F2"/>
        <w:tblLayout w:type="fixed"/>
        <w:tblLook w:val="04A0" w:firstRow="1" w:lastRow="0" w:firstColumn="1" w:lastColumn="0" w:noHBand="0" w:noVBand="1"/>
      </w:tblPr>
      <w:tblGrid>
        <w:gridCol w:w="738"/>
        <w:gridCol w:w="7470"/>
      </w:tblGrid>
      <w:tr w:rsidR="002C09FC" w:rsidRPr="0000079A" w14:paraId="5DF41711" w14:textId="77777777" w:rsidTr="00976D3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38" w:type="dxa"/>
            <w:shd w:val="clear" w:color="auto" w:fill="F2F2F2" w:themeFill="background1" w:themeFillShade="F2"/>
            <w:hideMark/>
          </w:tcPr>
          <w:p w14:paraId="68A1DA9C" w14:textId="47B23814" w:rsidR="002C09FC" w:rsidRPr="0000079A" w:rsidRDefault="007B17B3" w:rsidP="00F7602B">
            <w:pPr>
              <w:spacing w:before="60" w:after="60"/>
              <w:ind w:right="7187"/>
              <w:rPr>
                <w:rFonts w:ascii="VIC" w:hAnsi="VIC"/>
              </w:rPr>
            </w:pPr>
            <w:r>
              <w:rPr>
                <w:noProof/>
              </w:rPr>
              <w:drawing>
                <wp:inline distT="0" distB="0" distL="0" distR="0" wp14:anchorId="1B1E3E4B" wp14:editId="2C21EE82">
                  <wp:extent cx="371475" cy="278607"/>
                  <wp:effectExtent l="0" t="0" r="0" b="7620"/>
                  <wp:docPr id="60" name="Picture 6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470" w:type="dxa"/>
            <w:shd w:val="clear" w:color="auto" w:fill="F2F2F2" w:themeFill="background1" w:themeFillShade="F2"/>
            <w:hideMark/>
          </w:tcPr>
          <w:p w14:paraId="244C93ED" w14:textId="1198E349" w:rsidR="002C09FC" w:rsidRPr="007B17B3" w:rsidRDefault="002D57A9" w:rsidP="00BD707E">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16A27">
              <w:t>Ministerial Direction and Instruction for Public Construction Procurement</w:t>
            </w:r>
            <w:r w:rsidDel="005751CD">
              <w:t xml:space="preserve"> </w:t>
            </w:r>
            <w:r w:rsidR="002C09FC" w:rsidRPr="007B17B3">
              <w:rPr>
                <w:rFonts w:asciiTheme="minorHAnsi" w:hAnsiTheme="minorHAnsi"/>
              </w:rPr>
              <w:t xml:space="preserve">3.7.3 requires agencies to ensure that a tender participant satisfies the criteria before awarding a contract to perform </w:t>
            </w:r>
            <w:r w:rsidR="00C86ECC" w:rsidRPr="007B17B3">
              <w:rPr>
                <w:rFonts w:asciiTheme="minorHAnsi" w:hAnsiTheme="minorHAnsi"/>
              </w:rPr>
              <w:t>w</w:t>
            </w:r>
            <w:r w:rsidR="002C09FC" w:rsidRPr="007B17B3">
              <w:rPr>
                <w:rFonts w:asciiTheme="minorHAnsi" w:hAnsiTheme="minorHAnsi"/>
              </w:rPr>
              <w:t xml:space="preserve">orks or </w:t>
            </w:r>
            <w:r w:rsidR="00C86ECC" w:rsidRPr="007B17B3">
              <w:rPr>
                <w:rFonts w:asciiTheme="minorHAnsi" w:hAnsiTheme="minorHAnsi"/>
              </w:rPr>
              <w:t>c</w:t>
            </w:r>
            <w:r w:rsidR="002C09FC" w:rsidRPr="007B17B3">
              <w:rPr>
                <w:rFonts w:asciiTheme="minorHAnsi" w:hAnsiTheme="minorHAnsi"/>
              </w:rPr>
              <w:t xml:space="preserve">onstruction </w:t>
            </w:r>
            <w:r w:rsidR="00C86ECC" w:rsidRPr="007B17B3">
              <w:rPr>
                <w:rFonts w:asciiTheme="minorHAnsi" w:hAnsiTheme="minorHAnsi"/>
              </w:rPr>
              <w:t>s</w:t>
            </w:r>
            <w:r w:rsidR="002C09FC" w:rsidRPr="007B17B3">
              <w:rPr>
                <w:rFonts w:asciiTheme="minorHAnsi" w:hAnsiTheme="minorHAnsi"/>
              </w:rPr>
              <w:t>ervices.</w:t>
            </w:r>
          </w:p>
          <w:p w14:paraId="28D3AB3D" w14:textId="420B8141" w:rsidR="002C09FC" w:rsidRPr="007B17B3" w:rsidRDefault="002C09FC" w:rsidP="00BD707E">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B17B3">
              <w:rPr>
                <w:rFonts w:asciiTheme="minorHAnsi" w:hAnsiTheme="minorHAnsi"/>
              </w:rPr>
              <w:t>Where a tender participant has already been assessed against the mandatory criteria as part of a prequalification process</w:t>
            </w:r>
            <w:r w:rsidR="0011518D" w:rsidRPr="007B17B3">
              <w:rPr>
                <w:rFonts w:asciiTheme="minorHAnsi" w:hAnsiTheme="minorHAnsi"/>
              </w:rPr>
              <w:t xml:space="preserve"> (</w:t>
            </w:r>
            <w:r w:rsidRPr="007B17B3">
              <w:rPr>
                <w:rFonts w:asciiTheme="minorHAnsi" w:hAnsiTheme="minorHAnsi"/>
              </w:rPr>
              <w:t>qualif</w:t>
            </w:r>
            <w:r w:rsidR="001B784B">
              <w:rPr>
                <w:rFonts w:asciiTheme="minorHAnsi" w:hAnsiTheme="minorHAnsi"/>
              </w:rPr>
              <w:t>ying</w:t>
            </w:r>
            <w:r w:rsidRPr="007B17B3">
              <w:rPr>
                <w:rFonts w:asciiTheme="minorHAnsi" w:hAnsiTheme="minorHAnsi"/>
              </w:rPr>
              <w:t xml:space="preserve"> or requalif</w:t>
            </w:r>
            <w:r w:rsidR="001B784B">
              <w:rPr>
                <w:rFonts w:asciiTheme="minorHAnsi" w:hAnsiTheme="minorHAnsi"/>
              </w:rPr>
              <w:t>ying for</w:t>
            </w:r>
            <w:r w:rsidRPr="007B17B3">
              <w:rPr>
                <w:rFonts w:asciiTheme="minorHAnsi" w:hAnsiTheme="minorHAnsi"/>
              </w:rPr>
              <w:t xml:space="preserve"> a </w:t>
            </w:r>
            <w:r w:rsidR="00BD707E" w:rsidRPr="007B17B3">
              <w:rPr>
                <w:rFonts w:asciiTheme="minorHAnsi" w:hAnsiTheme="minorHAnsi"/>
              </w:rPr>
              <w:t>r</w:t>
            </w:r>
            <w:r w:rsidRPr="007B17B3">
              <w:rPr>
                <w:rFonts w:asciiTheme="minorHAnsi" w:hAnsiTheme="minorHAnsi"/>
              </w:rPr>
              <w:t xml:space="preserve">egister, becoming a member of a </w:t>
            </w:r>
            <w:r w:rsidR="00BD707E" w:rsidRPr="007B17B3">
              <w:rPr>
                <w:rFonts w:asciiTheme="minorHAnsi" w:hAnsiTheme="minorHAnsi"/>
              </w:rPr>
              <w:t>s</w:t>
            </w:r>
            <w:r w:rsidRPr="007B17B3">
              <w:rPr>
                <w:rFonts w:asciiTheme="minorHAnsi" w:hAnsiTheme="minorHAnsi"/>
              </w:rPr>
              <w:t xml:space="preserve">upplier </w:t>
            </w:r>
            <w:r w:rsidR="00BD707E" w:rsidRPr="007B17B3">
              <w:rPr>
                <w:rFonts w:asciiTheme="minorHAnsi" w:hAnsiTheme="minorHAnsi"/>
              </w:rPr>
              <w:t>p</w:t>
            </w:r>
            <w:r w:rsidRPr="007B17B3">
              <w:rPr>
                <w:rFonts w:asciiTheme="minorHAnsi" w:hAnsiTheme="minorHAnsi"/>
              </w:rPr>
              <w:t>anel</w:t>
            </w:r>
            <w:r w:rsidR="00772716">
              <w:rPr>
                <w:rFonts w:asciiTheme="minorHAnsi" w:hAnsiTheme="minorHAnsi"/>
              </w:rPr>
              <w:t>,</w:t>
            </w:r>
            <w:r w:rsidRPr="007B17B3">
              <w:rPr>
                <w:rFonts w:asciiTheme="minorHAnsi" w:hAnsiTheme="minorHAnsi"/>
              </w:rPr>
              <w:t xml:space="preserve"> or an </w:t>
            </w:r>
            <w:r w:rsidR="00A10147">
              <w:rPr>
                <w:rFonts w:asciiTheme="minorHAnsi" w:hAnsiTheme="minorHAnsi"/>
              </w:rPr>
              <w:t>EOI</w:t>
            </w:r>
            <w:r w:rsidRPr="007B17B3">
              <w:rPr>
                <w:rFonts w:asciiTheme="minorHAnsi" w:hAnsiTheme="minorHAnsi"/>
              </w:rPr>
              <w:t xml:space="preserve"> process</w:t>
            </w:r>
            <w:r w:rsidR="0011518D" w:rsidRPr="007B17B3">
              <w:rPr>
                <w:rFonts w:asciiTheme="minorHAnsi" w:hAnsiTheme="minorHAnsi"/>
              </w:rPr>
              <w:t>)</w:t>
            </w:r>
            <w:r w:rsidRPr="007B17B3">
              <w:rPr>
                <w:rFonts w:asciiTheme="minorHAnsi" w:hAnsiTheme="minorHAnsi"/>
              </w:rPr>
              <w:t xml:space="preserve">, the </w:t>
            </w:r>
            <w:r w:rsidR="00772716">
              <w:rPr>
                <w:rFonts w:asciiTheme="minorHAnsi" w:hAnsiTheme="minorHAnsi"/>
              </w:rPr>
              <w:t>a</w:t>
            </w:r>
            <w:r w:rsidRPr="007B17B3">
              <w:rPr>
                <w:rFonts w:asciiTheme="minorHAnsi" w:hAnsiTheme="minorHAnsi"/>
              </w:rPr>
              <w:t>gency does not need to reassess the tender participant against the criteria</w:t>
            </w:r>
            <w:r w:rsidR="00452328" w:rsidRPr="007B17B3">
              <w:rPr>
                <w:rFonts w:asciiTheme="minorHAnsi" w:hAnsiTheme="minorHAnsi"/>
              </w:rPr>
              <w:t>,</w:t>
            </w:r>
            <w:r w:rsidRPr="007B17B3">
              <w:rPr>
                <w:rFonts w:asciiTheme="minorHAnsi" w:hAnsiTheme="minorHAnsi"/>
              </w:rPr>
              <w:t xml:space="preserve"> provided they confirm, prior to contract award, that:</w:t>
            </w:r>
          </w:p>
          <w:p w14:paraId="5B5D0937" w14:textId="07B143D4" w:rsidR="002C09FC" w:rsidRPr="007B17B3" w:rsidRDefault="002C09FC" w:rsidP="001D2615">
            <w:pPr>
              <w:pStyle w:val="Tablenum2"/>
              <w:numPr>
                <w:ilvl w:val="3"/>
                <w:numId w:val="13"/>
              </w:numPr>
              <w:ind w:left="36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B17B3">
              <w:rPr>
                <w:rFonts w:asciiTheme="minorHAnsi" w:hAnsiTheme="minorHAnsi"/>
              </w:rPr>
              <w:t xml:space="preserve">in the case of a tender participant prequalified on a </w:t>
            </w:r>
            <w:r w:rsidR="00BD707E" w:rsidRPr="007B17B3">
              <w:rPr>
                <w:rFonts w:asciiTheme="minorHAnsi" w:hAnsiTheme="minorHAnsi"/>
              </w:rPr>
              <w:t>r</w:t>
            </w:r>
            <w:r w:rsidRPr="007B17B3">
              <w:rPr>
                <w:rFonts w:asciiTheme="minorHAnsi" w:hAnsiTheme="minorHAnsi"/>
              </w:rPr>
              <w:t xml:space="preserve">egister or a member of a </w:t>
            </w:r>
            <w:r w:rsidR="00BD707E" w:rsidRPr="007B17B3">
              <w:rPr>
                <w:rFonts w:asciiTheme="minorHAnsi" w:hAnsiTheme="minorHAnsi"/>
              </w:rPr>
              <w:t>s</w:t>
            </w:r>
            <w:r w:rsidRPr="007B17B3">
              <w:rPr>
                <w:rFonts w:asciiTheme="minorHAnsi" w:hAnsiTheme="minorHAnsi"/>
              </w:rPr>
              <w:t xml:space="preserve">upplier </w:t>
            </w:r>
            <w:r w:rsidR="00BD707E" w:rsidRPr="007B17B3">
              <w:rPr>
                <w:rFonts w:asciiTheme="minorHAnsi" w:hAnsiTheme="minorHAnsi"/>
              </w:rPr>
              <w:t>p</w:t>
            </w:r>
            <w:r w:rsidRPr="007B17B3">
              <w:rPr>
                <w:rFonts w:asciiTheme="minorHAnsi" w:hAnsiTheme="minorHAnsi"/>
              </w:rPr>
              <w:t xml:space="preserve">anel, the tender participant remains on that </w:t>
            </w:r>
            <w:r w:rsidR="00BD707E" w:rsidRPr="007B17B3">
              <w:rPr>
                <w:rFonts w:asciiTheme="minorHAnsi" w:hAnsiTheme="minorHAnsi"/>
              </w:rPr>
              <w:t>r</w:t>
            </w:r>
            <w:r w:rsidRPr="007B17B3">
              <w:rPr>
                <w:rFonts w:asciiTheme="minorHAnsi" w:hAnsiTheme="minorHAnsi"/>
              </w:rPr>
              <w:t xml:space="preserve">egister or </w:t>
            </w:r>
            <w:r w:rsidR="00BD707E" w:rsidRPr="007B17B3">
              <w:rPr>
                <w:rFonts w:asciiTheme="minorHAnsi" w:hAnsiTheme="minorHAnsi"/>
              </w:rPr>
              <w:t>s</w:t>
            </w:r>
            <w:r w:rsidRPr="007B17B3">
              <w:rPr>
                <w:rFonts w:asciiTheme="minorHAnsi" w:hAnsiTheme="minorHAnsi"/>
              </w:rPr>
              <w:t xml:space="preserve">upplier </w:t>
            </w:r>
            <w:r w:rsidR="00BD707E" w:rsidRPr="007B17B3">
              <w:rPr>
                <w:rFonts w:asciiTheme="minorHAnsi" w:hAnsiTheme="minorHAnsi"/>
              </w:rPr>
              <w:t>p</w:t>
            </w:r>
            <w:r w:rsidRPr="007B17B3">
              <w:rPr>
                <w:rFonts w:asciiTheme="minorHAnsi" w:hAnsiTheme="minorHAnsi"/>
              </w:rPr>
              <w:t>ane</w:t>
            </w:r>
            <w:r w:rsidR="005C67DB" w:rsidRPr="007B17B3">
              <w:rPr>
                <w:rFonts w:asciiTheme="minorHAnsi" w:hAnsiTheme="minorHAnsi"/>
              </w:rPr>
              <w:t>l</w:t>
            </w:r>
          </w:p>
          <w:p w14:paraId="3ABC1EBD" w14:textId="59588CFC" w:rsidR="002C09FC" w:rsidRPr="007B17B3" w:rsidRDefault="002C09FC" w:rsidP="001D2615">
            <w:pPr>
              <w:pStyle w:val="Tablenum2"/>
              <w:ind w:left="36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B17B3">
              <w:rPr>
                <w:rFonts w:asciiTheme="minorHAnsi" w:hAnsiTheme="minorHAnsi"/>
              </w:rPr>
              <w:t xml:space="preserve">in all cases, there has been no material change to the information submitted to satisfy the criteria (whether at the time of prequalification or requalification, or during the </w:t>
            </w:r>
            <w:r w:rsidR="00A10147">
              <w:rPr>
                <w:rFonts w:asciiTheme="minorHAnsi" w:hAnsiTheme="minorHAnsi"/>
              </w:rPr>
              <w:t>EOI</w:t>
            </w:r>
            <w:r w:rsidRPr="007B17B3">
              <w:rPr>
                <w:rFonts w:asciiTheme="minorHAnsi" w:hAnsiTheme="minorHAnsi"/>
              </w:rPr>
              <w:t xml:space="preserve"> process)</w:t>
            </w:r>
            <w:r w:rsidR="001C5277" w:rsidRPr="007B17B3">
              <w:rPr>
                <w:rFonts w:asciiTheme="minorHAnsi" w:hAnsiTheme="minorHAnsi"/>
              </w:rPr>
              <w:t>,</w:t>
            </w:r>
            <w:r w:rsidRPr="007B17B3">
              <w:rPr>
                <w:rFonts w:asciiTheme="minorHAnsi" w:hAnsiTheme="minorHAnsi"/>
              </w:rPr>
              <w:t xml:space="preserve"> whether positive or negative, that would affect the tender participant</w:t>
            </w:r>
            <w:r w:rsidR="00344D3F">
              <w:rPr>
                <w:rFonts w:asciiTheme="minorHAnsi" w:hAnsiTheme="minorHAnsi"/>
              </w:rPr>
              <w:t>’</w:t>
            </w:r>
            <w:r w:rsidRPr="007B17B3">
              <w:rPr>
                <w:rFonts w:asciiTheme="minorHAnsi" w:hAnsiTheme="minorHAnsi"/>
              </w:rPr>
              <w:t>s ability to satisfy the criteria.</w:t>
            </w:r>
          </w:p>
        </w:tc>
      </w:tr>
    </w:tbl>
    <w:p w14:paraId="7825E248" w14:textId="27DC7804" w:rsidR="002C09FC" w:rsidRDefault="002C09FC" w:rsidP="00834461">
      <w:pPr>
        <w:pStyle w:val="NormalIndent"/>
        <w:rPr>
          <w:rFonts w:ascii="Calibri" w:hAnsi="Calibri" w:cs="Calibri"/>
        </w:rPr>
      </w:pPr>
      <w:r w:rsidRPr="00EE3025">
        <w:t xml:space="preserve">All submissions must wholly conform </w:t>
      </w:r>
      <w:r w:rsidR="00200413">
        <w:t>to</w:t>
      </w:r>
      <w:r w:rsidRPr="00EE3025">
        <w:t xml:space="preserve"> these </w:t>
      </w:r>
      <w:r>
        <w:t xml:space="preserve">mandatory </w:t>
      </w:r>
      <w:r w:rsidRPr="00EE3025">
        <w:t xml:space="preserve">criteria. </w:t>
      </w:r>
      <w:r w:rsidR="008E7082">
        <w:t>W</w:t>
      </w:r>
      <w:r>
        <w:t xml:space="preserve">hen tenders are received, mandatory </w:t>
      </w:r>
      <w:r w:rsidRPr="00EE3025">
        <w:t>criteri</w:t>
      </w:r>
      <w:r>
        <w:t xml:space="preserve">a </w:t>
      </w:r>
      <w:r w:rsidRPr="00EE3025">
        <w:t>should be reviewed as a priority</w:t>
      </w:r>
      <w:r w:rsidR="00233D03">
        <w:t>,</w:t>
      </w:r>
      <w:r w:rsidRPr="00EE3025">
        <w:t xml:space="preserve"> and any submissions that do not conform </w:t>
      </w:r>
      <w:r>
        <w:t>should</w:t>
      </w:r>
      <w:r w:rsidRPr="00EE3025">
        <w:t xml:space="preserve"> </w:t>
      </w:r>
      <w:r>
        <w:t>be identified and dealt with in accordance with the processes set out in the tender evaluation plan</w:t>
      </w:r>
      <w:r w:rsidRPr="00EE3025">
        <w:t>.</w:t>
      </w:r>
      <w:r w:rsidRPr="00EE3025">
        <w:rPr>
          <w:rFonts w:ascii="Calibri" w:hAnsi="Calibri" w:cs="Calibri"/>
        </w:rPr>
        <w:t> </w:t>
      </w:r>
    </w:p>
    <w:p w14:paraId="6066CEB4" w14:textId="04852454" w:rsidR="002C09FC" w:rsidRDefault="002C09FC" w:rsidP="00834461">
      <w:pPr>
        <w:pStyle w:val="NormalIndent"/>
      </w:pPr>
      <w:r>
        <w:t xml:space="preserve">Some mandatory criteria are mandated through the </w:t>
      </w:r>
      <w:r w:rsidR="00107A7F" w:rsidRPr="00716A27">
        <w:t>Ministerial Direction</w:t>
      </w:r>
      <w:r w:rsidR="00151F1D">
        <w:t>s</w:t>
      </w:r>
      <w:r w:rsidR="00107A7F" w:rsidRPr="00716A27">
        <w:t xml:space="preserve"> and Instruction</w:t>
      </w:r>
      <w:r w:rsidR="00151F1D">
        <w:t>s</w:t>
      </w:r>
      <w:r w:rsidR="00107A7F" w:rsidRPr="00716A27">
        <w:t xml:space="preserve"> for Public Construction Procurement</w:t>
      </w:r>
      <w:r>
        <w:t xml:space="preserve">, and some </w:t>
      </w:r>
      <w:r w:rsidR="00F51380">
        <w:t>are</w:t>
      </w:r>
      <w:r>
        <w:t xml:space="preserve"> </w:t>
      </w:r>
      <w:r w:rsidR="00F51380">
        <w:t>project-specific</w:t>
      </w:r>
      <w:r>
        <w:t>.</w:t>
      </w:r>
    </w:p>
    <w:p w14:paraId="6314B49E" w14:textId="66C33D0D" w:rsidR="002C09FC" w:rsidRDefault="00C56E34" w:rsidP="00834461">
      <w:pPr>
        <w:pStyle w:val="NormalIndent"/>
      </w:pPr>
      <w:r>
        <w:t>C</w:t>
      </w:r>
      <w:r w:rsidR="002C09FC">
        <w:t xml:space="preserve">riteria mandated through the </w:t>
      </w:r>
      <w:r w:rsidR="00151F1D" w:rsidRPr="00716A27">
        <w:t>Ministerial Direction</w:t>
      </w:r>
      <w:r w:rsidR="00151F1D">
        <w:t>s</w:t>
      </w:r>
      <w:r w:rsidR="00151F1D" w:rsidRPr="00716A27">
        <w:t xml:space="preserve"> and Instruction</w:t>
      </w:r>
      <w:r w:rsidR="00151F1D">
        <w:t>s</w:t>
      </w:r>
      <w:r w:rsidR="00151F1D" w:rsidRPr="00716A27">
        <w:t xml:space="preserve"> for Public Construction Procurement</w:t>
      </w:r>
      <w:r w:rsidR="00151F1D" w:rsidDel="005751CD">
        <w:t xml:space="preserve"> </w:t>
      </w:r>
      <w:r w:rsidR="002C09FC">
        <w:t>are:</w:t>
      </w:r>
    </w:p>
    <w:p w14:paraId="2C61FA73" w14:textId="0C6B3D45" w:rsidR="002C09FC" w:rsidRDefault="00216E0D" w:rsidP="001D2615">
      <w:pPr>
        <w:pStyle w:val="Bulletindent"/>
      </w:pPr>
      <w:r>
        <w:t>VfM</w:t>
      </w:r>
    </w:p>
    <w:p w14:paraId="45D1DA94" w14:textId="16360F84" w:rsidR="002C09FC" w:rsidRDefault="565B7B3C" w:rsidP="00026A3C">
      <w:pPr>
        <w:pStyle w:val="Bulletindent"/>
        <w:ind w:right="-64"/>
      </w:pPr>
      <w:r>
        <w:t>consideration of each supplier</w:t>
      </w:r>
      <w:r w:rsidR="00344D3F">
        <w:t>’</w:t>
      </w:r>
      <w:r>
        <w:t>s past performance in delivering works or services</w:t>
      </w:r>
    </w:p>
    <w:p w14:paraId="1EBB4093" w14:textId="6E1514E7" w:rsidR="002C09FC" w:rsidRDefault="565B7B3C" w:rsidP="001D2615">
      <w:pPr>
        <w:pStyle w:val="Bulletindent"/>
      </w:pPr>
      <w:r>
        <w:t xml:space="preserve">occupational health and safety </w:t>
      </w:r>
      <w:r w:rsidR="00BF2490">
        <w:t xml:space="preserve">(OH&amp;S) </w:t>
      </w:r>
      <w:r>
        <w:t xml:space="preserve">management (as set out in </w:t>
      </w:r>
      <w:hyperlink r:id="rId186" w:anchor=":~:text=Attachment%201%20to%20Instruction%203.7%20lists%20the%20mandatory%20evaluation%20criteria,management%20used%20in%20public%20construction." w:history="1">
        <w:r w:rsidRPr="00FB53F2">
          <w:rPr>
            <w:rStyle w:val="Hyperlink"/>
          </w:rPr>
          <w:t>Attachment</w:t>
        </w:r>
        <w:r w:rsidR="002666F4" w:rsidRPr="00FB53F2">
          <w:rPr>
            <w:rStyle w:val="Hyperlink"/>
            <w:rFonts w:ascii="Calibri" w:hAnsi="Calibri"/>
          </w:rPr>
          <w:t> </w:t>
        </w:r>
        <w:r w:rsidRPr="00FB53F2">
          <w:rPr>
            <w:rStyle w:val="Hyperlink"/>
          </w:rPr>
          <w:t>1 to Instruction</w:t>
        </w:r>
        <w:r w:rsidR="002666F4" w:rsidRPr="00FB53F2">
          <w:rPr>
            <w:rStyle w:val="Hyperlink"/>
            <w:rFonts w:ascii="Calibri" w:hAnsi="Calibri"/>
          </w:rPr>
          <w:t> </w:t>
        </w:r>
        <w:r w:rsidRPr="00FB53F2">
          <w:rPr>
            <w:rStyle w:val="Hyperlink"/>
          </w:rPr>
          <w:t>3.7</w:t>
        </w:r>
      </w:hyperlink>
      <w:r>
        <w:t>)</w:t>
      </w:r>
    </w:p>
    <w:p w14:paraId="10A914F5" w14:textId="2DE7FB78" w:rsidR="002C09FC" w:rsidRPr="005F5CD0" w:rsidRDefault="565B7B3C" w:rsidP="001D2615">
      <w:pPr>
        <w:pStyle w:val="Bulletindent"/>
      </w:pPr>
      <w:r>
        <w:t xml:space="preserve">industrial relations management (as set out in </w:t>
      </w:r>
      <w:hyperlink r:id="rId187" w:history="1">
        <w:r w:rsidRPr="003D649C">
          <w:rPr>
            <w:rStyle w:val="Hyperlink"/>
          </w:rPr>
          <w:t>Attachment</w:t>
        </w:r>
        <w:r w:rsidR="002666F4" w:rsidRPr="003D649C">
          <w:rPr>
            <w:rStyle w:val="Hyperlink"/>
            <w:rFonts w:ascii="Calibri" w:hAnsi="Calibri"/>
          </w:rPr>
          <w:t> </w:t>
        </w:r>
        <w:r w:rsidRPr="003D649C">
          <w:rPr>
            <w:rStyle w:val="Hyperlink"/>
          </w:rPr>
          <w:t>2 to Instruction</w:t>
        </w:r>
        <w:r w:rsidR="002666F4" w:rsidRPr="003D649C">
          <w:rPr>
            <w:rStyle w:val="Hyperlink"/>
            <w:rFonts w:ascii="Calibri" w:hAnsi="Calibri"/>
          </w:rPr>
          <w:t> </w:t>
        </w:r>
        <w:r w:rsidRPr="003D649C">
          <w:rPr>
            <w:rStyle w:val="Hyperlink"/>
          </w:rPr>
          <w:t>3.7</w:t>
        </w:r>
      </w:hyperlink>
      <w:r>
        <w:t>).</w:t>
      </w:r>
    </w:p>
    <w:p w14:paraId="4195AE68" w14:textId="2A96DBDA" w:rsidR="002C09FC" w:rsidRDefault="002C09FC" w:rsidP="00834461">
      <w:pPr>
        <w:pStyle w:val="NormalIndent"/>
      </w:pPr>
      <w:r>
        <w:t xml:space="preserve">The criteria relating to </w:t>
      </w:r>
      <w:r w:rsidR="00BF2490">
        <w:t>OH&amp;S</w:t>
      </w:r>
      <w:r>
        <w:t xml:space="preserve"> and industrial relations must be satisfied before the supplier can be awarded the contract. If the supplier has already been assessed against those criteria as part of a prequalification process, they do not need to be reassessed through the tender evaluation process.</w:t>
      </w:r>
    </w:p>
    <w:p w14:paraId="2650967D" w14:textId="2963405A" w:rsidR="002C09FC" w:rsidRPr="00EE3025" w:rsidRDefault="002C09FC" w:rsidP="00EC64B4">
      <w:pPr>
        <w:pStyle w:val="NormalIndent"/>
        <w:keepNext/>
        <w:rPr>
          <w:rFonts w:ascii="Segoe UI" w:hAnsi="Segoe UI"/>
          <w:sz w:val="18"/>
          <w:szCs w:val="18"/>
        </w:rPr>
      </w:pPr>
      <w:r>
        <w:t>Project</w:t>
      </w:r>
      <w:r w:rsidR="007D720B">
        <w:t>-</w:t>
      </w:r>
      <w:r>
        <w:t xml:space="preserve">specific mandatory </w:t>
      </w:r>
      <w:r w:rsidRPr="00EE3025">
        <w:t>criteria may include:</w:t>
      </w:r>
    </w:p>
    <w:p w14:paraId="7CA9F08E" w14:textId="2BDF1ACE" w:rsidR="002C09FC" w:rsidRPr="00EE3025" w:rsidRDefault="565B7B3C" w:rsidP="001D2615">
      <w:pPr>
        <w:pStyle w:val="Bulletindent"/>
        <w:keepNext/>
      </w:pPr>
      <w:r>
        <w:t>criteria related to particular design elements or outcomes that must be achieved</w:t>
      </w:r>
    </w:p>
    <w:p w14:paraId="1E7E6BCD" w14:textId="5863B6D5" w:rsidR="002C09FC" w:rsidRPr="00EE3025" w:rsidRDefault="565B7B3C" w:rsidP="001D2615">
      <w:pPr>
        <w:pStyle w:val="Bulletindent"/>
        <w:keepNext/>
      </w:pPr>
      <w:r>
        <w:t>general criteria related to</w:t>
      </w:r>
    </w:p>
    <w:p w14:paraId="72FA66D2" w14:textId="24940DB1" w:rsidR="002C09FC" w:rsidRPr="00EE3025" w:rsidRDefault="002C09FC" w:rsidP="001D2615">
      <w:pPr>
        <w:pStyle w:val="Bulletindent2"/>
      </w:pPr>
      <w:r w:rsidRPr="00EE3025">
        <w:t>insurances</w:t>
      </w:r>
    </w:p>
    <w:p w14:paraId="0B476DD8" w14:textId="15FAD5CC" w:rsidR="002C09FC" w:rsidRPr="00EE3025" w:rsidRDefault="002C09FC" w:rsidP="001D2615">
      <w:pPr>
        <w:pStyle w:val="Bulletindent2"/>
      </w:pPr>
      <w:r w:rsidRPr="00EE3025">
        <w:t>policy compliance, such as adherence to the V</w:t>
      </w:r>
      <w:r>
        <w:t xml:space="preserve">ictorian </w:t>
      </w:r>
      <w:r w:rsidRPr="00EE3025">
        <w:t>I</w:t>
      </w:r>
      <w:r>
        <w:t xml:space="preserve">ndustry and </w:t>
      </w:r>
      <w:r w:rsidRPr="00EE3025">
        <w:t>P</w:t>
      </w:r>
      <w:r>
        <w:t>articipation Policy</w:t>
      </w:r>
    </w:p>
    <w:p w14:paraId="4E4DAC25" w14:textId="0469E58C" w:rsidR="002C09FC" w:rsidRPr="00EE3025" w:rsidRDefault="002C09FC" w:rsidP="001D2615">
      <w:pPr>
        <w:pStyle w:val="Bulletindent2"/>
      </w:pPr>
      <w:r w:rsidRPr="00EE3025">
        <w:t xml:space="preserve">key contractual elements </w:t>
      </w:r>
      <w:r w:rsidR="00DF5E6C">
        <w:t>such as</w:t>
      </w:r>
      <w:r w:rsidRPr="00EE3025">
        <w:t xml:space="preserve"> guarantees and warranties.</w:t>
      </w:r>
      <w:r w:rsidRPr="00EE3025">
        <w:rPr>
          <w:rFonts w:ascii="Calibri" w:hAnsi="Calibri"/>
        </w:rPr>
        <w:t> </w:t>
      </w:r>
    </w:p>
    <w:p w14:paraId="14D1D585" w14:textId="77777777" w:rsidR="002C09FC" w:rsidRDefault="002C09FC" w:rsidP="001D2615">
      <w:pPr>
        <w:pStyle w:val="Heading3numbered"/>
      </w:pPr>
      <w:r>
        <w:t>Evaluation of non-mandatory criteria</w:t>
      </w:r>
    </w:p>
    <w:p w14:paraId="50F90D22" w14:textId="5F51C28A" w:rsidR="003324A3" w:rsidRPr="00387024" w:rsidRDefault="003324A3" w:rsidP="001D2615">
      <w:pPr>
        <w:pStyle w:val="Heading4numbered"/>
      </w:pPr>
      <w:r w:rsidRPr="00387024">
        <w:t xml:space="preserve">Individual tender </w:t>
      </w:r>
      <w:r w:rsidR="002C09FC">
        <w:t>evaluation</w:t>
      </w:r>
    </w:p>
    <w:p w14:paraId="7D79A591" w14:textId="7519FB4B" w:rsidR="003324A3" w:rsidRPr="00387024" w:rsidRDefault="003324A3" w:rsidP="00834461">
      <w:pPr>
        <w:pStyle w:val="NormalIndent"/>
      </w:pPr>
      <w:r w:rsidRPr="00387024">
        <w:t>Each tender evaluation panel member should review the tender submissions</w:t>
      </w:r>
      <w:r w:rsidR="002C09FC">
        <w:t xml:space="preserve"> in accordance with the probity rules and procurement processes outlined in the probity plan and tender evaluation plan</w:t>
      </w:r>
      <w:r w:rsidRPr="00387024">
        <w:t>.</w:t>
      </w:r>
    </w:p>
    <w:p w14:paraId="3ED1B22C" w14:textId="2625902B" w:rsidR="003324A3" w:rsidRDefault="002C09FC" w:rsidP="00834461">
      <w:pPr>
        <w:pStyle w:val="NormalIndent"/>
      </w:pPr>
      <w:r>
        <w:t xml:space="preserve">Each tender evaluation panel member should </w:t>
      </w:r>
      <w:r w:rsidR="003324A3" w:rsidRPr="00387024">
        <w:t>individually assess tenders against the weighted evaluation criteria</w:t>
      </w:r>
      <w:r>
        <w:t>.</w:t>
      </w:r>
      <w:r w:rsidR="003324A3" w:rsidRPr="00387024">
        <w:t xml:space="preserve"> Panel members should objectively assess the extent to which each submission satisfies each evaluation criteri</w:t>
      </w:r>
      <w:r w:rsidR="00F74671">
        <w:t>on</w:t>
      </w:r>
      <w:r w:rsidR="003324A3" w:rsidRPr="00387024">
        <w:t>. A simple scoring mechanism, such as a matrix, should be used to document this assessment process to provide a quantitative tender evaluation result.</w:t>
      </w:r>
    </w:p>
    <w:p w14:paraId="4D420947" w14:textId="23EE83C3" w:rsidR="00BE076B" w:rsidRPr="00387024" w:rsidRDefault="00BE076B" w:rsidP="00BE076B">
      <w:pPr>
        <w:pStyle w:val="NormalIndent"/>
      </w:pPr>
      <w:r>
        <w:t>The scoring system and the definition of each score should be outlined in the tender evaluation documentation.</w:t>
      </w:r>
    </w:p>
    <w:p w14:paraId="37495014" w14:textId="6FA36571" w:rsidR="00543923" w:rsidRDefault="003324A3" w:rsidP="00834461">
      <w:pPr>
        <w:pStyle w:val="NormalIndent"/>
      </w:pPr>
      <w:r w:rsidRPr="00387024">
        <w:t>An example of a practical scoring mechanism is to assign</w:t>
      </w:r>
      <w:r w:rsidR="0000267D">
        <w:t xml:space="preserve"> </w:t>
      </w:r>
      <w:r w:rsidR="00100718">
        <w:t>a score on a scale</w:t>
      </w:r>
      <w:r w:rsidRPr="00387024">
        <w:t xml:space="preserve"> </w:t>
      </w:r>
      <w:r w:rsidR="00100718">
        <w:t xml:space="preserve">from </w:t>
      </w:r>
      <w:r w:rsidRPr="00387024">
        <w:t xml:space="preserve">zero </w:t>
      </w:r>
      <w:r w:rsidR="00100718">
        <w:t>to</w:t>
      </w:r>
      <w:r w:rsidR="00100718" w:rsidRPr="00387024">
        <w:t xml:space="preserve"> </w:t>
      </w:r>
      <w:r w:rsidRPr="00387024">
        <w:t>five</w:t>
      </w:r>
      <w:r w:rsidR="00966BEC">
        <w:t xml:space="preserve"> </w:t>
      </w:r>
      <w:r w:rsidR="00966BEC" w:rsidRPr="00387024">
        <w:t xml:space="preserve">for each </w:t>
      </w:r>
      <w:r w:rsidR="0089138E">
        <w:t>evaluation criterion</w:t>
      </w:r>
      <w:r w:rsidRPr="00387024">
        <w:t>, where</w:t>
      </w:r>
      <w:r w:rsidR="00455AFA">
        <w:t>by</w:t>
      </w:r>
      <w:r w:rsidR="00543923">
        <w:t>:</w:t>
      </w:r>
    </w:p>
    <w:p w14:paraId="52783BEC" w14:textId="0FB43CCC" w:rsidR="009F6714" w:rsidRDefault="003324A3" w:rsidP="00543923">
      <w:pPr>
        <w:pStyle w:val="Bulletindent"/>
        <w:keepNext/>
      </w:pPr>
      <w:r w:rsidRPr="00387024">
        <w:t>zero</w:t>
      </w:r>
      <w:r w:rsidR="00966BEC">
        <w:rPr>
          <w:rFonts w:ascii="Calibri" w:hAnsi="Calibri"/>
        </w:rPr>
        <w:t> </w:t>
      </w:r>
      <w:r w:rsidR="009F6714">
        <w:t>is scored for</w:t>
      </w:r>
      <w:r w:rsidR="00966BEC">
        <w:rPr>
          <w:rFonts w:ascii="Calibri" w:hAnsi="Calibri"/>
        </w:rPr>
        <w:t> </w:t>
      </w:r>
      <w:r w:rsidRPr="00387024">
        <w:t>submission</w:t>
      </w:r>
      <w:r w:rsidR="009F6714">
        <w:t>s</w:t>
      </w:r>
      <w:r w:rsidRPr="00387024">
        <w:t xml:space="preserve"> </w:t>
      </w:r>
      <w:r w:rsidR="009F6714">
        <w:t>that do</w:t>
      </w:r>
      <w:r w:rsidR="009F6714" w:rsidRPr="00387024">
        <w:t xml:space="preserve"> </w:t>
      </w:r>
      <w:r w:rsidRPr="00387024">
        <w:t xml:space="preserve">not meet </w:t>
      </w:r>
      <w:r w:rsidR="00455AFA">
        <w:t xml:space="preserve">the </w:t>
      </w:r>
      <w:r w:rsidRPr="00387024">
        <w:t>evaluation criteri</w:t>
      </w:r>
      <w:r w:rsidR="0089138E">
        <w:t>on</w:t>
      </w:r>
      <w:r w:rsidR="0088406E">
        <w:t xml:space="preserve"> at all</w:t>
      </w:r>
    </w:p>
    <w:p w14:paraId="5AE9102D" w14:textId="68AD4F56" w:rsidR="00AA19DD" w:rsidRDefault="003324A3" w:rsidP="003D0484">
      <w:pPr>
        <w:pStyle w:val="Bulletindent"/>
        <w:keepNext/>
      </w:pPr>
      <w:r w:rsidRPr="00387024">
        <w:t>five</w:t>
      </w:r>
      <w:r w:rsidR="0089138E">
        <w:rPr>
          <w:rFonts w:ascii="Calibri" w:hAnsi="Calibri"/>
        </w:rPr>
        <w:t> </w:t>
      </w:r>
      <w:r w:rsidR="009F6714">
        <w:t>is scored for</w:t>
      </w:r>
      <w:r w:rsidR="0089138E">
        <w:rPr>
          <w:rFonts w:ascii="Calibri" w:hAnsi="Calibri"/>
        </w:rPr>
        <w:t> </w:t>
      </w:r>
      <w:r w:rsidRPr="00387024">
        <w:t>submission</w:t>
      </w:r>
      <w:r w:rsidR="009F6714">
        <w:t>s that</w:t>
      </w:r>
      <w:r w:rsidRPr="00387024">
        <w:t xml:space="preserve"> exceed </w:t>
      </w:r>
      <w:r w:rsidR="002F2F87">
        <w:t xml:space="preserve">the </w:t>
      </w:r>
      <w:r w:rsidRPr="00387024">
        <w:t>requirements</w:t>
      </w:r>
      <w:r w:rsidR="002F2F87">
        <w:t xml:space="preserve"> of the evaluation criterion</w:t>
      </w:r>
    </w:p>
    <w:p w14:paraId="018EE36C" w14:textId="65096C1E" w:rsidR="00BE076B" w:rsidRPr="00387024" w:rsidRDefault="00AA19DD" w:rsidP="00775647">
      <w:pPr>
        <w:pStyle w:val="Bulletindent"/>
        <w:keepNext/>
      </w:pPr>
      <w:r>
        <w:t>the documentation would clarify whether ‘half marks’ were permitted</w:t>
      </w:r>
      <w:r w:rsidR="003324A3" w:rsidRPr="00387024">
        <w:t>.</w:t>
      </w:r>
    </w:p>
    <w:p w14:paraId="185119EC" w14:textId="385B2B8F" w:rsidR="003324A3" w:rsidRPr="00387024" w:rsidRDefault="003324A3" w:rsidP="00834461">
      <w:pPr>
        <w:pStyle w:val="NormalIndent"/>
      </w:pPr>
      <w:r w:rsidRPr="00387024">
        <w:t xml:space="preserve">Once each evaluation </w:t>
      </w:r>
      <w:r w:rsidR="002C09FC">
        <w:t>criterion</w:t>
      </w:r>
      <w:r w:rsidRPr="00387024">
        <w:t xml:space="preserve"> has been assessed, weightings for each </w:t>
      </w:r>
      <w:r w:rsidR="002C09FC">
        <w:t>criterion</w:t>
      </w:r>
      <w:r w:rsidR="002C09FC" w:rsidRPr="00387024">
        <w:t xml:space="preserve"> </w:t>
      </w:r>
      <w:r w:rsidRPr="00387024">
        <w:t xml:space="preserve">should be applied to the raw scores to achieve a weighted score. The weighted scores should then be added to achieve a total score for each submission. </w:t>
      </w:r>
    </w:p>
    <w:p w14:paraId="7A5C2396" w14:textId="10A46133" w:rsidR="003324A3" w:rsidRPr="00387024" w:rsidRDefault="003324A3" w:rsidP="001D2615">
      <w:pPr>
        <w:pStyle w:val="Heading4numbered"/>
      </w:pPr>
      <w:r w:rsidRPr="00387024">
        <w:t>Average (combined) tender evaluation</w:t>
      </w:r>
    </w:p>
    <w:p w14:paraId="3BCE1BD1" w14:textId="2DA5BD03" w:rsidR="002C09FC" w:rsidRDefault="002C09FC" w:rsidP="00834461">
      <w:pPr>
        <w:pStyle w:val="NormalIndent"/>
      </w:pPr>
      <w:r>
        <w:t xml:space="preserve">Once </w:t>
      </w:r>
      <w:r w:rsidR="001953DA">
        <w:t xml:space="preserve">the </w:t>
      </w:r>
      <w:r>
        <w:t>panel member</w:t>
      </w:r>
      <w:r w:rsidR="001953DA">
        <w:t>s</w:t>
      </w:r>
      <w:r>
        <w:t xml:space="preserve"> </w:t>
      </w:r>
      <w:r w:rsidR="001953DA">
        <w:t xml:space="preserve">have </w:t>
      </w:r>
      <w:r>
        <w:t xml:space="preserve">individually evaluated each tender, </w:t>
      </w:r>
      <w:r w:rsidR="00243175">
        <w:t>results should be</w:t>
      </w:r>
      <w:r>
        <w:t xml:space="preserve"> </w:t>
      </w:r>
      <w:r w:rsidR="0078582D">
        <w:t xml:space="preserve">compared </w:t>
      </w:r>
      <w:r>
        <w:t xml:space="preserve">and </w:t>
      </w:r>
      <w:r w:rsidR="0078582D">
        <w:t xml:space="preserve">combined </w:t>
      </w:r>
      <w:r>
        <w:t xml:space="preserve">to produce a final, average assessment of the tenders. </w:t>
      </w:r>
      <w:r w:rsidR="0078582D">
        <w:t xml:space="preserve">When </w:t>
      </w:r>
      <w:r>
        <w:t>compar</w:t>
      </w:r>
      <w:r w:rsidR="0078582D">
        <w:t>ing</w:t>
      </w:r>
      <w:r>
        <w:t xml:space="preserve"> results, the tender evaluation panel should agree </w:t>
      </w:r>
      <w:r w:rsidR="00D67843">
        <w:t xml:space="preserve">on </w:t>
      </w:r>
      <w:r>
        <w:t>a score or</w:t>
      </w:r>
      <w:r w:rsidR="00781314">
        <w:t>,</w:t>
      </w:r>
      <w:r>
        <w:t xml:space="preserve"> where the panel cannot agree, follow the process outlined below:</w:t>
      </w:r>
    </w:p>
    <w:p w14:paraId="6D0DF12C" w14:textId="56B8B534" w:rsidR="002C09FC" w:rsidRDefault="565B7B3C" w:rsidP="001D2615">
      <w:pPr>
        <w:pStyle w:val="Bulletindent"/>
        <w:spacing w:before="40" w:after="40"/>
      </w:pPr>
      <w:r>
        <w:t>develop a matrix that includes each panel member</w:t>
      </w:r>
      <w:r w:rsidR="00344D3F">
        <w:t>’</w:t>
      </w:r>
      <w:r>
        <w:t xml:space="preserve">s assessment of </w:t>
      </w:r>
      <w:r w:rsidR="00D435FB">
        <w:t>each</w:t>
      </w:r>
      <w:r>
        <w:t xml:space="preserve"> submission</w:t>
      </w:r>
    </w:p>
    <w:p w14:paraId="4AEA136E" w14:textId="04174C8C" w:rsidR="002C09FC" w:rsidRDefault="565B7B3C" w:rsidP="001D2615">
      <w:pPr>
        <w:pStyle w:val="Bulletindent"/>
        <w:spacing w:before="40" w:after="40"/>
      </w:pPr>
      <w:r>
        <w:t>enter each panel member</w:t>
      </w:r>
      <w:r w:rsidR="00344D3F">
        <w:t>’</w:t>
      </w:r>
      <w:r>
        <w:t>s individual scores into the matrix</w:t>
      </w:r>
    </w:p>
    <w:p w14:paraId="10F832EA" w14:textId="3C9B220C" w:rsidR="002C09FC" w:rsidRDefault="565B7B3C" w:rsidP="001D2615">
      <w:pPr>
        <w:pStyle w:val="Bulletindent"/>
        <w:spacing w:before="40" w:after="40"/>
      </w:pPr>
      <w:r>
        <w:t>review the data to identify any anomalies (</w:t>
      </w:r>
      <w:r w:rsidR="0056774B">
        <w:t xml:space="preserve">that is, </w:t>
      </w:r>
      <w:r>
        <w:t xml:space="preserve">where there is significant variation in the assessment of </w:t>
      </w:r>
      <w:r w:rsidR="00B149D8">
        <w:t xml:space="preserve">a </w:t>
      </w:r>
      <w:r>
        <w:t>particular criteri</w:t>
      </w:r>
      <w:r w:rsidR="000873E4">
        <w:t>on</w:t>
      </w:r>
      <w:r>
        <w:t>)</w:t>
      </w:r>
    </w:p>
    <w:p w14:paraId="1CC5E738" w14:textId="29600B76" w:rsidR="002C09FC" w:rsidRDefault="565B7B3C" w:rsidP="001D2615">
      <w:pPr>
        <w:pStyle w:val="Bulletindent"/>
        <w:spacing w:before="40" w:after="40"/>
      </w:pPr>
      <w:r>
        <w:t>discuss anomalies to determine why they have occurred</w:t>
      </w:r>
    </w:p>
    <w:p w14:paraId="6F440943" w14:textId="64A47532" w:rsidR="002C09FC" w:rsidRDefault="565B7B3C" w:rsidP="001D2615">
      <w:pPr>
        <w:pStyle w:val="Bulletindent"/>
        <w:spacing w:before="40" w:after="40"/>
      </w:pPr>
      <w:r>
        <w:t>consider reassessment of criteria</w:t>
      </w:r>
      <w:r w:rsidR="00B149D8">
        <w:t>,</w:t>
      </w:r>
      <w:r>
        <w:t xml:space="preserve"> if appropriate.</w:t>
      </w:r>
    </w:p>
    <w:p w14:paraId="202438D7" w14:textId="07AFC3A8" w:rsidR="003324A3" w:rsidRPr="00387024" w:rsidRDefault="003324A3" w:rsidP="00834461">
      <w:pPr>
        <w:pStyle w:val="NormalIndent"/>
      </w:pPr>
      <w:r w:rsidRPr="00387024">
        <w:t>Review</w:t>
      </w:r>
      <w:r w:rsidR="0056774B">
        <w:t>ing</w:t>
      </w:r>
      <w:r w:rsidRPr="00387024">
        <w:t xml:space="preserve"> individual tender assessments </w:t>
      </w:r>
      <w:r w:rsidR="008E7082">
        <w:t>involves</w:t>
      </w:r>
      <w:r w:rsidR="008E7082" w:rsidRPr="00387024">
        <w:t xml:space="preserve"> </w:t>
      </w:r>
      <w:r w:rsidRPr="00387024">
        <w:t xml:space="preserve">discussion and debate to </w:t>
      </w:r>
      <w:r w:rsidR="00633CD2">
        <w:t>achieve</w:t>
      </w:r>
      <w:r w:rsidR="00633CD2" w:rsidRPr="00387024">
        <w:t xml:space="preserve"> </w:t>
      </w:r>
      <w:r w:rsidRPr="00387024">
        <w:t xml:space="preserve">consistency and objectivity, and to provide confidence </w:t>
      </w:r>
      <w:r w:rsidR="002C09FC">
        <w:t>in the overall result.</w:t>
      </w:r>
      <w:r w:rsidRPr="00387024">
        <w:t xml:space="preserve"> It is best practice to hold tender evaluation workshops to review individual tender assessments.</w:t>
      </w:r>
    </w:p>
    <w:p w14:paraId="788C1A53" w14:textId="77777777" w:rsidR="00025EC8" w:rsidRDefault="003B2719" w:rsidP="00834461">
      <w:pPr>
        <w:pStyle w:val="NormalIndent"/>
      </w:pPr>
      <w:r>
        <w:t>V</w:t>
      </w:r>
      <w:r w:rsidR="003324A3" w:rsidRPr="00387024">
        <w:t>ariations in the scores assigned by different panel members</w:t>
      </w:r>
      <w:r>
        <w:t xml:space="preserve"> are very common</w:t>
      </w:r>
      <w:r w:rsidR="003324A3" w:rsidRPr="00387024">
        <w:t xml:space="preserve">. Some people are </w:t>
      </w:r>
      <w:r w:rsidR="003324A3">
        <w:t>stricter</w:t>
      </w:r>
      <w:r w:rsidR="003324A3" w:rsidRPr="00387024">
        <w:t xml:space="preserve"> in their scoring than others. This is acceptable. Generally, the variation </w:t>
      </w:r>
      <w:r w:rsidR="00770ED4">
        <w:t>is</w:t>
      </w:r>
      <w:r w:rsidR="003324A3" w:rsidRPr="00387024">
        <w:t xml:space="preserve"> consistent across all assessments and</w:t>
      </w:r>
      <w:r w:rsidR="00770ED4">
        <w:t>,</w:t>
      </w:r>
      <w:r w:rsidR="003324A3" w:rsidRPr="00387024">
        <w:t xml:space="preserve"> therefore</w:t>
      </w:r>
      <w:r w:rsidR="00770ED4">
        <w:t>, does</w:t>
      </w:r>
      <w:r w:rsidR="003324A3" w:rsidRPr="00387024">
        <w:t xml:space="preserve"> not impact the overall result.</w:t>
      </w:r>
      <w:r w:rsidR="002C09FC">
        <w:t xml:space="preserve"> </w:t>
      </w:r>
    </w:p>
    <w:p w14:paraId="28A5605B" w14:textId="6229DB2D" w:rsidR="003324A3" w:rsidRPr="00387024" w:rsidRDefault="002C09FC" w:rsidP="00834461">
      <w:pPr>
        <w:pStyle w:val="NormalIndent"/>
      </w:pPr>
      <w:r>
        <w:t xml:space="preserve">However, considerable variation in scoring </w:t>
      </w:r>
      <w:r w:rsidR="00035DCC">
        <w:t xml:space="preserve">can </w:t>
      </w:r>
      <w:r>
        <w:t xml:space="preserve">occur for other reasons. These instances should be examined to determine the cause of the variation. For example, one panel member may have missed some information provided and </w:t>
      </w:r>
      <w:r w:rsidR="00BC66CE">
        <w:t xml:space="preserve">given </w:t>
      </w:r>
      <w:r>
        <w:t xml:space="preserve">the submission </w:t>
      </w:r>
      <w:r w:rsidR="00BC66CE">
        <w:t xml:space="preserve">a </w:t>
      </w:r>
      <w:r>
        <w:t xml:space="preserve">low </w:t>
      </w:r>
      <w:r w:rsidR="00BC66CE">
        <w:t>score</w:t>
      </w:r>
      <w:r>
        <w:t xml:space="preserve"> for that criterion</w:t>
      </w:r>
      <w:r w:rsidR="00135ABB">
        <w:t>.</w:t>
      </w:r>
      <w:r>
        <w:t xml:space="preserve"> </w:t>
      </w:r>
      <w:r w:rsidR="00135ABB">
        <w:t>T</w:t>
      </w:r>
      <w:r>
        <w:t xml:space="preserve">his </w:t>
      </w:r>
      <w:r w:rsidR="00084DED">
        <w:t xml:space="preserve">can </w:t>
      </w:r>
      <w:r>
        <w:t>occur whe</w:t>
      </w:r>
      <w:r w:rsidR="00084DED">
        <w:t>n</w:t>
      </w:r>
      <w:r>
        <w:t xml:space="preserve"> a tenderer has not adhered to the tender response schedules and </w:t>
      </w:r>
      <w:r w:rsidR="00BD540E">
        <w:t xml:space="preserve">the </w:t>
      </w:r>
      <w:r>
        <w:t xml:space="preserve">information </w:t>
      </w:r>
      <w:r w:rsidR="00BD540E">
        <w:t xml:space="preserve">is presented </w:t>
      </w:r>
      <w:r>
        <w:t xml:space="preserve">in </w:t>
      </w:r>
      <w:r w:rsidR="0082104C">
        <w:t>an</w:t>
      </w:r>
      <w:r>
        <w:t xml:space="preserve"> </w:t>
      </w:r>
      <w:r w:rsidR="00BD540E">
        <w:t>un</w:t>
      </w:r>
      <w:r>
        <w:t xml:space="preserve">expected way. In other instances, a panel member may </w:t>
      </w:r>
      <w:r w:rsidR="00BC66CE">
        <w:t xml:space="preserve">give </w:t>
      </w:r>
      <w:r>
        <w:t xml:space="preserve">a submission </w:t>
      </w:r>
      <w:r w:rsidR="00BC66CE">
        <w:t xml:space="preserve">a </w:t>
      </w:r>
      <w:r>
        <w:t>high</w:t>
      </w:r>
      <w:r w:rsidR="00BC66CE">
        <w:t xml:space="preserve"> score</w:t>
      </w:r>
      <w:r>
        <w:t xml:space="preserve"> based on previous experience with the supplier rather than</w:t>
      </w:r>
      <w:r w:rsidR="0082104C">
        <w:t xml:space="preserve"> on information provided in the</w:t>
      </w:r>
      <w:r>
        <w:t xml:space="preserve"> tender. It is essential to discuss any scoring variations so that </w:t>
      </w:r>
      <w:r w:rsidR="009018FB">
        <w:t xml:space="preserve">the panel </w:t>
      </w:r>
      <w:r>
        <w:t xml:space="preserve">has a common understanding of the submissions and the resulting scores. It is common for individual panel members to modify their scores </w:t>
      </w:r>
      <w:r w:rsidR="008D2357">
        <w:t>after group</w:t>
      </w:r>
      <w:r>
        <w:t xml:space="preserve"> discussion.</w:t>
      </w:r>
    </w:p>
    <w:p w14:paraId="6B6E4B23" w14:textId="4CADEDC7" w:rsidR="003324A3" w:rsidRPr="00387024" w:rsidRDefault="003324A3" w:rsidP="00834461">
      <w:pPr>
        <w:pStyle w:val="NormalIndent"/>
      </w:pPr>
      <w:r w:rsidRPr="00387024">
        <w:t xml:space="preserve">Once the moderation process has been undertaken, individual scores are </w:t>
      </w:r>
      <w:r w:rsidR="00AF0B18">
        <w:t>comb</w:t>
      </w:r>
      <w:r w:rsidR="003E6CA3">
        <w:t xml:space="preserve">ined </w:t>
      </w:r>
      <w:r w:rsidRPr="00387024">
        <w:t xml:space="preserve">o </w:t>
      </w:r>
      <w:r w:rsidR="00013DE5">
        <w:t>produce</w:t>
      </w:r>
      <w:r w:rsidR="00013DE5" w:rsidRPr="00387024">
        <w:t xml:space="preserve"> </w:t>
      </w:r>
      <w:r w:rsidRPr="00387024">
        <w:t>a</w:t>
      </w:r>
      <w:r w:rsidR="003E6CA3">
        <w:t>n overall</w:t>
      </w:r>
      <w:r w:rsidRPr="00387024">
        <w:t xml:space="preserve"> score for each evaluation </w:t>
      </w:r>
      <w:r w:rsidR="002C09FC">
        <w:t>criterion.</w:t>
      </w:r>
      <w:r w:rsidRPr="00387024">
        <w:t xml:space="preserve"> The weighted combined scores are then added to </w:t>
      </w:r>
      <w:r w:rsidR="00B066D3">
        <w:t>produce</w:t>
      </w:r>
      <w:r w:rsidR="00B066D3" w:rsidRPr="00387024">
        <w:t xml:space="preserve"> </w:t>
      </w:r>
      <w:r w:rsidRPr="00387024">
        <w:t xml:space="preserve">a final score and ranking for each submission. The preferred tenderer is identified </w:t>
      </w:r>
      <w:r w:rsidR="00B066D3">
        <w:t>by</w:t>
      </w:r>
      <w:r w:rsidRPr="00387024">
        <w:t xml:space="preserve"> the highest ranking.</w:t>
      </w:r>
    </w:p>
    <w:p w14:paraId="014573E2" w14:textId="7CAB548D" w:rsidR="003324A3" w:rsidRPr="00387024" w:rsidRDefault="003324A3" w:rsidP="00834461">
      <w:pPr>
        <w:pStyle w:val="NormalIndent"/>
      </w:pPr>
      <w:r w:rsidRPr="00387024">
        <w:t>Tender evaluation is a lengthy and resource-intensive process</w:t>
      </w:r>
      <w:r w:rsidR="008E7082">
        <w:t>.</w:t>
      </w:r>
      <w:r w:rsidRPr="00387024">
        <w:t xml:space="preserve"> </w:t>
      </w:r>
      <w:r w:rsidR="008E7082">
        <w:t>A</w:t>
      </w:r>
      <w:r w:rsidRPr="00387024">
        <w:t>dequate time should be assigned for individual assessments and workshop</w:t>
      </w:r>
      <w:r w:rsidR="00273793">
        <w:t xml:space="preserve"> discussions</w:t>
      </w:r>
      <w:r w:rsidRPr="00387024">
        <w:t xml:space="preserve">. </w:t>
      </w:r>
      <w:r w:rsidR="002C09FC">
        <w:t xml:space="preserve">It is best practice to book </w:t>
      </w:r>
      <w:r w:rsidR="00C9245C">
        <w:t>individual and group evaluation</w:t>
      </w:r>
      <w:r w:rsidR="002C09FC">
        <w:t xml:space="preserve"> </w:t>
      </w:r>
      <w:r w:rsidR="00C9245C">
        <w:t>sessions</w:t>
      </w:r>
      <w:r w:rsidR="002C09FC">
        <w:t xml:space="preserve"> in panel members</w:t>
      </w:r>
      <w:r w:rsidR="00C9245C">
        <w:t>’</w:t>
      </w:r>
      <w:r w:rsidR="002C09FC">
        <w:t xml:space="preserve"> diar</w:t>
      </w:r>
      <w:r w:rsidR="00273793">
        <w:t>ies</w:t>
      </w:r>
      <w:r w:rsidR="002C09FC">
        <w:t xml:space="preserve"> </w:t>
      </w:r>
      <w:r w:rsidR="00C9245C">
        <w:t xml:space="preserve">well in advance, </w:t>
      </w:r>
      <w:r w:rsidR="002C09FC">
        <w:t xml:space="preserve">to allow them </w:t>
      </w:r>
      <w:r w:rsidR="00C9245C">
        <w:t xml:space="preserve">enough time </w:t>
      </w:r>
      <w:r w:rsidR="002C09FC">
        <w:t xml:space="preserve">to </w:t>
      </w:r>
      <w:r w:rsidR="00C9245C">
        <w:t>complete the</w:t>
      </w:r>
      <w:r w:rsidR="002C09FC">
        <w:t xml:space="preserve"> evaluation and </w:t>
      </w:r>
      <w:r w:rsidR="00C9245C">
        <w:t>avoid delays in</w:t>
      </w:r>
      <w:r w:rsidR="002C09FC">
        <w:t xml:space="preserve"> </w:t>
      </w:r>
      <w:r w:rsidR="00C9245C">
        <w:t>the process</w:t>
      </w:r>
      <w:r w:rsidR="002C09FC">
        <w:t>.</w:t>
      </w:r>
    </w:p>
    <w:p w14:paraId="607B4372" w14:textId="35CF939E" w:rsidR="002C09FC" w:rsidRDefault="00153CF4" w:rsidP="001D2615">
      <w:pPr>
        <w:pStyle w:val="Heading3numbered"/>
      </w:pPr>
      <w:r>
        <w:t>VfM</w:t>
      </w:r>
      <w:r w:rsidR="002C09FC">
        <w:t xml:space="preserve"> assessment</w:t>
      </w:r>
    </w:p>
    <w:p w14:paraId="73D75BE8" w14:textId="2FC9743D" w:rsidR="002C09FC" w:rsidRDefault="002C09FC" w:rsidP="00834461">
      <w:pPr>
        <w:pStyle w:val="NormalIndent"/>
      </w:pPr>
      <w:r>
        <w:t>Tender evaluation</w:t>
      </w:r>
      <w:r w:rsidR="00C9245C">
        <w:t xml:space="preserve"> outcomes</w:t>
      </w:r>
      <w:r>
        <w:t xml:space="preserve"> should not be </w:t>
      </w:r>
      <w:r w:rsidR="00C9245C">
        <w:t xml:space="preserve">determined </w:t>
      </w:r>
      <w:r>
        <w:t>on cost</w:t>
      </w:r>
      <w:r w:rsidR="00C9245C">
        <w:t xml:space="preserve"> alone</w:t>
      </w:r>
      <w:r>
        <w:t xml:space="preserve">. Instead, </w:t>
      </w:r>
      <w:r w:rsidR="00C9245C">
        <w:t xml:space="preserve">the focus </w:t>
      </w:r>
      <w:r>
        <w:t xml:space="preserve">should be on achieving </w:t>
      </w:r>
      <w:r w:rsidR="00153CF4">
        <w:t xml:space="preserve">high </w:t>
      </w:r>
      <w:r>
        <w:t>service quality for the money expended.</w:t>
      </w:r>
    </w:p>
    <w:p w14:paraId="27EDC360" w14:textId="3EDBF870" w:rsidR="002C09FC" w:rsidRDefault="00645DEA" w:rsidP="00834461">
      <w:pPr>
        <w:pStyle w:val="NormalIndent"/>
      </w:pPr>
      <w:r>
        <w:t>VfM</w:t>
      </w:r>
      <w:r w:rsidR="002C09FC">
        <w:t xml:space="preserve"> weighs the cost</w:t>
      </w:r>
      <w:r w:rsidR="00C512DB">
        <w:t>s</w:t>
      </w:r>
      <w:r w:rsidR="002C09FC">
        <w:t xml:space="preserve"> of obtaining </w:t>
      </w:r>
      <w:r w:rsidR="00725B2C">
        <w:t xml:space="preserve">the works </w:t>
      </w:r>
      <w:r w:rsidR="002C09FC">
        <w:t>and services against the benefits they provide.</w:t>
      </w:r>
    </w:p>
    <w:p w14:paraId="676D0986" w14:textId="0B2FDB4F" w:rsidR="003324A3" w:rsidRPr="00387024" w:rsidRDefault="003324A3" w:rsidP="00834461">
      <w:pPr>
        <w:pStyle w:val="NormalIndent"/>
      </w:pPr>
      <w:r w:rsidRPr="00387024">
        <w:t>Acceptance of a tender based solely on the lowest price may result in a lower</w:t>
      </w:r>
      <w:r w:rsidR="00645DEA">
        <w:t xml:space="preserve"> </w:t>
      </w:r>
      <w:r w:rsidRPr="00387024">
        <w:t xml:space="preserve">quality solution. </w:t>
      </w:r>
      <w:r w:rsidR="00C9245C">
        <w:t>The</w:t>
      </w:r>
      <w:r w:rsidRPr="00387024">
        <w:t xml:space="preserve"> tenderer </w:t>
      </w:r>
      <w:r w:rsidR="00C9245C">
        <w:t>may have</w:t>
      </w:r>
      <w:r w:rsidRPr="00387024">
        <w:t xml:space="preserve"> </w:t>
      </w:r>
      <w:r w:rsidR="002C09FC">
        <w:t>underpriced</w:t>
      </w:r>
      <w:r w:rsidRPr="00387024">
        <w:t xml:space="preserve"> the work, which may lead to underperformance</w:t>
      </w:r>
      <w:r w:rsidR="00645DEA">
        <w:t>,</w:t>
      </w:r>
      <w:r w:rsidRPr="00387024">
        <w:t xml:space="preserve"> </w:t>
      </w:r>
      <w:r w:rsidR="00C9245C">
        <w:t>more</w:t>
      </w:r>
      <w:r w:rsidRPr="00387024">
        <w:t xml:space="preserve"> contract variations</w:t>
      </w:r>
      <w:r w:rsidR="00C9245C">
        <w:t xml:space="preserve">, </w:t>
      </w:r>
      <w:r w:rsidRPr="00387024">
        <w:t>other contract disputes</w:t>
      </w:r>
      <w:r w:rsidR="00C9245C">
        <w:t xml:space="preserve">, and </w:t>
      </w:r>
      <w:r w:rsidR="00C9245C" w:rsidRPr="00387024">
        <w:t>an adversarial relationship with</w:t>
      </w:r>
      <w:r w:rsidR="00C9245C">
        <w:t xml:space="preserve"> the contractor</w:t>
      </w:r>
      <w:r w:rsidRPr="00387024">
        <w:t>. Th</w:t>
      </w:r>
      <w:r w:rsidR="00C9245C">
        <w:t>ese issues</w:t>
      </w:r>
      <w:r w:rsidRPr="00387024">
        <w:t xml:space="preserve"> may lead to project delays, additional costs to the purchaser and a</w:t>
      </w:r>
      <w:r w:rsidR="00C9245C">
        <w:t xml:space="preserve"> greater</w:t>
      </w:r>
      <w:r w:rsidRPr="00387024">
        <w:t xml:space="preserve"> risk of project failure.</w:t>
      </w:r>
    </w:p>
    <w:p w14:paraId="5D1336BD" w14:textId="0E034661" w:rsidR="003324A3" w:rsidRPr="00387024" w:rsidRDefault="003324A3" w:rsidP="00026A3C">
      <w:pPr>
        <w:pStyle w:val="NormalIndent"/>
        <w:ind w:right="-154"/>
      </w:pPr>
      <w:r w:rsidRPr="00387024">
        <w:t xml:space="preserve">The tender </w:t>
      </w:r>
      <w:r w:rsidR="000F073D">
        <w:t>submissions</w:t>
      </w:r>
      <w:r w:rsidR="000F073D" w:rsidRPr="00387024">
        <w:t xml:space="preserve"> </w:t>
      </w:r>
      <w:r w:rsidRPr="00387024">
        <w:t>should be assessed against price and financial information</w:t>
      </w:r>
      <w:r w:rsidR="00F92808">
        <w:t>, and the underlying assumptions should be tested,</w:t>
      </w:r>
      <w:r w:rsidRPr="00387024">
        <w:t xml:space="preserve"> to ensure that the preferred tender </w:t>
      </w:r>
      <w:r w:rsidR="00C9245C">
        <w:t>is</w:t>
      </w:r>
      <w:r w:rsidRPr="00387024">
        <w:t xml:space="preserve"> </w:t>
      </w:r>
      <w:r w:rsidR="00F92808">
        <w:t xml:space="preserve">appropriately costed, </w:t>
      </w:r>
      <w:r w:rsidRPr="00387024">
        <w:t>affordable</w:t>
      </w:r>
      <w:r w:rsidR="00C9245C">
        <w:t>,</w:t>
      </w:r>
      <w:r w:rsidR="00F92808">
        <w:t xml:space="preserve"> financially</w:t>
      </w:r>
      <w:r w:rsidR="00C9245C">
        <w:t xml:space="preserve"> sustainable</w:t>
      </w:r>
      <w:r w:rsidRPr="00387024">
        <w:t xml:space="preserve"> and </w:t>
      </w:r>
      <w:r w:rsidR="003011AB">
        <w:t xml:space="preserve">represents </w:t>
      </w:r>
      <w:r w:rsidR="000F073D">
        <w:t>VfM</w:t>
      </w:r>
      <w:r w:rsidRPr="00387024">
        <w:t>.</w:t>
      </w:r>
    </w:p>
    <w:p w14:paraId="4527E16D" w14:textId="13E4BC79" w:rsidR="002C09FC" w:rsidRDefault="002C09FC" w:rsidP="001D2615">
      <w:pPr>
        <w:pStyle w:val="Heading3numbered"/>
      </w:pPr>
      <w:r>
        <w:t>Tender interviews</w:t>
      </w:r>
    </w:p>
    <w:p w14:paraId="25FFFA9A" w14:textId="520369B3" w:rsidR="003324A3" w:rsidRPr="00387024" w:rsidRDefault="003324A3" w:rsidP="007B17B3">
      <w:pPr>
        <w:pStyle w:val="NormalIndent"/>
        <w:keepNext/>
      </w:pPr>
      <w:r w:rsidRPr="00387024">
        <w:t xml:space="preserve">Once the tender evaluation panel has agreed </w:t>
      </w:r>
      <w:r w:rsidR="000F073D">
        <w:t xml:space="preserve">on </w:t>
      </w:r>
      <w:r w:rsidRPr="00387024">
        <w:t xml:space="preserve">the draft tender </w:t>
      </w:r>
      <w:r w:rsidR="00F92808">
        <w:t>scores</w:t>
      </w:r>
      <w:r w:rsidRPr="00387024">
        <w:t>, the preferred tenderer and one or two of the next</w:t>
      </w:r>
      <w:r w:rsidR="008A4533">
        <w:t xml:space="preserve"> </w:t>
      </w:r>
      <w:r w:rsidRPr="00387024">
        <w:t>highest</w:t>
      </w:r>
      <w:r w:rsidR="00281459">
        <w:rPr>
          <w:rFonts w:hint="eastAsia"/>
        </w:rPr>
        <w:t xml:space="preserve"> scoring</w:t>
      </w:r>
      <w:r w:rsidR="00F92808" w:rsidRPr="00387024">
        <w:t xml:space="preserve"> </w:t>
      </w:r>
      <w:r w:rsidRPr="00387024">
        <w:t xml:space="preserve">tenderers may be interviewed. The purpose of tender interviews is for the </w:t>
      </w:r>
      <w:r w:rsidR="002C09FC">
        <w:t>tender evaluation panel</w:t>
      </w:r>
      <w:r w:rsidRPr="00387024">
        <w:t xml:space="preserve"> to meet the high-ranking tenderers and </w:t>
      </w:r>
      <w:r w:rsidR="00F92808">
        <w:t xml:space="preserve">gather additional information to inform and </w:t>
      </w:r>
      <w:r w:rsidRPr="00387024">
        <w:t>confirm the tender evaluation results. Tender interviews can be used to</w:t>
      </w:r>
      <w:r>
        <w:t>:</w:t>
      </w:r>
    </w:p>
    <w:p w14:paraId="683D9DEA" w14:textId="75299190" w:rsidR="003324A3" w:rsidRDefault="15C8AB0F" w:rsidP="001D2615">
      <w:pPr>
        <w:pStyle w:val="Bulletindent"/>
        <w:spacing w:before="40" w:after="40"/>
      </w:pPr>
      <w:r>
        <w:t>confirm aspects of a bid where an evaluation panel is uncertain</w:t>
      </w:r>
    </w:p>
    <w:p w14:paraId="1EE00E26" w14:textId="4DFF162D" w:rsidR="002C09FC" w:rsidRDefault="565B7B3C" w:rsidP="00C451CB">
      <w:pPr>
        <w:pStyle w:val="Bulletindent"/>
        <w:spacing w:before="40" w:after="40"/>
      </w:pPr>
      <w:r>
        <w:t>confirm the supplier</w:t>
      </w:r>
      <w:r w:rsidR="00344D3F">
        <w:t>’</w:t>
      </w:r>
      <w:r>
        <w:t>s knowledge of, and experience and skills in, a particular area</w:t>
      </w:r>
      <w:r w:rsidR="00C451CB">
        <w:t>.</w:t>
      </w:r>
    </w:p>
    <w:p w14:paraId="148B901D" w14:textId="636874FA" w:rsidR="002C09FC" w:rsidRDefault="002C09FC" w:rsidP="00834461">
      <w:pPr>
        <w:pStyle w:val="NormalIndent"/>
      </w:pPr>
      <w:r>
        <w:t>Tender interviews should be conducted in accordance with the probity plan and should be attended by the probity adviser if one has been appointed.</w:t>
      </w:r>
    </w:p>
    <w:p w14:paraId="492466E0" w14:textId="5010B969" w:rsidR="002C09FC" w:rsidRDefault="002C09FC" w:rsidP="001D2615">
      <w:pPr>
        <w:pStyle w:val="Heading3numbered"/>
      </w:pPr>
      <w:r>
        <w:t>Reference checks</w:t>
      </w:r>
    </w:p>
    <w:p w14:paraId="148B7E03" w14:textId="7553E048" w:rsidR="003324A3" w:rsidRPr="00387024" w:rsidRDefault="003324A3" w:rsidP="00834461">
      <w:pPr>
        <w:pStyle w:val="NormalIndent"/>
      </w:pPr>
      <w:r w:rsidRPr="00387024">
        <w:t>Reference checks should be:</w:t>
      </w:r>
    </w:p>
    <w:p w14:paraId="466DFC60" w14:textId="604CB449" w:rsidR="003324A3" w:rsidRPr="00387024" w:rsidRDefault="15C8AB0F" w:rsidP="001D2615">
      <w:pPr>
        <w:pStyle w:val="Bulletindent"/>
        <w:spacing w:before="40" w:after="40"/>
      </w:pPr>
      <w:r>
        <w:t>conducted for the preferred supplier and the next highest</w:t>
      </w:r>
      <w:r w:rsidR="00281459">
        <w:t xml:space="preserve"> scoring</w:t>
      </w:r>
      <w:r>
        <w:t xml:space="preserve"> </w:t>
      </w:r>
      <w:r w:rsidR="565B7B3C">
        <w:t>tenderer</w:t>
      </w:r>
    </w:p>
    <w:p w14:paraId="0477CD10" w14:textId="0A5AA788" w:rsidR="003324A3" w:rsidRPr="00387024" w:rsidRDefault="15C8AB0F" w:rsidP="001D2615">
      <w:pPr>
        <w:pStyle w:val="Bulletindent"/>
        <w:spacing w:before="40" w:after="40"/>
      </w:pPr>
      <w:r>
        <w:t>undertaken by one nominated representative of the tender evaluation panel.</w:t>
      </w:r>
    </w:p>
    <w:p w14:paraId="03029EA8" w14:textId="4837495C" w:rsidR="003324A3" w:rsidRPr="00387024" w:rsidRDefault="003324A3" w:rsidP="00834461">
      <w:pPr>
        <w:pStyle w:val="NormalIndent"/>
      </w:pPr>
      <w:r>
        <w:t>Reference checks should be used to</w:t>
      </w:r>
      <w:r w:rsidR="00F92808">
        <w:t xml:space="preserve"> identify or confirm the tenderer’s</w:t>
      </w:r>
      <w:r>
        <w:t>:</w:t>
      </w:r>
    </w:p>
    <w:p w14:paraId="168D3D38" w14:textId="7FAA2E68" w:rsidR="002C09FC" w:rsidRDefault="565B7B3C" w:rsidP="001D2615">
      <w:pPr>
        <w:pStyle w:val="Bulletindent"/>
        <w:spacing w:before="40" w:after="40"/>
      </w:pPr>
      <w:r>
        <w:t xml:space="preserve">involvement and experience in </w:t>
      </w:r>
      <w:r w:rsidR="00AD659C">
        <w:t xml:space="preserve">similar </w:t>
      </w:r>
      <w:r>
        <w:t>projects, particular</w:t>
      </w:r>
      <w:r w:rsidR="00AD659C">
        <w:t>ly</w:t>
      </w:r>
      <w:r>
        <w:t xml:space="preserve"> the experience of personnel being put forward for the works</w:t>
      </w:r>
    </w:p>
    <w:p w14:paraId="43724AF0" w14:textId="43B2D71C" w:rsidR="002C09FC" w:rsidRDefault="565B7B3C" w:rsidP="001D2615">
      <w:pPr>
        <w:pStyle w:val="Bulletindent"/>
        <w:spacing w:before="40" w:after="40"/>
      </w:pPr>
      <w:r>
        <w:t>level of skill and technical expertise in a particular area</w:t>
      </w:r>
    </w:p>
    <w:p w14:paraId="12B1AF82" w14:textId="32384BB1" w:rsidR="002C09FC" w:rsidRDefault="565B7B3C" w:rsidP="001D2615">
      <w:pPr>
        <w:pStyle w:val="Bulletindent"/>
        <w:spacing w:before="40" w:after="40"/>
      </w:pPr>
      <w:r>
        <w:t>approach to managing types of risk</w:t>
      </w:r>
    </w:p>
    <w:p w14:paraId="45A6CB4B" w14:textId="0B7C076D" w:rsidR="002C09FC" w:rsidRDefault="565B7B3C" w:rsidP="001D2615">
      <w:pPr>
        <w:pStyle w:val="Bulletindent"/>
        <w:spacing w:before="40" w:after="40"/>
      </w:pPr>
      <w:r>
        <w:t>client management and communication approach</w:t>
      </w:r>
    </w:p>
    <w:p w14:paraId="2AD1D783" w14:textId="131A9A3D" w:rsidR="002C09FC" w:rsidRDefault="565B7B3C" w:rsidP="001D2615">
      <w:pPr>
        <w:pStyle w:val="Bulletindent"/>
        <w:spacing w:before="40" w:after="40"/>
      </w:pPr>
      <w:r>
        <w:t>professionalism</w:t>
      </w:r>
    </w:p>
    <w:p w14:paraId="4F457935" w14:textId="7AB72114" w:rsidR="002C09FC" w:rsidRDefault="565B7B3C" w:rsidP="001D2615">
      <w:pPr>
        <w:pStyle w:val="Bulletindent"/>
        <w:spacing w:before="40" w:after="40"/>
      </w:pPr>
      <w:r>
        <w:t>approach to dispute resolution.</w:t>
      </w:r>
    </w:p>
    <w:p w14:paraId="3747BE12" w14:textId="3C8154DB" w:rsidR="002C09FC" w:rsidRPr="00345F74" w:rsidRDefault="002C09FC" w:rsidP="001D2615">
      <w:pPr>
        <w:pStyle w:val="Heading3numbered"/>
      </w:pPr>
      <w:r>
        <w:t>T</w:t>
      </w:r>
      <w:r w:rsidRPr="00EE3025">
        <w:t>ender evaluation report</w:t>
      </w:r>
    </w:p>
    <w:p w14:paraId="56538DE2" w14:textId="25177155" w:rsidR="002C09FC" w:rsidRDefault="00195AE9" w:rsidP="00854521">
      <w:pPr>
        <w:pStyle w:val="NormalIndent"/>
        <w:spacing w:after="60"/>
      </w:pPr>
      <w:r>
        <w:t>When</w:t>
      </w:r>
      <w:r w:rsidR="002C09FC">
        <w:t xml:space="preserve"> the tender evaluation </w:t>
      </w:r>
      <w:r>
        <w:t>is complete</w:t>
      </w:r>
      <w:r w:rsidR="002C09FC">
        <w:t>, the tender evaluation team must comprehensively document the results in a final report. The</w:t>
      </w:r>
      <w:r>
        <w:t xml:space="preserve"> </w:t>
      </w:r>
      <w:r w:rsidR="002C09FC">
        <w:t xml:space="preserve">tender evaluation report </w:t>
      </w:r>
      <w:r>
        <w:t>must</w:t>
      </w:r>
      <w:r w:rsidR="002C09FC">
        <w:t xml:space="preserve"> document:</w:t>
      </w:r>
    </w:p>
    <w:p w14:paraId="5E76ECAB" w14:textId="7DC3DBA7" w:rsidR="002C09FC" w:rsidRDefault="565B7B3C" w:rsidP="0018251A">
      <w:pPr>
        <w:pStyle w:val="Bulletindent"/>
        <w:spacing w:before="40" w:after="50"/>
      </w:pPr>
      <w:r>
        <w:t>the results of the moderated individual assessments</w:t>
      </w:r>
    </w:p>
    <w:p w14:paraId="13624699" w14:textId="7027AB6A" w:rsidR="002C09FC" w:rsidRDefault="565B7B3C" w:rsidP="0018251A">
      <w:pPr>
        <w:pStyle w:val="Bulletindent"/>
        <w:spacing w:before="40" w:after="50"/>
      </w:pPr>
      <w:r>
        <w:t>the results of the final tender assessments</w:t>
      </w:r>
    </w:p>
    <w:p w14:paraId="3C3B1354" w14:textId="54925D76" w:rsidR="002C09FC" w:rsidRDefault="565B7B3C" w:rsidP="0018251A">
      <w:pPr>
        <w:pStyle w:val="Bulletindent"/>
        <w:spacing w:before="40" w:after="50"/>
      </w:pPr>
      <w:r>
        <w:t xml:space="preserve">the results of the </w:t>
      </w:r>
      <w:r w:rsidR="00D23E83">
        <w:t>VfM</w:t>
      </w:r>
      <w:r>
        <w:t xml:space="preserve"> assessment</w:t>
      </w:r>
    </w:p>
    <w:p w14:paraId="41615CC0" w14:textId="775F7722" w:rsidR="002C09FC" w:rsidRDefault="565B7B3C" w:rsidP="0018251A">
      <w:pPr>
        <w:pStyle w:val="Bulletindent"/>
        <w:spacing w:before="40" w:after="50"/>
      </w:pPr>
      <w:r>
        <w:t>tender clarifications</w:t>
      </w:r>
      <w:r w:rsidR="00195AE9">
        <w:t xml:space="preserve"> conducted</w:t>
      </w:r>
    </w:p>
    <w:p w14:paraId="4F30066B" w14:textId="246A40C0" w:rsidR="002C09FC" w:rsidRDefault="565B7B3C" w:rsidP="0018251A">
      <w:pPr>
        <w:pStyle w:val="Bulletindent"/>
        <w:spacing w:before="40" w:after="50"/>
      </w:pPr>
      <w:r>
        <w:t>tender interviews conducted</w:t>
      </w:r>
    </w:p>
    <w:p w14:paraId="00731A74" w14:textId="4CC07236" w:rsidR="002C09FC" w:rsidRDefault="565B7B3C" w:rsidP="0018251A">
      <w:pPr>
        <w:pStyle w:val="Bulletindent"/>
        <w:keepNext/>
        <w:spacing w:before="40" w:after="50"/>
      </w:pPr>
      <w:r>
        <w:t>the impact of any new information arising from tender clarifications, interviews and reference checks on the final tender assessment</w:t>
      </w:r>
    </w:p>
    <w:p w14:paraId="5ACA96FA" w14:textId="1C2D072B" w:rsidR="002C09FC" w:rsidRDefault="565B7B3C" w:rsidP="0018251A">
      <w:pPr>
        <w:pStyle w:val="Bulletindent"/>
        <w:keepNext/>
        <w:spacing w:before="40" w:after="50"/>
      </w:pPr>
      <w:r>
        <w:t xml:space="preserve">a summary of all probity steps, issues and considerations throughout the tender evaluation </w:t>
      </w:r>
      <w:r w:rsidR="00195AE9">
        <w:t>process</w:t>
      </w:r>
    </w:p>
    <w:p w14:paraId="6CFF2F78" w14:textId="0678BF89" w:rsidR="00195AE9" w:rsidRDefault="565B7B3C" w:rsidP="0018251A">
      <w:pPr>
        <w:pStyle w:val="Bulletindent"/>
        <w:spacing w:before="40" w:after="50"/>
      </w:pPr>
      <w:r>
        <w:t xml:space="preserve">the </w:t>
      </w:r>
      <w:r w:rsidR="00195AE9">
        <w:t xml:space="preserve">panel’s </w:t>
      </w:r>
      <w:r>
        <w:t xml:space="preserve">recommendation </w:t>
      </w:r>
      <w:r w:rsidR="00195AE9">
        <w:t>for the preferred supplier</w:t>
      </w:r>
    </w:p>
    <w:p w14:paraId="290ECF90" w14:textId="6B442833" w:rsidR="002C09FC" w:rsidRDefault="565B7B3C" w:rsidP="0018251A">
      <w:pPr>
        <w:pStyle w:val="Bulletindent"/>
        <w:spacing w:before="40" w:after="50"/>
      </w:pPr>
      <w:r>
        <w:t xml:space="preserve">any </w:t>
      </w:r>
      <w:r w:rsidR="00195AE9">
        <w:t xml:space="preserve">additional </w:t>
      </w:r>
      <w:r>
        <w:t>supporting evidence or reasoning for the recommendation.</w:t>
      </w:r>
    </w:p>
    <w:p w14:paraId="383D84FB" w14:textId="1BB5FA80" w:rsidR="002C09FC" w:rsidRDefault="002C09FC" w:rsidP="00834461">
      <w:pPr>
        <w:pStyle w:val="NormalIndent"/>
      </w:pPr>
      <w:r>
        <w:t xml:space="preserve">It is acceptable to nominate a preferred supplier that did not receive the highest ranking </w:t>
      </w:r>
      <w:r w:rsidR="00195AE9">
        <w:t>in</w:t>
      </w:r>
      <w:r>
        <w:t xml:space="preserve"> the tender evaluation process. This commonly occurs whe</w:t>
      </w:r>
      <w:r w:rsidR="00195AE9">
        <w:t>n</w:t>
      </w:r>
      <w:r>
        <w:t xml:space="preserve"> the </w:t>
      </w:r>
      <w:r w:rsidR="004025B8">
        <w:t>VfM</w:t>
      </w:r>
      <w:r>
        <w:t xml:space="preserve"> assessment identifies another (generally high-ranking) bid as offering an acceptable solution at a lower price. It can also occur whe</w:t>
      </w:r>
      <w:r w:rsidR="00195AE9">
        <w:t>n</w:t>
      </w:r>
      <w:r>
        <w:t xml:space="preserve"> tender clarifications, interviews and reference checks provide new information that is unfavourable to the highest</w:t>
      </w:r>
      <w:r w:rsidR="00754119">
        <w:t>-</w:t>
      </w:r>
      <w:r>
        <w:t>ranked tenderer. However, it is important to comprehensively document the reasoning for recommending a preferred tenderer and provide adequate evidence to ensure a non-contestable result.</w:t>
      </w:r>
    </w:p>
    <w:p w14:paraId="2B235778" w14:textId="77777777" w:rsidR="002C09FC" w:rsidRPr="006D6442" w:rsidRDefault="002C09FC" w:rsidP="001D2615">
      <w:pPr>
        <w:pStyle w:val="Heading3numbered"/>
      </w:pPr>
      <w:r w:rsidRPr="006D6442">
        <w:t>Best and final offers</w:t>
      </w:r>
      <w:r w:rsidRPr="006D6442">
        <w:rPr>
          <w:rFonts w:ascii="Calibri" w:hAnsi="Calibri" w:cs="Calibri"/>
        </w:rPr>
        <w:t> </w:t>
      </w:r>
    </w:p>
    <w:p w14:paraId="05DF589C" w14:textId="14957206" w:rsidR="002C09FC" w:rsidRDefault="002C09FC" w:rsidP="00834461">
      <w:pPr>
        <w:pStyle w:val="NormalIndent"/>
      </w:pPr>
      <w:r>
        <w:t>Ideally, a preferred bidder is selected</w:t>
      </w:r>
      <w:r w:rsidR="006842E8">
        <w:t xml:space="preserve"> after the evaluation process</w:t>
      </w:r>
      <w:r>
        <w:t xml:space="preserve">. If a single bidder cannot be identified, but the project steering committee believes a </w:t>
      </w:r>
      <w:r w:rsidR="00F26E11">
        <w:t>VfM</w:t>
      </w:r>
      <w:r>
        <w:t xml:space="preserve"> solution can still be achieved, a BAFO process may be used. Providing a </w:t>
      </w:r>
      <w:r w:rsidR="00864DDE">
        <w:t>VfM</w:t>
      </w:r>
      <w:r>
        <w:t xml:space="preserve"> outcome can still be achieved, it may be appropriate to use BAFOs whe</w:t>
      </w:r>
      <w:r w:rsidR="00195AE9">
        <w:t>n</w:t>
      </w:r>
      <w:r>
        <w:t>:</w:t>
      </w:r>
    </w:p>
    <w:p w14:paraId="64570D1F" w14:textId="0149B5D2" w:rsidR="002C09FC" w:rsidRDefault="565B7B3C" w:rsidP="001D2615">
      <w:pPr>
        <w:pStyle w:val="Bulletindent"/>
      </w:pPr>
      <w:r>
        <w:t>costs submitted by all bidders are too high</w:t>
      </w:r>
    </w:p>
    <w:p w14:paraId="7A9F3DCB" w14:textId="030C1661" w:rsidR="002C09FC" w:rsidRDefault="565B7B3C" w:rsidP="001D2615">
      <w:pPr>
        <w:pStyle w:val="Bulletindent"/>
      </w:pPr>
      <w:r>
        <w:t>a preferred bidder cannot be clearly determined based on the evaluation of RFP</w:t>
      </w:r>
      <w:r w:rsidR="002D29E6">
        <w:t xml:space="preserve"> </w:t>
      </w:r>
      <w:r w:rsidR="00044F85">
        <w:t>or</w:t>
      </w:r>
      <w:r w:rsidR="002D29E6">
        <w:t xml:space="preserve"> </w:t>
      </w:r>
      <w:r>
        <w:t>RFT responses against the evaluation criteria</w:t>
      </w:r>
    </w:p>
    <w:p w14:paraId="4A12854A" w14:textId="375E8CDF" w:rsidR="002C09FC" w:rsidRDefault="565B7B3C" w:rsidP="001D2615">
      <w:pPr>
        <w:pStyle w:val="Bulletindent"/>
      </w:pPr>
      <w:r>
        <w:t>all RFP</w:t>
      </w:r>
      <w:r w:rsidR="002D29E6">
        <w:t xml:space="preserve"> </w:t>
      </w:r>
      <w:r w:rsidR="00044F85">
        <w:t>or</w:t>
      </w:r>
      <w:r w:rsidR="002D29E6">
        <w:t xml:space="preserve"> </w:t>
      </w:r>
      <w:r>
        <w:t>RFT responses are deficient in one or more areas.</w:t>
      </w:r>
    </w:p>
    <w:p w14:paraId="43903B21" w14:textId="75F902DB" w:rsidR="002C09FC" w:rsidRDefault="002C09FC" w:rsidP="00834461">
      <w:pPr>
        <w:pStyle w:val="NormalIndent"/>
      </w:pPr>
      <w:r>
        <w:t xml:space="preserve">To minimise costs to the private sector and to </w:t>
      </w:r>
      <w:r w:rsidR="003E4A30">
        <w:t xml:space="preserve">the </w:t>
      </w:r>
      <w:r w:rsidR="00094F3F">
        <w:t>G</w:t>
      </w:r>
      <w:r>
        <w:t>overnment:</w:t>
      </w:r>
    </w:p>
    <w:p w14:paraId="0F393343" w14:textId="261A99CF" w:rsidR="002C09FC" w:rsidRDefault="565B7B3C" w:rsidP="001D2615">
      <w:pPr>
        <w:pStyle w:val="Bulletindent"/>
      </w:pPr>
      <w:r>
        <w:t>only bidders believed capable of delivering the desired results should be invited to participate in the BAFO</w:t>
      </w:r>
    </w:p>
    <w:p w14:paraId="207055C0" w14:textId="658B5996" w:rsidR="002C09FC" w:rsidRDefault="565B7B3C" w:rsidP="001D2615">
      <w:pPr>
        <w:pStyle w:val="Bulletindent"/>
      </w:pPr>
      <w:r>
        <w:t>the BAFO should be completed within a short, well-defined period</w:t>
      </w:r>
    </w:p>
    <w:p w14:paraId="10967A60" w14:textId="2DF8C2F5" w:rsidR="002C09FC" w:rsidRDefault="565B7B3C" w:rsidP="001D2615">
      <w:pPr>
        <w:pStyle w:val="Bulletindent"/>
      </w:pPr>
      <w:r>
        <w:t>agencies should request only one BAFO.</w:t>
      </w:r>
    </w:p>
    <w:p w14:paraId="77E15D42" w14:textId="3DA0543B" w:rsidR="002C09FC" w:rsidRDefault="002C09FC" w:rsidP="00834461">
      <w:pPr>
        <w:pStyle w:val="NormalIndent"/>
      </w:pPr>
      <w:r>
        <w:t>The bidders selected for the BAFO</w:t>
      </w:r>
      <w:r w:rsidR="006527C0">
        <w:t xml:space="preserve"> </w:t>
      </w:r>
      <w:r>
        <w:t>process should be provided with detailed questions relating to their proposals and informed of the deficient parts of their proposal.</w:t>
      </w:r>
    </w:p>
    <w:p w14:paraId="1BC3A983" w14:textId="335F1799" w:rsidR="002C09FC" w:rsidRDefault="002C09FC" w:rsidP="00834461">
      <w:pPr>
        <w:pStyle w:val="NormalIndent"/>
      </w:pPr>
      <w:r>
        <w:t xml:space="preserve">The bidders are then given the opportunity to revise their bids and eliminate any unacceptable conditions contained in their original proposals. The amended sections are re-evaluated and re-scored according to the evaluation process defined in the invitation to tender and tender evaluation plan. </w:t>
      </w:r>
      <w:r w:rsidR="002E5EDE">
        <w:t>T</w:t>
      </w:r>
      <w:r>
        <w:t xml:space="preserve">he probity requirements for the tender evaluation phase, as set out in the tender evaluation plan and probity plan, continue to apply during </w:t>
      </w:r>
      <w:r w:rsidR="002E5EDE">
        <w:t xml:space="preserve">the </w:t>
      </w:r>
      <w:r>
        <w:t>BAFO.</w:t>
      </w:r>
    </w:p>
    <w:p w14:paraId="3C4AB5DF" w14:textId="6219226B" w:rsidR="002C09FC" w:rsidRPr="00387024" w:rsidRDefault="002E5EDE" w:rsidP="00834461">
      <w:pPr>
        <w:pStyle w:val="NormalIndent"/>
      </w:pPr>
      <w:r>
        <w:t>M</w:t>
      </w:r>
      <w:r w:rsidR="002C09FC">
        <w:t>arkets are generally resistant to BAFO processes</w:t>
      </w:r>
      <w:r w:rsidR="00F66E33">
        <w:t>,</w:t>
      </w:r>
      <w:r w:rsidR="002C09FC">
        <w:t xml:space="preserve"> as they increase bidding costs.</w:t>
      </w:r>
    </w:p>
    <w:p w14:paraId="192FF718" w14:textId="77777777" w:rsidR="003324A3" w:rsidRPr="00387024" w:rsidRDefault="003324A3" w:rsidP="001D2615">
      <w:pPr>
        <w:pStyle w:val="Heading2numbered"/>
      </w:pPr>
      <w:bookmarkStart w:id="444" w:name="_Toc25662715"/>
      <w:bookmarkStart w:id="445" w:name="_Toc161321795"/>
      <w:r w:rsidRPr="00387024">
        <w:t>Tender evaluation phase checklist</w:t>
      </w:r>
      <w:bookmarkEnd w:id="444"/>
      <w:bookmarkEnd w:id="445"/>
    </w:p>
    <w:p w14:paraId="60270758" w14:textId="04047F0F" w:rsidR="003324A3" w:rsidRPr="00387024" w:rsidRDefault="003324A3" w:rsidP="007B17B3">
      <w:pPr>
        <w:pStyle w:val="NormalIndent"/>
        <w:keepNext/>
      </w:pPr>
      <w:r w:rsidRPr="00387024">
        <w:t xml:space="preserve">Before completing the tender evaluation phase and proceeding to the contract negotiation phase, </w:t>
      </w:r>
      <w:r w:rsidR="00CE06C3">
        <w:t xml:space="preserve">agencies must </w:t>
      </w:r>
      <w:r w:rsidR="00887189">
        <w:t xml:space="preserve">ensure that </w:t>
      </w:r>
      <w:r w:rsidRPr="00387024">
        <w:t xml:space="preserve">the following tasks have been </w:t>
      </w:r>
      <w:r w:rsidR="004D540E">
        <w:t>completed.</w:t>
      </w:r>
    </w:p>
    <w:p w14:paraId="20CE692F" w14:textId="6431A56A" w:rsidR="003C0D29" w:rsidRDefault="00A23826" w:rsidP="007B17B3">
      <w:pPr>
        <w:pStyle w:val="Captionindent"/>
      </w:pPr>
      <w:bookmarkStart w:id="446" w:name="_Toc145621363"/>
      <w:bookmarkStart w:id="447" w:name="_Toc146097257"/>
      <w:r>
        <w:t xml:space="preserve">Table </w:t>
      </w:r>
      <w:r>
        <w:fldChar w:fldCharType="begin"/>
      </w:r>
      <w:r>
        <w:instrText>SEQ Table \* ARABIC</w:instrText>
      </w:r>
      <w:r>
        <w:fldChar w:fldCharType="separate"/>
      </w:r>
      <w:r w:rsidR="008A4B3E">
        <w:rPr>
          <w:noProof/>
        </w:rPr>
        <w:t>15</w:t>
      </w:r>
      <w:r>
        <w:fldChar w:fldCharType="end"/>
      </w:r>
      <w:r w:rsidR="00E958D5">
        <w:t xml:space="preserve"> –</w:t>
      </w:r>
      <w:r w:rsidR="003C0D29">
        <w:t xml:space="preserve"> </w:t>
      </w:r>
      <w:r w:rsidR="003C0D29" w:rsidRPr="00341062">
        <w:t>Tender evaluation phase checklist</w:t>
      </w:r>
      <w:bookmarkEnd w:id="446"/>
      <w:bookmarkEnd w:id="447"/>
    </w:p>
    <w:tbl>
      <w:tblPr>
        <w:tblStyle w:val="DTFtexttableindent"/>
        <w:tblW w:w="8208" w:type="dxa"/>
        <w:tblLook w:val="0620" w:firstRow="1" w:lastRow="0" w:firstColumn="0" w:lastColumn="0" w:noHBand="1" w:noVBand="1"/>
      </w:tblPr>
      <w:tblGrid>
        <w:gridCol w:w="8208"/>
      </w:tblGrid>
      <w:tr w:rsidR="002C09FC" w:rsidRPr="00387024" w14:paraId="59A3F0E9" w14:textId="77777777" w:rsidTr="00854521">
        <w:trPr>
          <w:cnfStyle w:val="100000000000" w:firstRow="1" w:lastRow="0" w:firstColumn="0" w:lastColumn="0" w:oddVBand="0" w:evenVBand="0" w:oddHBand="0" w:evenHBand="0" w:firstRowFirstColumn="0" w:firstRowLastColumn="0" w:lastRowFirstColumn="0" w:lastRowLastColumn="0"/>
        </w:trPr>
        <w:tc>
          <w:tcPr>
            <w:tcW w:w="8208" w:type="dxa"/>
          </w:tcPr>
          <w:p w14:paraId="54519A94" w14:textId="77777777" w:rsidR="002C09FC" w:rsidRPr="00387024" w:rsidRDefault="002C09FC" w:rsidP="00F7602B">
            <w:pPr>
              <w:pStyle w:val="Tableheader"/>
            </w:pPr>
            <w:r w:rsidRPr="00387024">
              <w:t>Tender evaluation phase key tasks</w:t>
            </w:r>
          </w:p>
        </w:tc>
      </w:tr>
      <w:tr w:rsidR="002C09FC" w:rsidRPr="00387024" w14:paraId="1097FB42" w14:textId="77777777" w:rsidTr="00854521">
        <w:tc>
          <w:tcPr>
            <w:tcW w:w="8208" w:type="dxa"/>
          </w:tcPr>
          <w:p w14:paraId="015E0FFD" w14:textId="15DA1614" w:rsidR="002C09FC" w:rsidRPr="00387024" w:rsidRDefault="002C09FC" w:rsidP="007B17B3">
            <w:pPr>
              <w:pStyle w:val="Tabletext"/>
              <w:ind w:left="360" w:hanging="360"/>
            </w:pPr>
            <w:r w:rsidRPr="00387024">
              <w:rPr>
                <w:rFonts w:ascii="Wingdings" w:eastAsia="Wingdings" w:hAnsi="Wingdings" w:cs="Wingdings"/>
              </w:rPr>
              <w:t>ü</w:t>
            </w:r>
            <w:r w:rsidRPr="00387024">
              <w:tab/>
              <w:t xml:space="preserve">Confirm membership of, and brief, the </w:t>
            </w:r>
            <w:r>
              <w:t>t</w:t>
            </w:r>
            <w:r w:rsidRPr="00387024">
              <w:t xml:space="preserve">ender </w:t>
            </w:r>
            <w:r>
              <w:t>e</w:t>
            </w:r>
            <w:r w:rsidRPr="00387024">
              <w:t xml:space="preserve">valuation </w:t>
            </w:r>
            <w:r>
              <w:t>p</w:t>
            </w:r>
            <w:r w:rsidRPr="00387024">
              <w:t>anel</w:t>
            </w:r>
          </w:p>
        </w:tc>
      </w:tr>
      <w:tr w:rsidR="002C09FC" w:rsidRPr="00387024" w14:paraId="509EE7F0" w14:textId="77777777" w:rsidTr="00854521">
        <w:tc>
          <w:tcPr>
            <w:tcW w:w="8208" w:type="dxa"/>
          </w:tcPr>
          <w:p w14:paraId="318EDC1C" w14:textId="0880242E" w:rsidR="002C09FC" w:rsidRPr="00387024" w:rsidRDefault="002C09FC" w:rsidP="007B17B3">
            <w:pPr>
              <w:pStyle w:val="Tabletext"/>
              <w:ind w:left="360" w:hanging="360"/>
            </w:pPr>
            <w:r w:rsidRPr="00387024">
              <w:rPr>
                <w:rFonts w:ascii="Wingdings" w:eastAsia="Wingdings" w:hAnsi="Wingdings" w:cs="Wingdings"/>
              </w:rPr>
              <w:t>ü</w:t>
            </w:r>
            <w:r w:rsidRPr="00387024">
              <w:tab/>
              <w:t>Identify and manage any conflict</w:t>
            </w:r>
            <w:r w:rsidR="00887189">
              <w:t>s</w:t>
            </w:r>
            <w:r w:rsidRPr="00387024">
              <w:t xml:space="preserve"> of interest</w:t>
            </w:r>
          </w:p>
        </w:tc>
      </w:tr>
      <w:tr w:rsidR="002C09FC" w:rsidRPr="00387024" w14:paraId="32FCC4A5" w14:textId="77777777" w:rsidTr="00854521">
        <w:tc>
          <w:tcPr>
            <w:tcW w:w="8208" w:type="dxa"/>
          </w:tcPr>
          <w:p w14:paraId="7B34C880" w14:textId="2D46E714" w:rsidR="002C09FC" w:rsidRPr="00387024" w:rsidRDefault="002C09FC" w:rsidP="007B17B3">
            <w:pPr>
              <w:pStyle w:val="Tabletext"/>
              <w:ind w:left="360" w:hanging="360"/>
            </w:pPr>
            <w:r w:rsidRPr="00387024">
              <w:rPr>
                <w:rFonts w:ascii="Wingdings" w:eastAsia="Wingdings" w:hAnsi="Wingdings" w:cs="Wingdings"/>
              </w:rPr>
              <w:t>ü</w:t>
            </w:r>
            <w:r w:rsidRPr="00387024">
              <w:tab/>
              <w:t>Identify and manage any i</w:t>
            </w:r>
            <w:r w:rsidR="00887189">
              <w:t>nstances</w:t>
            </w:r>
            <w:r w:rsidRPr="00387024">
              <w:t xml:space="preserve"> of non-</w:t>
            </w:r>
            <w:r>
              <w:t>compliance with mandatory criteria</w:t>
            </w:r>
          </w:p>
        </w:tc>
      </w:tr>
      <w:tr w:rsidR="002C09FC" w:rsidRPr="00387024" w14:paraId="6CE4144B" w14:textId="77777777" w:rsidTr="00854521">
        <w:tc>
          <w:tcPr>
            <w:tcW w:w="8208" w:type="dxa"/>
          </w:tcPr>
          <w:p w14:paraId="2610C862" w14:textId="77777777" w:rsidR="002C09FC" w:rsidRPr="00387024" w:rsidRDefault="002C09FC" w:rsidP="007B17B3">
            <w:pPr>
              <w:pStyle w:val="Tabletext"/>
              <w:ind w:left="360" w:hanging="360"/>
            </w:pPr>
            <w:r w:rsidRPr="00387024">
              <w:rPr>
                <w:rFonts w:ascii="Wingdings" w:eastAsia="Wingdings" w:hAnsi="Wingdings" w:cs="Wingdings"/>
              </w:rPr>
              <w:t>ü</w:t>
            </w:r>
            <w:r w:rsidRPr="00387024">
              <w:tab/>
              <w:t>Identify and review any alternative proposals</w:t>
            </w:r>
          </w:p>
        </w:tc>
      </w:tr>
      <w:tr w:rsidR="002C09FC" w:rsidRPr="00387024" w14:paraId="54CFE434" w14:textId="77777777" w:rsidTr="00854521">
        <w:tc>
          <w:tcPr>
            <w:tcW w:w="8208" w:type="dxa"/>
          </w:tcPr>
          <w:p w14:paraId="04EB6009" w14:textId="238CC60C" w:rsidR="002C09FC" w:rsidRPr="00387024" w:rsidRDefault="002C09FC" w:rsidP="007B17B3">
            <w:pPr>
              <w:pStyle w:val="Tabletext"/>
              <w:ind w:left="360" w:hanging="360"/>
            </w:pPr>
            <w:r w:rsidRPr="00387024">
              <w:rPr>
                <w:rFonts w:ascii="Wingdings" w:eastAsia="Wingdings" w:hAnsi="Wingdings" w:cs="Wingdings"/>
              </w:rPr>
              <w:t>ü</w:t>
            </w:r>
            <w:r w:rsidRPr="00387024">
              <w:tab/>
            </w:r>
            <w:r w:rsidR="00887189">
              <w:t>P</w:t>
            </w:r>
            <w:r w:rsidRPr="00387024">
              <w:t>anel member</w:t>
            </w:r>
            <w:r w:rsidR="00887189">
              <w:t>s individually</w:t>
            </w:r>
            <w:r w:rsidRPr="00387024">
              <w:t xml:space="preserve"> review and evaluate the </w:t>
            </w:r>
            <w:r w:rsidR="00887189">
              <w:t xml:space="preserve">tender </w:t>
            </w:r>
            <w:r w:rsidRPr="00387024">
              <w:t>submissions</w:t>
            </w:r>
          </w:p>
        </w:tc>
      </w:tr>
      <w:tr w:rsidR="002C09FC" w:rsidRPr="00387024" w14:paraId="31044A4E" w14:textId="77777777" w:rsidTr="00854521">
        <w:tc>
          <w:tcPr>
            <w:tcW w:w="8208" w:type="dxa"/>
          </w:tcPr>
          <w:p w14:paraId="46727BCD" w14:textId="77777777" w:rsidR="002C09FC" w:rsidRPr="00387024" w:rsidRDefault="002C09FC" w:rsidP="007B17B3">
            <w:pPr>
              <w:pStyle w:val="Tabletext"/>
              <w:ind w:left="360" w:hanging="360"/>
            </w:pPr>
            <w:r w:rsidRPr="00387024">
              <w:rPr>
                <w:rFonts w:ascii="Wingdings" w:eastAsia="Wingdings" w:hAnsi="Wingdings" w:cs="Wingdings"/>
              </w:rPr>
              <w:t>ü</w:t>
            </w:r>
            <w:r w:rsidRPr="00387024">
              <w:tab/>
              <w:t>Combine and moderate individual evaluations to identify the tender rankings</w:t>
            </w:r>
          </w:p>
        </w:tc>
      </w:tr>
      <w:tr w:rsidR="002C09FC" w:rsidRPr="00387024" w14:paraId="72158790" w14:textId="77777777" w:rsidTr="00854521">
        <w:tc>
          <w:tcPr>
            <w:tcW w:w="8208" w:type="dxa"/>
          </w:tcPr>
          <w:p w14:paraId="0CA35C38" w14:textId="77777777" w:rsidR="002C09FC" w:rsidRPr="00387024" w:rsidRDefault="002C09FC" w:rsidP="007B17B3">
            <w:pPr>
              <w:pStyle w:val="Tabletext"/>
              <w:ind w:left="360" w:hanging="360"/>
            </w:pPr>
            <w:r w:rsidRPr="00387024">
              <w:rPr>
                <w:rFonts w:ascii="Wingdings" w:eastAsia="Wingdings" w:hAnsi="Wingdings" w:cs="Wingdings"/>
              </w:rPr>
              <w:t>ü</w:t>
            </w:r>
            <w:r w:rsidRPr="00387024">
              <w:tab/>
              <w:t>Undertake tender clarifications</w:t>
            </w:r>
          </w:p>
        </w:tc>
      </w:tr>
      <w:tr w:rsidR="002C09FC" w:rsidRPr="00387024" w14:paraId="4879C54A" w14:textId="77777777" w:rsidTr="00854521">
        <w:tc>
          <w:tcPr>
            <w:tcW w:w="8208" w:type="dxa"/>
          </w:tcPr>
          <w:p w14:paraId="3EFE9A7F" w14:textId="77777777" w:rsidR="002C09FC" w:rsidRPr="00387024" w:rsidRDefault="002C09FC" w:rsidP="007B17B3">
            <w:pPr>
              <w:pStyle w:val="Tabletext"/>
              <w:ind w:left="360" w:hanging="360"/>
            </w:pPr>
            <w:r w:rsidRPr="00387024">
              <w:rPr>
                <w:rFonts w:ascii="Wingdings" w:eastAsia="Wingdings" w:hAnsi="Wingdings" w:cs="Wingdings"/>
              </w:rPr>
              <w:t>ü</w:t>
            </w:r>
            <w:r w:rsidRPr="00387024">
              <w:tab/>
              <w:t>Undertake tender interviews</w:t>
            </w:r>
          </w:p>
        </w:tc>
      </w:tr>
      <w:tr w:rsidR="002C09FC" w:rsidRPr="00387024" w14:paraId="4A987B98" w14:textId="77777777" w:rsidTr="00854521">
        <w:tc>
          <w:tcPr>
            <w:tcW w:w="8208" w:type="dxa"/>
          </w:tcPr>
          <w:p w14:paraId="029288D8" w14:textId="77777777" w:rsidR="002C09FC" w:rsidRPr="00387024" w:rsidRDefault="002C09FC" w:rsidP="007B17B3">
            <w:pPr>
              <w:pStyle w:val="Tabletext"/>
              <w:ind w:left="360" w:hanging="360"/>
            </w:pPr>
            <w:r w:rsidRPr="00387024">
              <w:rPr>
                <w:rFonts w:ascii="Wingdings" w:eastAsia="Wingdings" w:hAnsi="Wingdings" w:cs="Wingdings"/>
              </w:rPr>
              <w:t>ü</w:t>
            </w:r>
            <w:r w:rsidRPr="00387024">
              <w:tab/>
              <w:t>Undertake reference checks</w:t>
            </w:r>
          </w:p>
        </w:tc>
      </w:tr>
      <w:tr w:rsidR="002C09FC" w:rsidRPr="00387024" w14:paraId="292F267B" w14:textId="77777777" w:rsidTr="00854521">
        <w:tc>
          <w:tcPr>
            <w:tcW w:w="8208" w:type="dxa"/>
          </w:tcPr>
          <w:p w14:paraId="56CA47BE" w14:textId="77777777" w:rsidR="002C09FC" w:rsidRPr="00387024" w:rsidRDefault="002C09FC" w:rsidP="007B17B3">
            <w:pPr>
              <w:pStyle w:val="Tabletext"/>
              <w:ind w:left="360" w:hanging="360"/>
            </w:pPr>
            <w:r w:rsidRPr="00387024">
              <w:rPr>
                <w:rFonts w:ascii="Wingdings" w:eastAsia="Wingdings" w:hAnsi="Wingdings" w:cs="Wingdings"/>
              </w:rPr>
              <w:t>ü</w:t>
            </w:r>
            <w:r w:rsidRPr="00387024">
              <w:tab/>
              <w:t>Prepare tender evaluation report</w:t>
            </w:r>
          </w:p>
        </w:tc>
      </w:tr>
      <w:tr w:rsidR="002C09FC" w:rsidRPr="00387024" w14:paraId="1763B9D3" w14:textId="77777777" w:rsidTr="00854521">
        <w:tc>
          <w:tcPr>
            <w:tcW w:w="8208" w:type="dxa"/>
          </w:tcPr>
          <w:p w14:paraId="10E40A16" w14:textId="65DC441F" w:rsidR="002C09FC" w:rsidRPr="00387024" w:rsidRDefault="002C09FC" w:rsidP="007B17B3">
            <w:pPr>
              <w:pStyle w:val="Tabletext"/>
              <w:ind w:left="360" w:hanging="360"/>
            </w:pPr>
            <w:r w:rsidRPr="00387024">
              <w:rPr>
                <w:rFonts w:ascii="Wingdings" w:eastAsia="Wingdings" w:hAnsi="Wingdings" w:cs="Wingdings"/>
              </w:rPr>
              <w:t>ü</w:t>
            </w:r>
            <w:r w:rsidRPr="00387024">
              <w:tab/>
              <w:t>Probity auditor sign</w:t>
            </w:r>
            <w:r w:rsidR="002F132A">
              <w:t xml:space="preserve">s </w:t>
            </w:r>
            <w:r w:rsidRPr="00387024">
              <w:t>off</w:t>
            </w:r>
          </w:p>
        </w:tc>
      </w:tr>
    </w:tbl>
    <w:p w14:paraId="3B37CC49" w14:textId="63B749E8" w:rsidR="003324A3" w:rsidRPr="00387024" w:rsidRDefault="003C0D29" w:rsidP="001D2615">
      <w:pPr>
        <w:pStyle w:val="Heading1numbered"/>
      </w:pPr>
      <w:bookmarkStart w:id="448" w:name="_Toc161321796"/>
      <w:r>
        <w:t>Contract negotiation</w:t>
      </w:r>
      <w:bookmarkEnd w:id="448"/>
    </w:p>
    <w:p w14:paraId="66A4D486" w14:textId="42FB180C" w:rsidR="003324A3" w:rsidRPr="00443156" w:rsidRDefault="003324A3" w:rsidP="007B17B3">
      <w:pPr>
        <w:pStyle w:val="Captionindent"/>
      </w:pPr>
      <w:bookmarkStart w:id="449" w:name="_Toc145621489"/>
      <w:bookmarkStart w:id="450" w:name="_Toc145621618"/>
      <w:bookmarkStart w:id="451" w:name="_Toc160457794"/>
      <w:r w:rsidRPr="00443156">
        <w:t xml:space="preserve">Figure </w:t>
      </w:r>
      <w:r>
        <w:fldChar w:fldCharType="begin"/>
      </w:r>
      <w:r>
        <w:instrText>SEQ Figure \* ARABIC</w:instrText>
      </w:r>
      <w:r>
        <w:fldChar w:fldCharType="separate"/>
      </w:r>
      <w:r w:rsidR="008A4B3E">
        <w:rPr>
          <w:noProof/>
        </w:rPr>
        <w:t>25</w:t>
      </w:r>
      <w:r>
        <w:fldChar w:fldCharType="end"/>
      </w:r>
      <w:r w:rsidR="00E958D5">
        <w:t xml:space="preserve"> –</w:t>
      </w:r>
      <w:r w:rsidRPr="00443156">
        <w:t xml:space="preserve"> </w:t>
      </w:r>
      <w:r w:rsidR="00D15CCF">
        <w:t>Chapter 9 overview</w:t>
      </w:r>
      <w:bookmarkEnd w:id="449"/>
      <w:bookmarkEnd w:id="450"/>
      <w:bookmarkEnd w:id="451"/>
    </w:p>
    <w:p w14:paraId="7B1383CE" w14:textId="6137E55C" w:rsidR="00AB6B3E" w:rsidRPr="00387024" w:rsidRDefault="00287611" w:rsidP="00834461">
      <w:pPr>
        <w:pStyle w:val="NormalIndent"/>
      </w:pPr>
      <w:r w:rsidRPr="004B2633">
        <w:rPr>
          <w:noProof/>
        </w:rPr>
        <w:drawing>
          <wp:inline distT="0" distB="0" distL="0" distR="0" wp14:anchorId="67794E90" wp14:editId="188A4EE6">
            <wp:extent cx="5217459" cy="1623158"/>
            <wp:effectExtent l="0" t="0" r="2540" b="0"/>
            <wp:docPr id="1239886121" name="Graphic 1239886121" descr="Figure 25 provides an overview of the contents of the following chapter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86121" name="Picture 1239886121" descr="Figure 25 provides an overview of the contents of the following chapter (9) ​"/>
                    <pic:cNvPicPr/>
                  </pic:nvPicPr>
                  <pic:blipFill>
                    <a:blip r:embed="rId188" cstate="screen">
                      <a:extLst>
                        <a:ext uri="{28A0092B-C50C-407E-A947-70E740481C1C}">
                          <a14:useLocalDpi xmlns:a14="http://schemas.microsoft.com/office/drawing/2010/main"/>
                        </a:ext>
                        <a:ext uri="{96DAC541-7B7A-43D3-8B79-37D633B846F1}">
                          <asvg:svgBlip xmlns:asvg="http://schemas.microsoft.com/office/drawing/2016/SVG/main" r:embed="rId189"/>
                        </a:ext>
                      </a:extLst>
                    </a:blip>
                    <a:stretch>
                      <a:fillRect/>
                    </a:stretch>
                  </pic:blipFill>
                  <pic:spPr>
                    <a:xfrm>
                      <a:off x="0" y="0"/>
                      <a:ext cx="5236917" cy="1629211"/>
                    </a:xfrm>
                    <a:prstGeom prst="rect">
                      <a:avLst/>
                    </a:prstGeom>
                  </pic:spPr>
                </pic:pic>
              </a:graphicData>
            </a:graphic>
          </wp:inline>
        </w:drawing>
      </w:r>
    </w:p>
    <w:p w14:paraId="3CCA6734" w14:textId="0C233F79" w:rsidR="000F259D" w:rsidRPr="004B7489" w:rsidRDefault="000F259D" w:rsidP="00834461">
      <w:pPr>
        <w:pStyle w:val="NormalIndent"/>
      </w:pPr>
      <w:r w:rsidRPr="004B7489">
        <w:t xml:space="preserve">During the negotiation phase, the agency develops a negotiating strategy that identifies </w:t>
      </w:r>
      <w:r w:rsidR="00511BCD">
        <w:t>each</w:t>
      </w:r>
      <w:r w:rsidR="00511BCD" w:rsidRPr="004B7489">
        <w:t xml:space="preserve"> </w:t>
      </w:r>
      <w:r w:rsidRPr="004B7489">
        <w:t>part</w:t>
      </w:r>
      <w:r w:rsidR="00465878">
        <w:t>y</w:t>
      </w:r>
      <w:r w:rsidR="00344D3F">
        <w:t>’</w:t>
      </w:r>
      <w:r w:rsidR="00465878">
        <w:t>s</w:t>
      </w:r>
      <w:r w:rsidRPr="004B7489">
        <w:t xml:space="preserve"> likely interests</w:t>
      </w:r>
      <w:r w:rsidR="00465878">
        <w:t>,</w:t>
      </w:r>
      <w:r w:rsidRPr="004B7489">
        <w:t xml:space="preserve"> sets out </w:t>
      </w:r>
      <w:r w:rsidR="00465878">
        <w:t xml:space="preserve">the </w:t>
      </w:r>
      <w:r w:rsidR="00094F3F">
        <w:t>G</w:t>
      </w:r>
      <w:r w:rsidRPr="004B7489">
        <w:t>overnment</w:t>
      </w:r>
      <w:r w:rsidR="00344D3F">
        <w:t>’</w:t>
      </w:r>
      <w:r w:rsidRPr="004B7489">
        <w:t xml:space="preserve">s preferred negotiation outcomes </w:t>
      </w:r>
      <w:r>
        <w:t xml:space="preserve">and </w:t>
      </w:r>
      <w:r w:rsidRPr="004B7489">
        <w:t xml:space="preserve">establishes a negotiating team. The agency then engages with </w:t>
      </w:r>
      <w:r w:rsidR="00E53A46">
        <w:t>the</w:t>
      </w:r>
      <w:r w:rsidR="00E53A46" w:rsidRPr="004B7489">
        <w:t xml:space="preserve"> </w:t>
      </w:r>
      <w:r w:rsidRPr="004B7489">
        <w:t>preferred tender</w:t>
      </w:r>
      <w:r w:rsidR="00887189">
        <w:t>er</w:t>
      </w:r>
      <w:r w:rsidRPr="004B7489">
        <w:t xml:space="preserve"> to discuss </w:t>
      </w:r>
      <w:r w:rsidR="00887189">
        <w:t>any</w:t>
      </w:r>
      <w:r w:rsidR="00887189" w:rsidRPr="004B7489">
        <w:t xml:space="preserve"> </w:t>
      </w:r>
      <w:r w:rsidRPr="004B7489">
        <w:t xml:space="preserve">divergent interests and agree </w:t>
      </w:r>
      <w:r w:rsidR="00F72AA9">
        <w:t xml:space="preserve">on </w:t>
      </w:r>
      <w:r w:rsidRPr="004B7489">
        <w:t>contract terms and conditions.</w:t>
      </w:r>
    </w:p>
    <w:p w14:paraId="3BE60970" w14:textId="77777777" w:rsidR="000F259D" w:rsidRPr="004B7489" w:rsidRDefault="000F259D" w:rsidP="001D2615">
      <w:pPr>
        <w:pStyle w:val="Heading2numbered"/>
      </w:pPr>
      <w:bookmarkStart w:id="452" w:name="_Toc161321797"/>
      <w:r w:rsidRPr="004B7489">
        <w:t>Negotiating mutually successful outcomes</w:t>
      </w:r>
      <w:bookmarkEnd w:id="452"/>
    </w:p>
    <w:p w14:paraId="0304D579" w14:textId="01B3B619" w:rsidR="000F259D" w:rsidRDefault="000F259D" w:rsidP="00834461">
      <w:pPr>
        <w:pStyle w:val="NormalIndent"/>
        <w:rPr>
          <w:rFonts w:cs="Arial"/>
          <w:color w:val="1C212B"/>
          <w:spacing w:val="-2"/>
          <w:shd w:val="clear" w:color="auto" w:fill="FFFFFF"/>
        </w:rPr>
      </w:pPr>
      <w:r w:rsidRPr="004B7489">
        <w:t xml:space="preserve">Negotiation is a strategic discussion between the agency and a tender participant to resolve points of difference in a contract in a way that </w:t>
      </w:r>
      <w:r w:rsidR="00F72AA9">
        <w:t>is</w:t>
      </w:r>
      <w:r w:rsidRPr="004B7489">
        <w:t xml:space="preserve"> acceptable</w:t>
      </w:r>
      <w:r w:rsidR="00F72AA9">
        <w:t xml:space="preserve"> to </w:t>
      </w:r>
      <w:r w:rsidRPr="004B7489">
        <w:t xml:space="preserve">both parties. </w:t>
      </w:r>
      <w:r w:rsidR="0054353B">
        <w:rPr>
          <w:rFonts w:cs="Arial"/>
          <w:spacing w:val="-2"/>
          <w:shd w:val="clear" w:color="auto" w:fill="FFFFFF"/>
        </w:rPr>
        <w:t>A</w:t>
      </w:r>
      <w:r w:rsidRPr="004B7489">
        <w:rPr>
          <w:rFonts w:cs="Arial"/>
          <w:spacing w:val="-2"/>
          <w:shd w:val="clear" w:color="auto" w:fill="FFFFFF"/>
        </w:rPr>
        <w:t xml:space="preserve">gencies should exhaust negotiations with the preferred tenderer before </w:t>
      </w:r>
      <w:r w:rsidR="0054353B">
        <w:rPr>
          <w:rFonts w:cs="Arial"/>
          <w:spacing w:val="-2"/>
          <w:shd w:val="clear" w:color="auto" w:fill="FFFFFF"/>
        </w:rPr>
        <w:t>negotiating</w:t>
      </w:r>
      <w:r w:rsidRPr="004B7489">
        <w:rPr>
          <w:rFonts w:cs="Arial"/>
          <w:spacing w:val="-2"/>
          <w:shd w:val="clear" w:color="auto" w:fill="FFFFFF"/>
        </w:rPr>
        <w:t xml:space="preserve"> with another </w:t>
      </w:r>
      <w:r w:rsidR="00887189" w:rsidRPr="004B7489">
        <w:rPr>
          <w:rFonts w:cs="Arial"/>
          <w:spacing w:val="-2"/>
          <w:shd w:val="clear" w:color="auto" w:fill="FFFFFF"/>
        </w:rPr>
        <w:t>tenderer</w:t>
      </w:r>
      <w:r w:rsidR="00887189">
        <w:rPr>
          <w:rFonts w:cs="Arial"/>
          <w:spacing w:val="-2"/>
          <w:shd w:val="clear" w:color="auto" w:fill="FFFFFF"/>
        </w:rPr>
        <w:t xml:space="preserve"> unless</w:t>
      </w:r>
      <w:r w:rsidR="0054353B" w:rsidRPr="004B7489">
        <w:rPr>
          <w:rFonts w:cs="Arial"/>
          <w:spacing w:val="-2"/>
          <w:shd w:val="clear" w:color="auto" w:fill="FFFFFF"/>
        </w:rPr>
        <w:t xml:space="preserve"> </w:t>
      </w:r>
      <w:r w:rsidR="0054353B">
        <w:rPr>
          <w:rFonts w:cs="Arial"/>
          <w:spacing w:val="-2"/>
          <w:shd w:val="clear" w:color="auto" w:fill="FFFFFF"/>
        </w:rPr>
        <w:t xml:space="preserve">it is </w:t>
      </w:r>
      <w:r w:rsidR="0054353B" w:rsidRPr="004B7489">
        <w:rPr>
          <w:rFonts w:cs="Arial"/>
          <w:spacing w:val="-2"/>
          <w:shd w:val="clear" w:color="auto" w:fill="FFFFFF"/>
        </w:rPr>
        <w:t xml:space="preserve">expressly </w:t>
      </w:r>
      <w:r w:rsidR="00887189">
        <w:rPr>
          <w:rFonts w:cs="Arial"/>
          <w:spacing w:val="-2"/>
          <w:shd w:val="clear" w:color="auto" w:fill="FFFFFF"/>
        </w:rPr>
        <w:t>permitt</w:t>
      </w:r>
      <w:r w:rsidR="0054353B" w:rsidRPr="004B7489">
        <w:rPr>
          <w:rFonts w:cs="Arial"/>
          <w:spacing w:val="-2"/>
          <w:shd w:val="clear" w:color="auto" w:fill="FFFFFF"/>
        </w:rPr>
        <w:t>ed in the tender documents</w:t>
      </w:r>
      <w:r w:rsidRPr="004B7489">
        <w:rPr>
          <w:rFonts w:cs="Arial"/>
          <w:spacing w:val="-2"/>
          <w:shd w:val="clear" w:color="auto" w:fill="FFFFFF"/>
        </w:rPr>
        <w:t xml:space="preserve">. </w:t>
      </w:r>
      <w:r w:rsidRPr="004B7489">
        <w:t>During the negotiation process, the principal must not trade off differen</w:t>
      </w:r>
      <w:r w:rsidR="00887189">
        <w:t>ces in</w:t>
      </w:r>
      <w:r w:rsidRPr="004B7489">
        <w:t xml:space="preserve"> tende</w:t>
      </w:r>
      <w:r w:rsidR="00887189">
        <w:t>r</w:t>
      </w:r>
      <w:r w:rsidRPr="004B7489">
        <w:t xml:space="preserve"> prices to </w:t>
      </w:r>
      <w:r w:rsidR="00887189">
        <w:t>obtain</w:t>
      </w:r>
      <w:r w:rsidR="00887189" w:rsidRPr="004B7489">
        <w:t xml:space="preserve"> </w:t>
      </w:r>
      <w:r w:rsidR="00887189">
        <w:t xml:space="preserve">a </w:t>
      </w:r>
      <w:r w:rsidRPr="004B7489">
        <w:t>lower price</w:t>
      </w:r>
      <w:r w:rsidR="009C6D83">
        <w:t xml:space="preserve"> or</w:t>
      </w:r>
      <w:r>
        <w:t xml:space="preserve"> allocate an unreasonable level of risk </w:t>
      </w:r>
      <w:r w:rsidR="00E02DA1">
        <w:t>to</w:t>
      </w:r>
      <w:r>
        <w:t xml:space="preserve"> the contractor.</w:t>
      </w:r>
    </w:p>
    <w:p w14:paraId="6B7E36E1" w14:textId="4E9A38E0" w:rsidR="000F259D" w:rsidRPr="004B7489" w:rsidRDefault="000F259D" w:rsidP="00834461">
      <w:pPr>
        <w:pStyle w:val="NormalIndent"/>
      </w:pPr>
      <w:r w:rsidRPr="004B7489">
        <w:t xml:space="preserve">Negotiations may be used to explore opportunities to improve the overall </w:t>
      </w:r>
      <w:r w:rsidR="00442BEE">
        <w:t>VfM</w:t>
      </w:r>
      <w:r w:rsidRPr="004B7489">
        <w:t xml:space="preserve"> outcome of the procurement, for example</w:t>
      </w:r>
      <w:r w:rsidR="00442BEE">
        <w:t>,</w:t>
      </w:r>
      <w:r w:rsidRPr="004B7489">
        <w:t xml:space="preserve"> to reduce costs or delivery times, achieve a </w:t>
      </w:r>
      <w:r>
        <w:t xml:space="preserve">fairer </w:t>
      </w:r>
      <w:r w:rsidRPr="004B7489">
        <w:t xml:space="preserve">allocation of risk, deliver benefits </w:t>
      </w:r>
      <w:r>
        <w:t xml:space="preserve">from </w:t>
      </w:r>
      <w:r w:rsidRPr="004B7489">
        <w:t>innovation or improve the quality of scope items and outputs.</w:t>
      </w:r>
    </w:p>
    <w:p w14:paraId="640C5138" w14:textId="5FE9C4D3" w:rsidR="000F259D" w:rsidRPr="004B7489" w:rsidRDefault="000F259D" w:rsidP="00834461">
      <w:pPr>
        <w:pStyle w:val="NormalIndent"/>
        <w:rPr>
          <w:rFonts w:cs="Arial"/>
          <w:spacing w:val="-2"/>
          <w:shd w:val="clear" w:color="auto" w:fill="FFFFFF"/>
        </w:rPr>
      </w:pPr>
      <w:r w:rsidRPr="004B7489">
        <w:t xml:space="preserve">Either party can propose an offer or concession for negotiation. The agency </w:t>
      </w:r>
      <w:r w:rsidR="009173A7">
        <w:t>may</w:t>
      </w:r>
      <w:r w:rsidR="009173A7" w:rsidRPr="004B7489">
        <w:t xml:space="preserve"> </w:t>
      </w:r>
      <w:r w:rsidRPr="004B7489">
        <w:t>accept or reject proposals at its discretion (subject to any required approvals). I</w:t>
      </w:r>
      <w:r w:rsidRPr="004B7489">
        <w:rPr>
          <w:rFonts w:cs="Arial"/>
          <w:spacing w:val="-2"/>
          <w:shd w:val="clear" w:color="auto" w:fill="FFFFFF"/>
        </w:rPr>
        <w:t>t is in the agency</w:t>
      </w:r>
      <w:r w:rsidR="00344D3F">
        <w:rPr>
          <w:rFonts w:cs="Arial"/>
          <w:spacing w:val="-2"/>
          <w:shd w:val="clear" w:color="auto" w:fill="FFFFFF"/>
        </w:rPr>
        <w:t>’</w:t>
      </w:r>
      <w:r w:rsidRPr="004B7489">
        <w:rPr>
          <w:rFonts w:cs="Arial"/>
          <w:spacing w:val="-2"/>
          <w:shd w:val="clear" w:color="auto" w:fill="FFFFFF"/>
        </w:rPr>
        <w:t xml:space="preserve">s interest to </w:t>
      </w:r>
      <w:r w:rsidRPr="004B7489">
        <w:t xml:space="preserve">ensure contract agreements are mutually satisfactory and </w:t>
      </w:r>
      <w:r w:rsidRPr="004B7489">
        <w:rPr>
          <w:rFonts w:cs="Arial"/>
          <w:spacing w:val="-2"/>
          <w:shd w:val="clear" w:color="auto" w:fill="FFFFFF"/>
        </w:rPr>
        <w:t xml:space="preserve">provide the basis for a long-term successful relationship between </w:t>
      </w:r>
      <w:r w:rsidR="005B524B">
        <w:rPr>
          <w:rFonts w:cs="Arial"/>
          <w:spacing w:val="-2"/>
          <w:shd w:val="clear" w:color="auto" w:fill="FFFFFF"/>
        </w:rPr>
        <w:t>the Government</w:t>
      </w:r>
      <w:r w:rsidR="009173A7" w:rsidRPr="004B7489">
        <w:rPr>
          <w:rFonts w:cs="Arial"/>
          <w:spacing w:val="-2"/>
          <w:shd w:val="clear" w:color="auto" w:fill="FFFFFF"/>
        </w:rPr>
        <w:t xml:space="preserve"> </w:t>
      </w:r>
      <w:r w:rsidRPr="004B7489">
        <w:rPr>
          <w:rFonts w:cs="Arial"/>
          <w:spacing w:val="-2"/>
          <w:shd w:val="clear" w:color="auto" w:fill="FFFFFF"/>
        </w:rPr>
        <w:t xml:space="preserve">and the </w:t>
      </w:r>
      <w:r w:rsidR="00E02DA1">
        <w:rPr>
          <w:rFonts w:cs="Arial"/>
          <w:spacing w:val="-2"/>
          <w:shd w:val="clear" w:color="auto" w:fill="FFFFFF"/>
        </w:rPr>
        <w:t>contract</w:t>
      </w:r>
      <w:r w:rsidR="000E1208">
        <w:rPr>
          <w:rFonts w:cs="Arial"/>
          <w:spacing w:val="-2"/>
          <w:shd w:val="clear" w:color="auto" w:fill="FFFFFF"/>
        </w:rPr>
        <w:t>o</w:t>
      </w:r>
      <w:r w:rsidR="00E02DA1">
        <w:rPr>
          <w:rFonts w:cs="Arial"/>
          <w:spacing w:val="-2"/>
          <w:shd w:val="clear" w:color="auto" w:fill="FFFFFF"/>
        </w:rPr>
        <w:t>r</w:t>
      </w:r>
      <w:r w:rsidRPr="004B7489">
        <w:rPr>
          <w:rFonts w:cs="Arial"/>
          <w:spacing w:val="-2"/>
          <w:shd w:val="clear" w:color="auto" w:fill="FFFFFF"/>
        </w:rPr>
        <w:t xml:space="preserve">. The negotiation outcome should be </w:t>
      </w:r>
      <w:r w:rsidR="00344D3F">
        <w:rPr>
          <w:rFonts w:cs="Arial"/>
          <w:spacing w:val="-2"/>
          <w:shd w:val="clear" w:color="auto" w:fill="FFFFFF"/>
        </w:rPr>
        <w:t>‘</w:t>
      </w:r>
      <w:r w:rsidRPr="004B7489">
        <w:rPr>
          <w:rFonts w:cs="Arial"/>
          <w:spacing w:val="-2"/>
          <w:shd w:val="clear" w:color="auto" w:fill="FFFFFF"/>
        </w:rPr>
        <w:t>win-win</w:t>
      </w:r>
      <w:r w:rsidR="00344D3F">
        <w:rPr>
          <w:rFonts w:cs="Arial"/>
          <w:spacing w:val="-2"/>
          <w:shd w:val="clear" w:color="auto" w:fill="FFFFFF"/>
        </w:rPr>
        <w:t>’</w:t>
      </w:r>
      <w:r w:rsidRPr="004B7489">
        <w:rPr>
          <w:rFonts w:cs="Arial"/>
          <w:spacing w:val="-2"/>
          <w:shd w:val="clear" w:color="auto" w:fill="FFFFFF"/>
        </w:rPr>
        <w:t xml:space="preserve"> not </w:t>
      </w:r>
      <w:r w:rsidR="00344D3F">
        <w:rPr>
          <w:rFonts w:cs="Arial"/>
          <w:spacing w:val="-2"/>
          <w:shd w:val="clear" w:color="auto" w:fill="FFFFFF"/>
        </w:rPr>
        <w:t>‘</w:t>
      </w:r>
      <w:r w:rsidRPr="004B7489">
        <w:rPr>
          <w:rFonts w:cs="Arial"/>
          <w:spacing w:val="-2"/>
          <w:shd w:val="clear" w:color="auto" w:fill="FFFFFF"/>
        </w:rPr>
        <w:t>win-lose</w:t>
      </w:r>
      <w:r w:rsidR="00344D3F">
        <w:rPr>
          <w:rFonts w:cs="Arial"/>
          <w:spacing w:val="-2"/>
          <w:shd w:val="clear" w:color="auto" w:fill="FFFFFF"/>
        </w:rPr>
        <w:t>’</w:t>
      </w:r>
      <w:r w:rsidR="00EF480F">
        <w:rPr>
          <w:rFonts w:cs="Arial"/>
          <w:spacing w:val="-2"/>
          <w:shd w:val="clear" w:color="auto" w:fill="FFFFFF"/>
        </w:rPr>
        <w:t>.</w:t>
      </w:r>
    </w:p>
    <w:p w14:paraId="4794CF73" w14:textId="4811093F" w:rsidR="000F259D" w:rsidRPr="008918E5" w:rsidRDefault="4C032D55" w:rsidP="00FB587F">
      <w:pPr>
        <w:pStyle w:val="NormalIndent"/>
      </w:pPr>
      <w:r>
        <w:t xml:space="preserve">The </w:t>
      </w:r>
      <w:r w:rsidRPr="00BB592F">
        <w:rPr>
          <w:rFonts w:cs="Arial"/>
          <w:spacing w:val="-2"/>
          <w:shd w:val="clear" w:color="auto" w:fill="FFFFFF"/>
        </w:rPr>
        <w:t>agency</w:t>
      </w:r>
      <w:r>
        <w:t xml:space="preserve"> should not agree to any proposals or terms that directly conflict with the procurement objectives or impede </w:t>
      </w:r>
      <w:r w:rsidR="00E02DA1">
        <w:t xml:space="preserve">the </w:t>
      </w:r>
      <w:r w:rsidR="00094F3F">
        <w:t>G</w:t>
      </w:r>
      <w:r>
        <w:t>overnment</w:t>
      </w:r>
      <w:r w:rsidR="00344D3F">
        <w:t>’</w:t>
      </w:r>
      <w:r>
        <w:t xml:space="preserve">s ability to derive </w:t>
      </w:r>
      <w:r w:rsidR="00C3344A">
        <w:t>VfM</w:t>
      </w:r>
      <w:r>
        <w:t xml:space="preserve"> from its investment.</w:t>
      </w:r>
    </w:p>
    <w:p w14:paraId="32E73D27" w14:textId="11352283" w:rsidR="000F259D" w:rsidRPr="008918E5" w:rsidRDefault="4C032D55" w:rsidP="00BB592F">
      <w:pPr>
        <w:pStyle w:val="NormalIndent"/>
      </w:pPr>
      <w:r>
        <w:t>Conversely, it should not seek an outcome that is unsustainable for industry</w:t>
      </w:r>
      <w:r w:rsidR="00C3344A">
        <w:t>.</w:t>
      </w:r>
      <w:r>
        <w:t xml:space="preserve"> </w:t>
      </w:r>
      <w:r w:rsidR="003044BB">
        <w:t>T</w:t>
      </w:r>
      <w:r>
        <w:t xml:space="preserve">his could result in a poor relationship between the </w:t>
      </w:r>
      <w:r w:rsidR="00E02DA1">
        <w:t xml:space="preserve">agency </w:t>
      </w:r>
      <w:r>
        <w:t>and contractor, poor performance and quality</w:t>
      </w:r>
      <w:r w:rsidR="00E02DA1">
        <w:t xml:space="preserve"> or</w:t>
      </w:r>
      <w:r>
        <w:t xml:space="preserve"> </w:t>
      </w:r>
      <w:r w:rsidR="00E02DA1">
        <w:t xml:space="preserve">more </w:t>
      </w:r>
      <w:r>
        <w:t>disputes during the delivery phase</w:t>
      </w:r>
      <w:r w:rsidR="00E02DA1">
        <w:t>.</w:t>
      </w:r>
      <w:r>
        <w:t xml:space="preserve"> </w:t>
      </w:r>
      <w:r w:rsidR="00E02DA1">
        <w:t>T</w:t>
      </w:r>
      <w:r>
        <w:t xml:space="preserve">he tenderer </w:t>
      </w:r>
      <w:r w:rsidR="00E02DA1">
        <w:t xml:space="preserve">might </w:t>
      </w:r>
      <w:r>
        <w:t>withdraw from the tender process.</w:t>
      </w:r>
    </w:p>
    <w:p w14:paraId="6C21DADB" w14:textId="27858A6D" w:rsidR="000F259D" w:rsidRPr="004B7489" w:rsidRDefault="000F259D" w:rsidP="00834461">
      <w:pPr>
        <w:pStyle w:val="NormalIndent"/>
        <w:rPr>
          <w:shd w:val="clear" w:color="auto" w:fill="FFFFFF"/>
        </w:rPr>
      </w:pPr>
      <w:r w:rsidRPr="004B7489">
        <w:t xml:space="preserve">At the start of the </w:t>
      </w:r>
      <w:r w:rsidR="001911FC" w:rsidRPr="004B7489">
        <w:t>negotiation process</w:t>
      </w:r>
      <w:r w:rsidRPr="004B7489">
        <w:t xml:space="preserve">, each party will have its own negotiation objectives and will seek </w:t>
      </w:r>
      <w:r w:rsidRPr="004B7489">
        <w:rPr>
          <w:shd w:val="clear" w:color="auto" w:fill="FFFFFF"/>
        </w:rPr>
        <w:t>to obtain favourable terms to minimise its financial, legal and operational risk</w:t>
      </w:r>
      <w:r w:rsidR="00A053EC">
        <w:rPr>
          <w:shd w:val="clear" w:color="auto" w:fill="FFFFFF"/>
        </w:rPr>
        <w:t>s</w:t>
      </w:r>
      <w:r w:rsidRPr="004B7489">
        <w:rPr>
          <w:shd w:val="clear" w:color="auto" w:fill="FFFFFF"/>
        </w:rPr>
        <w:t xml:space="preserve">. During the negotiation process, the parties should work through any divergent interests to identify common ground and, where interests conflict, identify outcomes that are fair </w:t>
      </w:r>
      <w:r w:rsidR="00A053EC">
        <w:rPr>
          <w:shd w:val="clear" w:color="auto" w:fill="FFFFFF"/>
        </w:rPr>
        <w:t>to</w:t>
      </w:r>
      <w:r w:rsidR="00A053EC" w:rsidRPr="004B7489">
        <w:rPr>
          <w:shd w:val="clear" w:color="auto" w:fill="FFFFFF"/>
        </w:rPr>
        <w:t xml:space="preserve"> </w:t>
      </w:r>
      <w:r w:rsidRPr="004B7489">
        <w:rPr>
          <w:shd w:val="clear" w:color="auto" w:fill="FFFFFF"/>
        </w:rPr>
        <w:t>both parties.</w:t>
      </w:r>
    </w:p>
    <w:p w14:paraId="69D5EDA8" w14:textId="77777777" w:rsidR="000F259D" w:rsidRPr="004B7489" w:rsidRDefault="000F259D" w:rsidP="001D2615">
      <w:pPr>
        <w:pStyle w:val="Heading2numbered"/>
      </w:pPr>
      <w:bookmarkStart w:id="453" w:name="_Toc161321798"/>
      <w:r w:rsidRPr="004B7489">
        <w:t>Developing a negotiation strategy</w:t>
      </w:r>
      <w:bookmarkEnd w:id="453"/>
    </w:p>
    <w:p w14:paraId="4F0B27AA" w14:textId="19C30B01" w:rsidR="000F259D" w:rsidRPr="004B7489" w:rsidRDefault="000F259D" w:rsidP="00834461">
      <w:pPr>
        <w:pStyle w:val="NormalIndent"/>
      </w:pPr>
      <w:r w:rsidRPr="004B7489">
        <w:t>It is important to adequately plan and prepare for negotiations to ensure they run efficiently</w:t>
      </w:r>
      <w:r w:rsidR="00DC7432">
        <w:t xml:space="preserve">, </w:t>
      </w:r>
      <w:r w:rsidRPr="004B7489">
        <w:t>anticipate potential challenges and opportunities</w:t>
      </w:r>
      <w:r w:rsidR="00DC7432">
        <w:t>,</w:t>
      </w:r>
      <w:r w:rsidRPr="004B7489">
        <w:t xml:space="preserve"> and develop favourable responses. This require</w:t>
      </w:r>
      <w:r w:rsidR="001D3666">
        <w:t>s</w:t>
      </w:r>
      <w:r w:rsidRPr="004B7489">
        <w:t xml:space="preserve"> considering and reaching internal agreement on the agency</w:t>
      </w:r>
      <w:r w:rsidR="00344D3F">
        <w:t>’</w:t>
      </w:r>
      <w:r w:rsidRPr="004B7489">
        <w:t>s negotiation objectives and extensively researching the counterparty</w:t>
      </w:r>
      <w:r w:rsidR="00344D3F">
        <w:t>’</w:t>
      </w:r>
      <w:r w:rsidRPr="004B7489">
        <w:t>s likely issues and priorities.</w:t>
      </w:r>
    </w:p>
    <w:p w14:paraId="79FD723B" w14:textId="305C6EDF" w:rsidR="000F259D" w:rsidRPr="004B7489" w:rsidRDefault="000F259D" w:rsidP="0038572C">
      <w:pPr>
        <w:pStyle w:val="NormalIndent"/>
        <w:keepNext/>
      </w:pPr>
      <w:r w:rsidRPr="004B7489">
        <w:t xml:space="preserve">Prior to commencing negotiations, agencies should develop </w:t>
      </w:r>
      <w:r w:rsidR="00DC7432">
        <w:t xml:space="preserve">and document </w:t>
      </w:r>
      <w:r w:rsidRPr="004B7489">
        <w:t xml:space="preserve">a negotiation strategy </w:t>
      </w:r>
      <w:r w:rsidR="00D91461">
        <w:t>that</w:t>
      </w:r>
      <w:r w:rsidRPr="004B7489">
        <w:t xml:space="preserve">, at a minimum, </w:t>
      </w:r>
      <w:r w:rsidR="00DC7432">
        <w:t>considers</w:t>
      </w:r>
      <w:r w:rsidRPr="004B7489">
        <w:t>:</w:t>
      </w:r>
    </w:p>
    <w:p w14:paraId="0B143A99" w14:textId="33085DF6" w:rsidR="000F259D" w:rsidRDefault="00D91461" w:rsidP="001D2615">
      <w:pPr>
        <w:pStyle w:val="Bulletindent"/>
        <w:keepNext/>
      </w:pPr>
      <w:r>
        <w:t>t</w:t>
      </w:r>
      <w:r w:rsidR="4C032D55">
        <w:t xml:space="preserve">he likely context and scope of negotiations, particularly any key issues, divergent interests </w:t>
      </w:r>
      <w:r w:rsidR="00DC7432">
        <w:t>and</w:t>
      </w:r>
      <w:r w:rsidR="4C032D55">
        <w:t xml:space="preserve"> points of difference that</w:t>
      </w:r>
      <w:r w:rsidR="00DC7432">
        <w:t xml:space="preserve"> will</w:t>
      </w:r>
      <w:r w:rsidR="4C032D55">
        <w:t xml:space="preserve"> require agreement before enter</w:t>
      </w:r>
      <w:r w:rsidR="00EA656B">
        <w:t>ing</w:t>
      </w:r>
      <w:r w:rsidR="4C032D55">
        <w:t xml:space="preserve"> into a contract</w:t>
      </w:r>
    </w:p>
    <w:p w14:paraId="2218A81F" w14:textId="634A202D" w:rsidR="000F259D" w:rsidRPr="00B96CBA" w:rsidRDefault="00EA656B" w:rsidP="001D2615">
      <w:pPr>
        <w:pStyle w:val="Bulletindent"/>
      </w:pPr>
      <w:r>
        <w:rPr>
          <w:rFonts w:ascii="VIC" w:hAnsi="VIC"/>
        </w:rPr>
        <w:t>t</w:t>
      </w:r>
      <w:r w:rsidR="4C032D55" w:rsidRPr="76AB2BEA">
        <w:rPr>
          <w:rFonts w:ascii="VIC" w:hAnsi="VIC"/>
        </w:rPr>
        <w:t>imeframes required to cond</w:t>
      </w:r>
      <w:r w:rsidR="00DC7432">
        <w:rPr>
          <w:rFonts w:ascii="VIC" w:hAnsi="VIC"/>
        </w:rPr>
        <w:t>uct</w:t>
      </w:r>
      <w:r w:rsidR="4C032D55" w:rsidRPr="76AB2BEA">
        <w:rPr>
          <w:rFonts w:ascii="VIC" w:hAnsi="VIC"/>
        </w:rPr>
        <w:t xml:space="preserve"> negotiations</w:t>
      </w:r>
      <w:r>
        <w:rPr>
          <w:rFonts w:ascii="VIC" w:hAnsi="VIC"/>
        </w:rPr>
        <w:t>,</w:t>
      </w:r>
      <w:r w:rsidR="4C032D55" w:rsidRPr="76AB2BEA">
        <w:rPr>
          <w:rFonts w:ascii="VIC" w:hAnsi="VIC"/>
        </w:rPr>
        <w:t xml:space="preserve"> including any interim negotiation milestones </w:t>
      </w:r>
      <w:r>
        <w:rPr>
          <w:rFonts w:ascii="VIC" w:hAnsi="VIC"/>
        </w:rPr>
        <w:t>or</w:t>
      </w:r>
      <w:r w:rsidR="4C032D55" w:rsidRPr="76AB2BEA">
        <w:rPr>
          <w:rFonts w:ascii="VIC" w:hAnsi="VIC"/>
        </w:rPr>
        <w:t xml:space="preserve"> negotiation phases with set objectives</w:t>
      </w:r>
    </w:p>
    <w:p w14:paraId="26F66B01" w14:textId="023AFD00" w:rsidR="000F259D" w:rsidRPr="004B7489" w:rsidRDefault="00EA656B" w:rsidP="001D2615">
      <w:pPr>
        <w:pStyle w:val="Bulletindent"/>
      </w:pPr>
      <w:r>
        <w:t xml:space="preserve">the </w:t>
      </w:r>
      <w:r w:rsidR="00094F3F">
        <w:t>G</w:t>
      </w:r>
      <w:r w:rsidR="4C032D55">
        <w:t>overnment</w:t>
      </w:r>
      <w:r w:rsidR="00344D3F">
        <w:t>’</w:t>
      </w:r>
      <w:r w:rsidR="4C032D55">
        <w:t>s objectives and priorities</w:t>
      </w:r>
      <w:r>
        <w:t>, including</w:t>
      </w:r>
      <w:r w:rsidR="4C032D55">
        <w:t>:</w:t>
      </w:r>
    </w:p>
    <w:p w14:paraId="5673D29D" w14:textId="4A14F924" w:rsidR="000F259D" w:rsidRPr="004B7489" w:rsidRDefault="00EA656B" w:rsidP="001D2615">
      <w:pPr>
        <w:pStyle w:val="Bulletindent2"/>
      </w:pPr>
      <w:r>
        <w:t>its</w:t>
      </w:r>
      <w:r w:rsidR="000F259D" w:rsidRPr="004B7489">
        <w:t xml:space="preserve"> position and objectives in relation to issues likely to arise during negotiations</w:t>
      </w:r>
    </w:p>
    <w:p w14:paraId="3463B54A" w14:textId="14B817E5" w:rsidR="000F259D" w:rsidRPr="004B7489" w:rsidRDefault="00EA656B" w:rsidP="001D2615">
      <w:pPr>
        <w:pStyle w:val="Bulletindent2"/>
      </w:pPr>
      <w:r>
        <w:t>its</w:t>
      </w:r>
      <w:r w:rsidR="000F259D" w:rsidRPr="004B7489">
        <w:t xml:space="preserve"> priority interests and corresponding negotiation objectives </w:t>
      </w:r>
      <w:r>
        <w:t>(</w:t>
      </w:r>
      <w:r w:rsidR="000F259D" w:rsidRPr="004B7489">
        <w:t>these are the key outcomes for the negotiating team to achieve</w:t>
      </w:r>
      <w:r>
        <w:t>)</w:t>
      </w:r>
    </w:p>
    <w:p w14:paraId="702EB311" w14:textId="5D7294C7" w:rsidR="000F259D" w:rsidRPr="004B7489" w:rsidRDefault="00DC7432" w:rsidP="001D2615">
      <w:pPr>
        <w:pStyle w:val="Bulletindent2"/>
      </w:pPr>
      <w:r>
        <w:t xml:space="preserve">the </w:t>
      </w:r>
      <w:r w:rsidR="00EA656B">
        <w:t>b</w:t>
      </w:r>
      <w:r w:rsidR="00EA656B" w:rsidRPr="004B7489">
        <w:t xml:space="preserve">est </w:t>
      </w:r>
      <w:r w:rsidR="000F259D" w:rsidRPr="004B7489">
        <w:t>possible, most likely and wors</w:t>
      </w:r>
      <w:r w:rsidR="00EA656B">
        <w:t>t</w:t>
      </w:r>
      <w:r w:rsidR="000F259D" w:rsidRPr="004B7489">
        <w:t xml:space="preserve"> possible outcomes of the negotiations, identifying likely drivers of success or failure</w:t>
      </w:r>
    </w:p>
    <w:p w14:paraId="4A98958D" w14:textId="61C199B8" w:rsidR="000F259D" w:rsidRPr="004B7489" w:rsidRDefault="00EA656B" w:rsidP="001D2615">
      <w:pPr>
        <w:pStyle w:val="Bulletindent2"/>
      </w:pPr>
      <w:r>
        <w:t>a</w:t>
      </w:r>
      <w:r w:rsidRPr="004B7489">
        <w:t>ny</w:t>
      </w:r>
      <w:r w:rsidR="000F259D" w:rsidRPr="004B7489">
        <w:t xml:space="preserve"> unsatisfactory outcomes that should be avoided</w:t>
      </w:r>
    </w:p>
    <w:p w14:paraId="5AAE1E29" w14:textId="61660CC3" w:rsidR="000F259D" w:rsidRPr="004B7489" w:rsidRDefault="00EA656B" w:rsidP="001D2615">
      <w:pPr>
        <w:pStyle w:val="Bulletindent2"/>
      </w:pPr>
      <w:r>
        <w:t>a</w:t>
      </w:r>
      <w:r w:rsidRPr="004B7489">
        <w:t xml:space="preserve">lternative </w:t>
      </w:r>
      <w:r w:rsidR="000F259D" w:rsidRPr="004B7489">
        <w:t xml:space="preserve">options and fallback positions that </w:t>
      </w:r>
      <w:r w:rsidR="00980530">
        <w:t xml:space="preserve">the </w:t>
      </w:r>
      <w:r w:rsidR="000C75DD">
        <w:t>G</w:t>
      </w:r>
      <w:r w:rsidR="000C75DD" w:rsidRPr="004B7489">
        <w:t xml:space="preserve">overnment </w:t>
      </w:r>
      <w:r w:rsidR="000F259D" w:rsidRPr="004B7489">
        <w:t>would consider satisfactory</w:t>
      </w:r>
    </w:p>
    <w:p w14:paraId="64C7DFDC" w14:textId="52E6445B" w:rsidR="000F259D" w:rsidRPr="004B7489" w:rsidRDefault="00980530" w:rsidP="001D2615">
      <w:pPr>
        <w:pStyle w:val="Bulletindent2"/>
      </w:pPr>
      <w:r>
        <w:t>t</w:t>
      </w:r>
      <w:r w:rsidR="000F259D" w:rsidRPr="004B7489">
        <w:t>rad</w:t>
      </w:r>
      <w:r w:rsidR="00DC7432">
        <w:t>e</w:t>
      </w:r>
      <w:r w:rsidR="000F259D" w:rsidRPr="004B7489">
        <w:t xml:space="preserve">able issues and concessions </w:t>
      </w:r>
      <w:r>
        <w:t xml:space="preserve">(issues </w:t>
      </w:r>
      <w:r w:rsidR="000F259D" w:rsidRPr="004B7489">
        <w:t xml:space="preserve">of relatively low interest to </w:t>
      </w:r>
      <w:r>
        <w:t xml:space="preserve">the </w:t>
      </w:r>
      <w:r w:rsidR="00DC0822">
        <w:t>G</w:t>
      </w:r>
      <w:r w:rsidR="000F259D" w:rsidRPr="004B7489">
        <w:t xml:space="preserve">overnment but </w:t>
      </w:r>
      <w:r w:rsidR="00DC7432">
        <w:t xml:space="preserve">of </w:t>
      </w:r>
      <w:r w:rsidR="000F259D" w:rsidRPr="004B7489">
        <w:t>high interest to the counterparty that can be conceded in return for agreement on other issues</w:t>
      </w:r>
      <w:r>
        <w:t>)</w:t>
      </w:r>
    </w:p>
    <w:p w14:paraId="62E3FA60" w14:textId="66D94B1F" w:rsidR="000F259D" w:rsidRPr="004B7489" w:rsidRDefault="00980530" w:rsidP="001D2615">
      <w:pPr>
        <w:pStyle w:val="Bulletindent"/>
      </w:pPr>
      <w:r>
        <w:t>t</w:t>
      </w:r>
      <w:r w:rsidR="4C032D55">
        <w:t>he co</w:t>
      </w:r>
      <w:r w:rsidR="00DC7432">
        <w:t>un</w:t>
      </w:r>
      <w:r w:rsidR="4C032D55">
        <w:t>terparty</w:t>
      </w:r>
      <w:r w:rsidR="00344D3F">
        <w:t>’</w:t>
      </w:r>
      <w:r w:rsidR="4C032D55">
        <w:t>s interests, objectives and priorities, including:</w:t>
      </w:r>
    </w:p>
    <w:p w14:paraId="5F090D97" w14:textId="0FE844B1" w:rsidR="000F259D" w:rsidRPr="004B7489" w:rsidRDefault="00980530" w:rsidP="001D2615">
      <w:pPr>
        <w:pStyle w:val="Bulletindent2"/>
      </w:pPr>
      <w:r>
        <w:t>t</w:t>
      </w:r>
      <w:r w:rsidR="000F259D" w:rsidRPr="004B7489">
        <w:t xml:space="preserve">he importance of the relationship with </w:t>
      </w:r>
      <w:r>
        <w:t xml:space="preserve">the </w:t>
      </w:r>
      <w:r w:rsidR="00094F3F">
        <w:t>G</w:t>
      </w:r>
      <w:r w:rsidR="000F259D" w:rsidRPr="004B7489">
        <w:t xml:space="preserve">overnment </w:t>
      </w:r>
      <w:r>
        <w:t>or</w:t>
      </w:r>
      <w:r w:rsidR="000F259D" w:rsidRPr="004B7489">
        <w:t xml:space="preserve"> the agency, including </w:t>
      </w:r>
      <w:r w:rsidR="003F5E48">
        <w:t xml:space="preserve">the </w:t>
      </w:r>
      <w:r w:rsidR="000F259D" w:rsidRPr="004B7489">
        <w:t>portfolio of work awarded to the tenderer, other contracts they have been awarded or are tendering for</w:t>
      </w:r>
      <w:r w:rsidR="000F259D">
        <w:t xml:space="preserve"> and </w:t>
      </w:r>
      <w:r w:rsidR="000F259D" w:rsidRPr="004B7489">
        <w:t>current relationships</w:t>
      </w:r>
    </w:p>
    <w:p w14:paraId="795B3617" w14:textId="3EDA2AB6" w:rsidR="000F259D" w:rsidRPr="004B7489" w:rsidRDefault="003F5E48" w:rsidP="001D2615">
      <w:pPr>
        <w:pStyle w:val="Bulletindent2"/>
      </w:pPr>
      <w:r>
        <w:t>t</w:t>
      </w:r>
      <w:r w:rsidR="000F259D" w:rsidRPr="004B7489">
        <w:t>heir likely issues of primary concern and desired outcomes</w:t>
      </w:r>
    </w:p>
    <w:p w14:paraId="3B370133" w14:textId="1D5C00AF" w:rsidR="000F259D" w:rsidRPr="004B7489" w:rsidRDefault="003F5E48" w:rsidP="001D2615">
      <w:pPr>
        <w:pStyle w:val="Bulletindent2"/>
      </w:pPr>
      <w:r>
        <w:t>l</w:t>
      </w:r>
      <w:r w:rsidR="000F259D" w:rsidRPr="004B7489">
        <w:t>ikely alternative options, counteroffers and trad</w:t>
      </w:r>
      <w:r w:rsidR="00DC7432">
        <w:t>e</w:t>
      </w:r>
      <w:r w:rsidR="000F259D" w:rsidRPr="004B7489">
        <w:t>able issues</w:t>
      </w:r>
    </w:p>
    <w:p w14:paraId="4835CA48" w14:textId="010898BC" w:rsidR="000F259D" w:rsidRPr="004B7489" w:rsidRDefault="003F5E48" w:rsidP="001D2615">
      <w:pPr>
        <w:pStyle w:val="Bulletindent"/>
      </w:pPr>
      <w:r>
        <w:t>a</w:t>
      </w:r>
      <w:r w:rsidR="4C032D55" w:rsidRPr="004B7489">
        <w:rPr>
          <w:shd w:val="clear" w:color="auto" w:fill="FFFFFF"/>
        </w:rPr>
        <w:t>n assessment of the strengths and weaknesses of the agency</w:t>
      </w:r>
      <w:r w:rsidR="00344D3F">
        <w:rPr>
          <w:shd w:val="clear" w:color="auto" w:fill="FFFFFF"/>
        </w:rPr>
        <w:t>’</w:t>
      </w:r>
      <w:r w:rsidR="4C032D55" w:rsidRPr="004B7489">
        <w:rPr>
          <w:shd w:val="clear" w:color="auto" w:fill="FFFFFF"/>
        </w:rPr>
        <w:t>s position</w:t>
      </w:r>
    </w:p>
    <w:p w14:paraId="529E144E" w14:textId="0CB73B72" w:rsidR="000F259D" w:rsidRPr="004B7489" w:rsidRDefault="003F5E48" w:rsidP="001D2615">
      <w:pPr>
        <w:pStyle w:val="Bulletindent"/>
      </w:pPr>
      <w:r>
        <w:t>the n</w:t>
      </w:r>
      <w:r w:rsidR="4C032D55">
        <w:t>egotiation approach</w:t>
      </w:r>
      <w:r>
        <w:t>, including</w:t>
      </w:r>
      <w:r w:rsidR="4C032D55">
        <w:t>:</w:t>
      </w:r>
    </w:p>
    <w:p w14:paraId="157DE09C" w14:textId="1AF6A4EF" w:rsidR="000F259D" w:rsidRPr="004B7489" w:rsidRDefault="003F5E48" w:rsidP="001D2615">
      <w:pPr>
        <w:pStyle w:val="Bulletindent2"/>
      </w:pPr>
      <w:r>
        <w:t>p</w:t>
      </w:r>
      <w:r w:rsidR="000F259D" w:rsidRPr="004B7489">
        <w:t xml:space="preserve">otential negotiation tactics or techniques to help build rapport, trust and cooperation with the </w:t>
      </w:r>
      <w:r w:rsidR="007D3C9D">
        <w:t>counter</w:t>
      </w:r>
      <w:r w:rsidR="000F259D" w:rsidRPr="004B7489">
        <w:t>party</w:t>
      </w:r>
    </w:p>
    <w:p w14:paraId="191E8635" w14:textId="416F40E1" w:rsidR="000F259D" w:rsidRPr="004B7489" w:rsidRDefault="003F5E48" w:rsidP="001D2615">
      <w:pPr>
        <w:pStyle w:val="Bulletindent2"/>
      </w:pPr>
      <w:r>
        <w:t>c</w:t>
      </w:r>
      <w:r w:rsidR="000F259D" w:rsidRPr="004B7489">
        <w:t>ommunication style, tone and language</w:t>
      </w:r>
    </w:p>
    <w:p w14:paraId="430F684F" w14:textId="03222BA3" w:rsidR="000F259D" w:rsidRDefault="003F5E48" w:rsidP="001D2615">
      <w:pPr>
        <w:pStyle w:val="Bulletindent2"/>
      </w:pPr>
      <w:r>
        <w:t>s</w:t>
      </w:r>
      <w:r w:rsidR="000F259D" w:rsidRPr="004B7489">
        <w:t>trategies for managing impasses.</w:t>
      </w:r>
    </w:p>
    <w:p w14:paraId="41217C5C" w14:textId="77777777" w:rsidR="000F259D" w:rsidRPr="00F249CC" w:rsidRDefault="000F259D" w:rsidP="001D2615">
      <w:pPr>
        <w:pStyle w:val="Heading2numbered"/>
      </w:pPr>
      <w:bookmarkStart w:id="454" w:name="_Toc161321799"/>
      <w:r w:rsidRPr="00F249CC">
        <w:t>Establishing the negotiating team</w:t>
      </w:r>
      <w:bookmarkEnd w:id="454"/>
    </w:p>
    <w:p w14:paraId="3CACB136" w14:textId="6780FDD1" w:rsidR="000F259D" w:rsidRDefault="000F259D" w:rsidP="00834461">
      <w:pPr>
        <w:pStyle w:val="NormalIndent"/>
      </w:pPr>
      <w:r>
        <w:t xml:space="preserve">Resourcing </w:t>
      </w:r>
      <w:r w:rsidR="007D3C9D">
        <w:t xml:space="preserve">for </w:t>
      </w:r>
      <w:r>
        <w:t xml:space="preserve">the negotiating team will be </w:t>
      </w:r>
      <w:r w:rsidR="007D3C9D">
        <w:t xml:space="preserve">determined </w:t>
      </w:r>
      <w:r>
        <w:t xml:space="preserve">by the size, type and complexity of the project, its procurement model and the </w:t>
      </w:r>
      <w:r w:rsidR="003F5E48">
        <w:t xml:space="preserve">likely </w:t>
      </w:r>
      <w:r>
        <w:t>extent of negotiations.</w:t>
      </w:r>
    </w:p>
    <w:p w14:paraId="48172BA6" w14:textId="628D850E" w:rsidR="000F259D" w:rsidRDefault="000F259D" w:rsidP="00834461">
      <w:pPr>
        <w:pStyle w:val="NormalIndent"/>
      </w:pPr>
      <w:r>
        <w:t>It is highly recommended that the project director attends the negotiations</w:t>
      </w:r>
      <w:r w:rsidR="00987AD1">
        <w:t>,</w:t>
      </w:r>
      <w:r>
        <w:t xml:space="preserve"> as the </w:t>
      </w:r>
      <w:r w:rsidR="007D3C9D">
        <w:t xml:space="preserve">individual with </w:t>
      </w:r>
      <w:r>
        <w:t>authority to commit the agency to agreed outcomes.</w:t>
      </w:r>
    </w:p>
    <w:p w14:paraId="3BF260A3" w14:textId="2DE51810" w:rsidR="000F259D" w:rsidRDefault="000F259D" w:rsidP="00834461">
      <w:pPr>
        <w:pStyle w:val="NormalIndent"/>
      </w:pPr>
      <w:r>
        <w:t>Negotiations should be led by a person(s) with sufficient knowledge of the project</w:t>
      </w:r>
      <w:r w:rsidRPr="007B5C3B">
        <w:t xml:space="preserve"> </w:t>
      </w:r>
      <w:r>
        <w:t xml:space="preserve">and the required technical skill to </w:t>
      </w:r>
      <w:r w:rsidR="007D3C9D">
        <w:t xml:space="preserve">guide </w:t>
      </w:r>
      <w:r>
        <w:t>discussions</w:t>
      </w:r>
      <w:r w:rsidR="00987AD1">
        <w:t>.</w:t>
      </w:r>
      <w:r>
        <w:t xml:space="preserve"> </w:t>
      </w:r>
      <w:r w:rsidR="007D3C9D">
        <w:t>T</w:t>
      </w:r>
      <w:r>
        <w:t xml:space="preserve">his could </w:t>
      </w:r>
      <w:r w:rsidR="007D3C9D">
        <w:t>b</w:t>
      </w:r>
      <w:r>
        <w:t>e the project director or a commercial or legal advis</w:t>
      </w:r>
      <w:r w:rsidR="00ED5704">
        <w:t>e</w:t>
      </w:r>
      <w:r>
        <w:t>r.</w:t>
      </w:r>
    </w:p>
    <w:p w14:paraId="220938FE" w14:textId="5F15A884" w:rsidR="000F259D" w:rsidRDefault="000F259D" w:rsidP="00834461">
      <w:pPr>
        <w:pStyle w:val="NormalIndent"/>
      </w:pPr>
      <w:r>
        <w:t>Legal advis</w:t>
      </w:r>
      <w:r w:rsidR="00ED5704">
        <w:t>e</w:t>
      </w:r>
      <w:r>
        <w:t>rs often attend negotiations</w:t>
      </w:r>
      <w:r w:rsidR="00987AD1">
        <w:t>,</w:t>
      </w:r>
      <w:r>
        <w:t xml:space="preserve"> as </w:t>
      </w:r>
      <w:r w:rsidR="00987AD1">
        <w:t xml:space="preserve">they </w:t>
      </w:r>
      <w:r w:rsidR="007D3C9D">
        <w:t xml:space="preserve">will </w:t>
      </w:r>
      <w:r>
        <w:t>likely update the contract documentation to reflect any agreed outcomes. The negotiation lead may also be supported by commercial and other advis</w:t>
      </w:r>
      <w:r w:rsidR="00ED5704">
        <w:t>e</w:t>
      </w:r>
      <w:r>
        <w:t>rs</w:t>
      </w:r>
      <w:r w:rsidR="007D3C9D">
        <w:t>,</w:t>
      </w:r>
      <w:r>
        <w:t xml:space="preserve"> and specialist team members</w:t>
      </w:r>
      <w:r w:rsidR="007D3C9D">
        <w:t>,</w:t>
      </w:r>
      <w:r>
        <w:t xml:space="preserve"> as required.</w:t>
      </w:r>
    </w:p>
    <w:p w14:paraId="56DC3599" w14:textId="1D197CFF" w:rsidR="000F259D" w:rsidRDefault="007D3C9D" w:rsidP="00834461">
      <w:pPr>
        <w:pStyle w:val="NormalIndent"/>
      </w:pPr>
      <w:r>
        <w:t>T</w:t>
      </w:r>
      <w:r w:rsidR="000F259D">
        <w:t>he negotiating team s</w:t>
      </w:r>
      <w:r>
        <w:t>hould be</w:t>
      </w:r>
      <w:r w:rsidR="000F259D">
        <w:t xml:space="preserve"> kept as small as possible</w:t>
      </w:r>
      <w:r w:rsidR="00695C34">
        <w:t>,</w:t>
      </w:r>
      <w:r w:rsidR="000F259D">
        <w:t xml:space="preserve"> with members added on an </w:t>
      </w:r>
      <w:r w:rsidR="00344D3F">
        <w:t>‘</w:t>
      </w:r>
      <w:r w:rsidR="000F259D">
        <w:t>as-needs</w:t>
      </w:r>
      <w:r w:rsidR="00344D3F">
        <w:t>’</w:t>
      </w:r>
      <w:r w:rsidR="000F259D">
        <w:t xml:space="preserve"> basis. This </w:t>
      </w:r>
      <w:r>
        <w:t>facilitates</w:t>
      </w:r>
      <w:r w:rsidR="000F259D">
        <w:t xml:space="preserve"> consistency and coordination across the </w:t>
      </w:r>
      <w:r>
        <w:t xml:space="preserve">negotiating </w:t>
      </w:r>
      <w:r w:rsidR="000F259D">
        <w:t xml:space="preserve">team. </w:t>
      </w:r>
      <w:r>
        <w:t xml:space="preserve">In a </w:t>
      </w:r>
      <w:r w:rsidR="000F259D">
        <w:t xml:space="preserve">large team, </w:t>
      </w:r>
      <w:r>
        <w:t xml:space="preserve">some </w:t>
      </w:r>
      <w:r w:rsidR="000F259D">
        <w:t>team member</w:t>
      </w:r>
      <w:r>
        <w:t>s</w:t>
      </w:r>
      <w:r w:rsidR="000F259D">
        <w:t xml:space="preserve"> </w:t>
      </w:r>
      <w:r>
        <w:t xml:space="preserve">may be less prepared than others and </w:t>
      </w:r>
      <w:r w:rsidR="000F259D">
        <w:t>act or speak</w:t>
      </w:r>
      <w:r>
        <w:t xml:space="preserve"> in a manner</w:t>
      </w:r>
      <w:r w:rsidR="000F259D">
        <w:t xml:space="preserve"> inconsistent with the negotiation objectives</w:t>
      </w:r>
      <w:r>
        <w:t xml:space="preserve">. Or, they may </w:t>
      </w:r>
      <w:r w:rsidR="000F259D">
        <w:t xml:space="preserve">reveal too much information too early. </w:t>
      </w:r>
      <w:r>
        <w:t>Larger teams may find it</w:t>
      </w:r>
      <w:r w:rsidR="000F259D">
        <w:t xml:space="preserve"> harder to react to new information in a coordinated and synchronised way.</w:t>
      </w:r>
    </w:p>
    <w:p w14:paraId="590119CE" w14:textId="77777777" w:rsidR="000F259D" w:rsidRPr="002B066F" w:rsidRDefault="000F259D" w:rsidP="001D2615">
      <w:pPr>
        <w:pStyle w:val="Heading2numbered"/>
      </w:pPr>
      <w:bookmarkStart w:id="455" w:name="_Toc161321800"/>
      <w:r w:rsidRPr="002B066F">
        <w:t>Preparing for negotiations</w:t>
      </w:r>
      <w:bookmarkEnd w:id="455"/>
    </w:p>
    <w:p w14:paraId="1A47CAE8" w14:textId="5866A5CA" w:rsidR="000F259D" w:rsidRDefault="000F259D" w:rsidP="00834461">
      <w:pPr>
        <w:pStyle w:val="NormalIndent"/>
      </w:pPr>
      <w:r>
        <w:t>The negotiation team should prepare thoroughly for the negotiations</w:t>
      </w:r>
      <w:r w:rsidR="007D3C9D">
        <w:t>,</w:t>
      </w:r>
      <w:r>
        <w:t xml:space="preserve"> individually and as a team. All members should carefully read and understand the negotiation strategy and confirm they have </w:t>
      </w:r>
      <w:r w:rsidRPr="00203F02">
        <w:t>a clear and consistent understanding of the negotiation objectives</w:t>
      </w:r>
      <w:r>
        <w:t xml:space="preserve"> and parameters</w:t>
      </w:r>
      <w:r w:rsidRPr="00203F02">
        <w:t>.</w:t>
      </w:r>
      <w:r>
        <w:t xml:space="preserve"> Prior to commencing negotiations, the project director or negotiation lead should:</w:t>
      </w:r>
    </w:p>
    <w:p w14:paraId="4F3FDC4E" w14:textId="15A2B758" w:rsidR="000F259D" w:rsidRDefault="0076586F" w:rsidP="001D2615">
      <w:pPr>
        <w:pStyle w:val="Bulletindent"/>
      </w:pPr>
      <w:r>
        <w:t>s</w:t>
      </w:r>
      <w:r w:rsidR="4C032D55">
        <w:t xml:space="preserve">et clear expectations </w:t>
      </w:r>
      <w:r>
        <w:t xml:space="preserve">of </w:t>
      </w:r>
      <w:r w:rsidR="4C032D55">
        <w:t>how the team behave</w:t>
      </w:r>
      <w:r>
        <w:t>s</w:t>
      </w:r>
      <w:r w:rsidR="4C032D55">
        <w:t xml:space="preserve"> during negotiations</w:t>
      </w:r>
      <w:r w:rsidR="007D3C9D">
        <w:t>, including</w:t>
      </w:r>
      <w:r w:rsidR="4C032D55">
        <w:t xml:space="preserve"> when and how members can contribute to discussions</w:t>
      </w:r>
      <w:r w:rsidR="007D3C9D">
        <w:t>.</w:t>
      </w:r>
      <w:r>
        <w:t xml:space="preserve"> </w:t>
      </w:r>
      <w:r w:rsidR="007D3C9D">
        <w:t>T</w:t>
      </w:r>
      <w:r>
        <w:t>his</w:t>
      </w:r>
      <w:r w:rsidR="4C032D55">
        <w:t xml:space="preserve"> may include coordinating how members respond to different situations or proposals as they arise</w:t>
      </w:r>
    </w:p>
    <w:p w14:paraId="5FF374C0" w14:textId="0B47A7EB" w:rsidR="000F259D" w:rsidRDefault="0076586F" w:rsidP="001D2615">
      <w:pPr>
        <w:pStyle w:val="Bulletindent"/>
      </w:pPr>
      <w:r>
        <w:t>c</w:t>
      </w:r>
      <w:r w:rsidR="4C032D55">
        <w:t>larify roles assigned to team members (if any)</w:t>
      </w:r>
    </w:p>
    <w:p w14:paraId="19D2D07B" w14:textId="52072621" w:rsidR="000F259D" w:rsidRPr="00203F02" w:rsidRDefault="0076586F" w:rsidP="001D2615">
      <w:pPr>
        <w:pStyle w:val="Bulletindent"/>
      </w:pPr>
      <w:r>
        <w:t>s</w:t>
      </w:r>
      <w:r w:rsidR="4C032D55">
        <w:t>et rules and protocols for how team members communicate and interact with each other during the negotiations</w:t>
      </w:r>
      <w:r w:rsidR="007D3C9D">
        <w:t>.</w:t>
      </w:r>
      <w:r w:rsidR="4C032D55">
        <w:t xml:space="preserve"> </w:t>
      </w:r>
      <w:r w:rsidR="007D3C9D">
        <w:t>T</w:t>
      </w:r>
      <w:r w:rsidR="007A400C">
        <w:t xml:space="preserve">his may include </w:t>
      </w:r>
      <w:r w:rsidR="007D3C9D">
        <w:t xml:space="preserve">preparing </w:t>
      </w:r>
      <w:r w:rsidR="4C032D55">
        <w:t>non-verbal cues to communicate responses or decisions during discussion</w:t>
      </w:r>
      <w:r w:rsidR="007D3C9D">
        <w:t>s</w:t>
      </w:r>
    </w:p>
    <w:p w14:paraId="4794B348" w14:textId="298DB72E" w:rsidR="000F259D" w:rsidRPr="00203F02" w:rsidRDefault="007A400C" w:rsidP="001D2615">
      <w:pPr>
        <w:pStyle w:val="Bulletindent"/>
      </w:pPr>
      <w:r>
        <w:t>i</w:t>
      </w:r>
      <w:r w:rsidR="4C032D55">
        <w:t>dentify any sensitive information that should not be disclosed during the negotiations</w:t>
      </w:r>
    </w:p>
    <w:p w14:paraId="2EAEBEA1" w14:textId="215E3E6D" w:rsidR="000F259D" w:rsidRPr="00203F02" w:rsidRDefault="007A400C" w:rsidP="001D2615">
      <w:pPr>
        <w:pStyle w:val="Bulletindent"/>
      </w:pPr>
      <w:r>
        <w:t>i</w:t>
      </w:r>
      <w:r w:rsidR="4C032D55">
        <w:t xml:space="preserve">dentify timing and parameters for </w:t>
      </w:r>
      <w:r w:rsidR="007D3C9D">
        <w:t>disclosing</w:t>
      </w:r>
      <w:r w:rsidR="4C032D55">
        <w:t xml:space="preserve"> information.</w:t>
      </w:r>
    </w:p>
    <w:p w14:paraId="00D3E86E" w14:textId="71A14D4F" w:rsidR="000F259D" w:rsidRPr="00F249CC" w:rsidRDefault="000F259D" w:rsidP="001D2615">
      <w:pPr>
        <w:pStyle w:val="Heading2numbered"/>
      </w:pPr>
      <w:bookmarkStart w:id="456" w:name="_Toc161321801"/>
      <w:r w:rsidRPr="00F249CC">
        <w:t xml:space="preserve">Agreeing the </w:t>
      </w:r>
      <w:r w:rsidR="007D3C9D">
        <w:t>negotiating framework</w:t>
      </w:r>
      <w:r w:rsidRPr="00F249CC">
        <w:t xml:space="preserve"> and protocols</w:t>
      </w:r>
      <w:bookmarkEnd w:id="456"/>
    </w:p>
    <w:p w14:paraId="5C887171" w14:textId="17D6B463" w:rsidR="000F259D" w:rsidRPr="00BC7F79" w:rsidRDefault="000F259D" w:rsidP="00834461">
      <w:pPr>
        <w:pStyle w:val="NormalIndent"/>
      </w:pPr>
      <w:r w:rsidRPr="00BC7F79">
        <w:t xml:space="preserve">Prior to commencing negotiations, the negotiating team and the preferred </w:t>
      </w:r>
      <w:r w:rsidR="00845DDE">
        <w:t>ten</w:t>
      </w:r>
      <w:r w:rsidR="00102C02">
        <w:t>derer</w:t>
      </w:r>
      <w:r w:rsidR="00845DDE" w:rsidRPr="00BC7F79">
        <w:t xml:space="preserve"> </w:t>
      </w:r>
      <w:r w:rsidRPr="00BC7F79">
        <w:t>need to set a negotiating framework</w:t>
      </w:r>
      <w:r>
        <w:t xml:space="preserve"> and protocols</w:t>
      </w:r>
      <w:r w:rsidRPr="00BC7F79">
        <w:t xml:space="preserve"> to guide discussions. The negotiati</w:t>
      </w:r>
      <w:r w:rsidR="007D3C9D">
        <w:t>ng</w:t>
      </w:r>
      <w:r w:rsidRPr="00BC7F79">
        <w:t xml:space="preserve"> framework should include</w:t>
      </w:r>
      <w:r w:rsidR="007A400C">
        <w:t xml:space="preserve"> the following</w:t>
      </w:r>
      <w:r w:rsidR="007D3C9D">
        <w:t>:</w:t>
      </w:r>
    </w:p>
    <w:p w14:paraId="7974DFB4" w14:textId="7F2AA1D0" w:rsidR="000F259D" w:rsidRPr="00370C1F" w:rsidRDefault="007D3C9D" w:rsidP="001D2615">
      <w:pPr>
        <w:pStyle w:val="Bulletindent"/>
      </w:pPr>
      <w:r>
        <w:t xml:space="preserve">the </w:t>
      </w:r>
      <w:r>
        <w:rPr>
          <w:b/>
          <w:bCs/>
        </w:rPr>
        <w:t>p</w:t>
      </w:r>
      <w:r w:rsidR="4C032D55" w:rsidRPr="00370C1F">
        <w:rPr>
          <w:b/>
          <w:bCs/>
        </w:rPr>
        <w:t xml:space="preserve">urpose and status </w:t>
      </w:r>
      <w:r w:rsidR="4C032D55" w:rsidRPr="00C75A21">
        <w:t>of the negotiations</w:t>
      </w:r>
    </w:p>
    <w:p w14:paraId="13B6F806" w14:textId="22D2E952" w:rsidR="000F259D" w:rsidRPr="009F7427" w:rsidRDefault="007D3C9D" w:rsidP="001D2615">
      <w:pPr>
        <w:pStyle w:val="Bulletindent"/>
      </w:pPr>
      <w:r w:rsidRPr="007D3C9D">
        <w:t>a</w:t>
      </w:r>
      <w:r w:rsidRPr="00C75A21">
        <w:t xml:space="preserve"> </w:t>
      </w:r>
      <w:r w:rsidR="4C032D55" w:rsidRPr="00C75A21">
        <w:t>summary of the</w:t>
      </w:r>
      <w:r w:rsidR="4C032D55" w:rsidRPr="00370C1F">
        <w:rPr>
          <w:b/>
          <w:bCs/>
        </w:rPr>
        <w:t xml:space="preserve"> key negotiating issues </w:t>
      </w:r>
      <w:r>
        <w:rPr>
          <w:b/>
          <w:bCs/>
        </w:rPr>
        <w:t>and</w:t>
      </w:r>
      <w:r w:rsidR="4C032D55" w:rsidRPr="00370C1F">
        <w:rPr>
          <w:b/>
          <w:bCs/>
        </w:rPr>
        <w:t xml:space="preserve"> points of divergence</w:t>
      </w:r>
      <w:r w:rsidR="00EB3272">
        <w:rPr>
          <w:b/>
          <w:bCs/>
        </w:rPr>
        <w:t>,</w:t>
      </w:r>
      <w:r w:rsidR="4C032D55" w:rsidRPr="76AB2BEA">
        <w:rPr>
          <w:b/>
          <w:bCs/>
        </w:rPr>
        <w:t xml:space="preserve"> </w:t>
      </w:r>
      <w:r w:rsidR="00EB3272">
        <w:t>to focus the</w:t>
      </w:r>
      <w:r w:rsidR="4C032D55">
        <w:t xml:space="preserve"> </w:t>
      </w:r>
      <w:r w:rsidR="00EB3272">
        <w:t>discussion</w:t>
      </w:r>
      <w:r w:rsidR="00EB3272" w:rsidRPr="00C75A21">
        <w:t xml:space="preserve"> on </w:t>
      </w:r>
      <w:r w:rsidR="4C032D55">
        <w:t xml:space="preserve">agreed issues, prevent new issues </w:t>
      </w:r>
      <w:r w:rsidR="00EB3272">
        <w:t xml:space="preserve">from </w:t>
      </w:r>
      <w:r w:rsidR="4C032D55">
        <w:t>being introduced and avoid re</w:t>
      </w:r>
      <w:r w:rsidR="00674FCA">
        <w:t>opening</w:t>
      </w:r>
      <w:r w:rsidR="4C032D55">
        <w:t xml:space="preserve"> </w:t>
      </w:r>
      <w:r w:rsidR="00EB3272">
        <w:t xml:space="preserve">settled </w:t>
      </w:r>
      <w:r w:rsidR="4C032D55">
        <w:t xml:space="preserve">issues. The preferred </w:t>
      </w:r>
      <w:r w:rsidR="00102C02">
        <w:t xml:space="preserve">tenderer </w:t>
      </w:r>
      <w:r w:rsidR="00EB3272">
        <w:t xml:space="preserve">should only </w:t>
      </w:r>
      <w:r w:rsidR="4C032D55">
        <w:t xml:space="preserve">seek to negotiate departures from the contract </w:t>
      </w:r>
      <w:r w:rsidR="00EB3272">
        <w:t>that w</w:t>
      </w:r>
      <w:r w:rsidR="00653811">
        <w:t>ere</w:t>
      </w:r>
      <w:r w:rsidR="00EB3272">
        <w:t xml:space="preserve"> </w:t>
      </w:r>
      <w:r w:rsidR="4C032D55">
        <w:t>provided with the invitation to tender, as reflected in their submitted proposal</w:t>
      </w:r>
    </w:p>
    <w:p w14:paraId="6D55CCED" w14:textId="1E38D743" w:rsidR="000F259D" w:rsidRPr="009F7427" w:rsidRDefault="007D3C9D" w:rsidP="001D2615">
      <w:pPr>
        <w:pStyle w:val="Bulletindent"/>
      </w:pPr>
      <w:r w:rsidRPr="00A62AD0">
        <w:t>an</w:t>
      </w:r>
      <w:r w:rsidRPr="00370C1F">
        <w:rPr>
          <w:b/>
          <w:bCs/>
        </w:rPr>
        <w:t xml:space="preserve"> </w:t>
      </w:r>
      <w:r w:rsidR="4C032D55" w:rsidRPr="00370C1F">
        <w:rPr>
          <w:b/>
          <w:bCs/>
        </w:rPr>
        <w:t>agreed timetable for the negotiation</w:t>
      </w:r>
      <w:r w:rsidR="00EB3272">
        <w:rPr>
          <w:b/>
          <w:bCs/>
        </w:rPr>
        <w:t xml:space="preserve">, </w:t>
      </w:r>
      <w:r w:rsidR="4C032D55">
        <w:t>to prevent delaying tactics and ensure the overall timetable for project implementation is upheld</w:t>
      </w:r>
    </w:p>
    <w:p w14:paraId="0FA39CA2" w14:textId="274389D1" w:rsidR="000F259D" w:rsidRPr="009F7427" w:rsidRDefault="007D3C9D" w:rsidP="001D2615">
      <w:pPr>
        <w:pStyle w:val="Bulletindent"/>
        <w:keepNext/>
      </w:pPr>
      <w:r>
        <w:rPr>
          <w:b/>
          <w:bCs/>
        </w:rPr>
        <w:t>r</w:t>
      </w:r>
      <w:r w:rsidR="4C032D55" w:rsidRPr="00370C1F">
        <w:rPr>
          <w:b/>
          <w:bCs/>
        </w:rPr>
        <w:t>ules of engagement and conduct</w:t>
      </w:r>
    </w:p>
    <w:p w14:paraId="12BCA222" w14:textId="77777777" w:rsidR="000F259D" w:rsidRPr="009F7427" w:rsidRDefault="000F259D" w:rsidP="001D2615">
      <w:pPr>
        <w:pStyle w:val="Bulletindent2"/>
      </w:pPr>
      <w:r w:rsidRPr="009F7427">
        <w:t>points of contact and communication protocols</w:t>
      </w:r>
    </w:p>
    <w:p w14:paraId="69A4BD6D" w14:textId="3570D45A" w:rsidR="000F259D" w:rsidRPr="009F7427" w:rsidRDefault="000F259D" w:rsidP="001D2615">
      <w:pPr>
        <w:pStyle w:val="Bulletindent2"/>
      </w:pPr>
      <w:r w:rsidRPr="009F7427">
        <w:t xml:space="preserve">meeting protocols such as </w:t>
      </w:r>
      <w:r w:rsidR="00EB3272">
        <w:t xml:space="preserve">the </w:t>
      </w:r>
      <w:r w:rsidRPr="009F7427">
        <w:t xml:space="preserve">timing, </w:t>
      </w:r>
      <w:r w:rsidR="00EB3272">
        <w:t>location</w:t>
      </w:r>
      <w:r w:rsidR="00EB3272" w:rsidRPr="009F7427">
        <w:t xml:space="preserve"> </w:t>
      </w:r>
      <w:r w:rsidRPr="009F7427">
        <w:t xml:space="preserve">and duration of meetings, </w:t>
      </w:r>
      <w:r w:rsidR="00EB3272">
        <w:t xml:space="preserve">the </w:t>
      </w:r>
      <w:r w:rsidRPr="009F7427">
        <w:t xml:space="preserve">agenda, chairperson, membership and attendance, </w:t>
      </w:r>
      <w:r w:rsidR="00EB3272">
        <w:t>record</w:t>
      </w:r>
      <w:r w:rsidR="007334C6">
        <w:rPr>
          <w:rFonts w:hint="eastAsia"/>
        </w:rPr>
        <w:t xml:space="preserve"> keeping</w:t>
      </w:r>
      <w:r w:rsidR="00EB3272" w:rsidRPr="009F7427">
        <w:t xml:space="preserve"> </w:t>
      </w:r>
      <w:r w:rsidRPr="009F7427">
        <w:t>and secretariat, expected behaviour, use of devices, time-outs and other formalities</w:t>
      </w:r>
    </w:p>
    <w:p w14:paraId="7003FEF2" w14:textId="5FEF585D" w:rsidR="000F259D" w:rsidRPr="009F7427" w:rsidRDefault="00EB3272" w:rsidP="001D2615">
      <w:pPr>
        <w:pStyle w:val="Bulletindent"/>
      </w:pPr>
      <w:r w:rsidRPr="002F577A">
        <w:rPr>
          <w:b/>
          <w:bCs/>
        </w:rPr>
        <w:t>a</w:t>
      </w:r>
      <w:r w:rsidR="4C032D55" w:rsidRPr="002F577A">
        <w:rPr>
          <w:b/>
          <w:bCs/>
        </w:rPr>
        <w:t>n</w:t>
      </w:r>
      <w:r w:rsidR="4C032D55" w:rsidRPr="00FA34E7">
        <w:rPr>
          <w:b/>
          <w:bCs/>
        </w:rPr>
        <w:t xml:space="preserve"> a</w:t>
      </w:r>
      <w:r w:rsidR="4C032D55" w:rsidRPr="00370C1F">
        <w:rPr>
          <w:b/>
          <w:bCs/>
        </w:rPr>
        <w:t>greed dispute resolution process</w:t>
      </w:r>
      <w:r>
        <w:rPr>
          <w:b/>
          <w:bCs/>
        </w:rPr>
        <w:t>,</w:t>
      </w:r>
      <w:r w:rsidR="4C032D55">
        <w:t xml:space="preserve"> includ</w:t>
      </w:r>
      <w:r>
        <w:t>ing</w:t>
      </w:r>
      <w:r w:rsidR="4C032D55">
        <w:t xml:space="preserve"> agreed processes for escalating issues, overcoming impasses and terminating negotiations </w:t>
      </w:r>
      <w:r w:rsidR="0066610E">
        <w:t>whe</w:t>
      </w:r>
      <w:r>
        <w:t>n</w:t>
      </w:r>
      <w:r w:rsidR="4C032D55">
        <w:t xml:space="preserve"> agreement cannot be reached</w:t>
      </w:r>
    </w:p>
    <w:p w14:paraId="64588FE2" w14:textId="7AE8C31A" w:rsidR="000F259D" w:rsidRPr="009F7427" w:rsidRDefault="00EB3272" w:rsidP="001D2615">
      <w:pPr>
        <w:pStyle w:val="Bulletindent"/>
      </w:pPr>
      <w:r>
        <w:rPr>
          <w:b/>
          <w:bCs/>
        </w:rPr>
        <w:t>a</w:t>
      </w:r>
      <w:r w:rsidR="4C032D55" w:rsidRPr="00370C1F">
        <w:rPr>
          <w:b/>
          <w:bCs/>
        </w:rPr>
        <w:t>uthority to commit</w:t>
      </w:r>
      <w:r>
        <w:t>, with</w:t>
      </w:r>
      <w:r w:rsidR="4C032D55">
        <w:t xml:space="preserve"> </w:t>
      </w:r>
      <w:r>
        <w:t xml:space="preserve">both negotiating </w:t>
      </w:r>
      <w:r w:rsidR="4C032D55">
        <w:t>teams appoint</w:t>
      </w:r>
      <w:r>
        <w:t>ing</w:t>
      </w:r>
      <w:r w:rsidR="4C032D55">
        <w:t xml:space="preserve"> members </w:t>
      </w:r>
      <w:r w:rsidR="009F6393">
        <w:t xml:space="preserve">who have </w:t>
      </w:r>
      <w:r w:rsidR="4C032D55">
        <w:t xml:space="preserve">authority to make decisions on behalf of their organisations. The </w:t>
      </w:r>
      <w:r w:rsidR="007D3C9D">
        <w:t>negotiating framework</w:t>
      </w:r>
      <w:r w:rsidR="4C032D55">
        <w:t xml:space="preserve"> should identify any issues that will require </w:t>
      </w:r>
      <w:r w:rsidR="00EB1AD0">
        <w:t>g</w:t>
      </w:r>
      <w:r w:rsidR="4C032D55">
        <w:t>overnment approval.</w:t>
      </w:r>
    </w:p>
    <w:p w14:paraId="3494C89D" w14:textId="77777777" w:rsidR="003324A3" w:rsidRPr="00387024" w:rsidRDefault="003324A3" w:rsidP="001D2615">
      <w:pPr>
        <w:pStyle w:val="Heading2numbered"/>
      </w:pPr>
      <w:bookmarkStart w:id="457" w:name="_Toc161321802"/>
      <w:r w:rsidRPr="00387024">
        <w:t>Recommended negotiation practices</w:t>
      </w:r>
      <w:bookmarkEnd w:id="457"/>
    </w:p>
    <w:p w14:paraId="4AE0FE02" w14:textId="104DC0D7" w:rsidR="000F259D" w:rsidRPr="002E4375" w:rsidRDefault="000F259D" w:rsidP="00834461">
      <w:pPr>
        <w:pStyle w:val="NormalIndent"/>
      </w:pPr>
      <w:r w:rsidRPr="002E4375">
        <w:t xml:space="preserve">There </w:t>
      </w:r>
      <w:r w:rsidR="00EB1AD0">
        <w:t>is</w:t>
      </w:r>
      <w:r w:rsidRPr="002E4375">
        <w:t xml:space="preserve"> a range of effective negotiation processes agencies may use and tailor to their requirements. </w:t>
      </w:r>
      <w:r>
        <w:t xml:space="preserve">Projects procured using </w:t>
      </w:r>
      <w:r w:rsidR="004E10DD">
        <w:rPr>
          <w:rFonts w:hint="eastAsia"/>
        </w:rPr>
        <w:t>W</w:t>
      </w:r>
      <w:r w:rsidR="004B3084">
        <w:t>hole of Life</w:t>
      </w:r>
      <w:r>
        <w:t xml:space="preserve"> procurement models</w:t>
      </w:r>
      <w:r w:rsidRPr="002E4375">
        <w:t xml:space="preserve"> may be subject to specific guidance on contract negotiation and tender selection. </w:t>
      </w:r>
      <w:r w:rsidRPr="59A41464">
        <w:t>Agencies should consider the following tips when conducting negotiations</w:t>
      </w:r>
      <w:r w:rsidR="00EB1AD0">
        <w:t>.</w:t>
      </w:r>
    </w:p>
    <w:p w14:paraId="347D7DCD" w14:textId="2DB10BAE" w:rsidR="000F259D" w:rsidRPr="007D27FA" w:rsidRDefault="4C032D55" w:rsidP="001D2615">
      <w:pPr>
        <w:pStyle w:val="Bulletindent"/>
      </w:pPr>
      <w:r>
        <w:t>Ensure all significant commercial issues are settled and contract negotiations are finalised before the preferred tenderer is publicly advertised and competitive tension is released. This ensure</w:t>
      </w:r>
      <w:r w:rsidR="00EB1AD0">
        <w:t>s</w:t>
      </w:r>
      <w:r>
        <w:t xml:space="preserve"> that the risks and commercial positions presented by a tender can be fully evaluated.</w:t>
      </w:r>
    </w:p>
    <w:p w14:paraId="4D4FEA9A" w14:textId="70917E9A" w:rsidR="000F259D" w:rsidRDefault="4C032D55" w:rsidP="001D2615">
      <w:pPr>
        <w:pStyle w:val="Bulletindent"/>
      </w:pPr>
      <w:r>
        <w:t xml:space="preserve">Seek a mutually acceptable procurement outcome, </w:t>
      </w:r>
      <w:r w:rsidR="007451DD">
        <w:t>recognis</w:t>
      </w:r>
      <w:r w:rsidR="009F6393">
        <w:t>ing</w:t>
      </w:r>
      <w:r w:rsidR="007451DD">
        <w:t xml:space="preserve"> </w:t>
      </w:r>
      <w:r>
        <w:t>that this help</w:t>
      </w:r>
      <w:r w:rsidR="00EB1AD0">
        <w:t>s</w:t>
      </w:r>
      <w:r>
        <w:t xml:space="preserve"> build trust</w:t>
      </w:r>
      <w:r w:rsidR="009F6393">
        <w:t>,</w:t>
      </w:r>
      <w:r>
        <w:t xml:space="preserve"> and establish a positive and collaborative relationship with the preferred respondent.</w:t>
      </w:r>
    </w:p>
    <w:p w14:paraId="0DE7FA94" w14:textId="716992AF" w:rsidR="000F259D" w:rsidRPr="007D27FA" w:rsidRDefault="4C032D55" w:rsidP="001D2615">
      <w:pPr>
        <w:pStyle w:val="Bulletindent"/>
      </w:pPr>
      <w:r>
        <w:t xml:space="preserve">Summarise and record all agreed matters at the end of each meeting. This reduces the risk of issues being revisited and provides clear instructions for </w:t>
      </w:r>
      <w:r w:rsidR="009F6393">
        <w:t xml:space="preserve">drafting </w:t>
      </w:r>
      <w:r>
        <w:t>contract</w:t>
      </w:r>
      <w:r w:rsidR="009F6393">
        <w:t>s</w:t>
      </w:r>
      <w:r>
        <w:t>.</w:t>
      </w:r>
    </w:p>
    <w:p w14:paraId="1784B112" w14:textId="366B5102" w:rsidR="000F259D" w:rsidRDefault="009F6393" w:rsidP="001D2615">
      <w:pPr>
        <w:pStyle w:val="Bulletindent"/>
      </w:pPr>
      <w:r>
        <w:t xml:space="preserve">If </w:t>
      </w:r>
      <w:r w:rsidR="4C032D55">
        <w:t xml:space="preserve">the project director does not have the authority to approve any aspect of the negotiations, ensure that senior </w:t>
      </w:r>
      <w:r>
        <w:t xml:space="preserve">leaders </w:t>
      </w:r>
      <w:r w:rsidR="4C032D55">
        <w:t>with the appropriate authority are accessible throughout the negotiations.</w:t>
      </w:r>
    </w:p>
    <w:p w14:paraId="38A20FBA" w14:textId="07C650A9" w:rsidR="000F259D" w:rsidRPr="0070079F" w:rsidRDefault="000F259D" w:rsidP="007B17B3">
      <w:pPr>
        <w:pStyle w:val="NormalIndent"/>
      </w:pPr>
      <w:r w:rsidRPr="0070079F">
        <w:t xml:space="preserve">The outcome of the contract negotiation phase </w:t>
      </w:r>
      <w:r w:rsidR="007451DD">
        <w:t>is</w:t>
      </w:r>
      <w:r w:rsidR="00567EA8">
        <w:t xml:space="preserve"> either</w:t>
      </w:r>
      <w:r w:rsidRPr="0070079F">
        <w:t>:</w:t>
      </w:r>
    </w:p>
    <w:p w14:paraId="3C4215EE" w14:textId="4F934719" w:rsidR="000F259D" w:rsidRPr="003A3D68" w:rsidRDefault="4C032D55" w:rsidP="001D2615">
      <w:pPr>
        <w:pStyle w:val="Bulletindent"/>
      </w:pPr>
      <w:r>
        <w:t>a preferred tenderer is identified</w:t>
      </w:r>
      <w:r w:rsidR="007451DD">
        <w:t>,</w:t>
      </w:r>
      <w:r>
        <w:t xml:space="preserve"> and a final agreed contract price and terms </w:t>
      </w:r>
      <w:r w:rsidR="007451DD">
        <w:t xml:space="preserve">are </w:t>
      </w:r>
      <w:r>
        <w:t>negotiated</w:t>
      </w:r>
    </w:p>
    <w:p w14:paraId="4E50309D" w14:textId="06D662C4" w:rsidR="000F259D" w:rsidRPr="0033748E" w:rsidRDefault="4C032D55" w:rsidP="001D2615">
      <w:pPr>
        <w:pStyle w:val="Bulletindent"/>
      </w:pPr>
      <w:r>
        <w:t xml:space="preserve">no successful tenderer </w:t>
      </w:r>
      <w:r w:rsidR="60FA2A89">
        <w:t xml:space="preserve">is </w:t>
      </w:r>
      <w:r>
        <w:t xml:space="preserve">identified, </w:t>
      </w:r>
      <w:r w:rsidR="00461BA5">
        <w:t xml:space="preserve">and </w:t>
      </w:r>
      <w:r>
        <w:t xml:space="preserve">a recommendation </w:t>
      </w:r>
      <w:r w:rsidR="00461BA5">
        <w:t>is made</w:t>
      </w:r>
      <w:r>
        <w:t xml:space="preserve"> </w:t>
      </w:r>
      <w:r w:rsidR="00934AAB">
        <w:t>to recall the tender</w:t>
      </w:r>
      <w:r w:rsidR="3BB0A8F3">
        <w:t xml:space="preserve"> and no contract awarde</w:t>
      </w:r>
      <w:r w:rsidR="3BB0A8F3" w:rsidRPr="00A2529C">
        <w:t>d</w:t>
      </w:r>
      <w:r w:rsidRPr="0033748E">
        <w:t>.</w:t>
      </w:r>
    </w:p>
    <w:p w14:paraId="7565D91D" w14:textId="43FFE6A3" w:rsidR="000F259D" w:rsidRPr="002B066F" w:rsidRDefault="000F259D" w:rsidP="001D2615">
      <w:pPr>
        <w:pStyle w:val="Heading2numbered"/>
      </w:pPr>
      <w:bookmarkStart w:id="458" w:name="_Toc161321803"/>
      <w:r w:rsidRPr="002B066F">
        <w:t>Re</w:t>
      </w:r>
      <w:r w:rsidR="00A564A3">
        <w:t>-</w:t>
      </w:r>
      <w:r w:rsidRPr="002B066F">
        <w:t>calling tenders</w:t>
      </w:r>
      <w:bookmarkEnd w:id="458"/>
    </w:p>
    <w:p w14:paraId="5F4724D2" w14:textId="3B9BF39C" w:rsidR="000F259D" w:rsidRPr="0070079F" w:rsidRDefault="000F259D" w:rsidP="00834461">
      <w:pPr>
        <w:pStyle w:val="NormalIndent"/>
      </w:pPr>
      <w:r w:rsidRPr="0070079F">
        <w:t xml:space="preserve">If the agency is not able to reach a satisfactory agreement with the preferred tenderer, it may commence negotiations with another </w:t>
      </w:r>
      <w:r w:rsidR="00746C2C">
        <w:t>tenderer</w:t>
      </w:r>
      <w:r w:rsidRPr="0070079F">
        <w:t xml:space="preserve">. If no acceptable tender can be identified from the tender process, a tender can be re-called. Any decision to repeat the tendering process should only be made in compelling and unavoidable circumstances. In particular, </w:t>
      </w:r>
      <w:r>
        <w:t>agencies</w:t>
      </w:r>
      <w:r w:rsidRPr="0070079F">
        <w:t xml:space="preserve"> should avoid re-calling tenders to obtain a better price and should negotiate with the initially preferred tenderer. If a decision is made to re-call a tender, the original tenderers should be advised of the reasons for doing so.</w:t>
      </w:r>
    </w:p>
    <w:p w14:paraId="475C6CB9" w14:textId="77777777" w:rsidR="003324A3" w:rsidRPr="00387024" w:rsidRDefault="003324A3" w:rsidP="001D2615">
      <w:pPr>
        <w:pStyle w:val="Heading2numbered"/>
      </w:pPr>
      <w:bookmarkStart w:id="459" w:name="_Toc161321804"/>
      <w:r w:rsidRPr="00387024">
        <w:t>Negotiation phase checklist</w:t>
      </w:r>
      <w:bookmarkEnd w:id="459"/>
    </w:p>
    <w:p w14:paraId="3FC3C648" w14:textId="2A6142EB" w:rsidR="003324A3" w:rsidRPr="002E4375" w:rsidRDefault="003324A3" w:rsidP="00834461">
      <w:pPr>
        <w:pStyle w:val="NormalIndent"/>
      </w:pPr>
      <w:r w:rsidRPr="002E4375">
        <w:t xml:space="preserve">Before completing the contract negotiation phase and proceeding to the approvals and contract award phase, the following tasks </w:t>
      </w:r>
      <w:r w:rsidR="00A564A3">
        <w:t>should be completed as required.</w:t>
      </w:r>
    </w:p>
    <w:p w14:paraId="776CD30E" w14:textId="66998316" w:rsidR="000F259D" w:rsidRDefault="00E958D5" w:rsidP="007B17B3">
      <w:pPr>
        <w:pStyle w:val="Captionindent"/>
      </w:pPr>
      <w:bookmarkStart w:id="460" w:name="_Toc145621364"/>
      <w:bookmarkStart w:id="461" w:name="_Toc146097258"/>
      <w:r>
        <w:t xml:space="preserve">Table </w:t>
      </w:r>
      <w:r w:rsidR="000F259D">
        <w:fldChar w:fldCharType="begin"/>
      </w:r>
      <w:r w:rsidR="000F259D">
        <w:instrText>SEQ Table \* ARABIC</w:instrText>
      </w:r>
      <w:r w:rsidR="000F259D">
        <w:fldChar w:fldCharType="separate"/>
      </w:r>
      <w:r w:rsidR="008A4B3E">
        <w:rPr>
          <w:noProof/>
        </w:rPr>
        <w:t>16</w:t>
      </w:r>
      <w:r w:rsidR="000F259D">
        <w:fldChar w:fldCharType="end"/>
      </w:r>
      <w:r>
        <w:t xml:space="preserve"> –</w:t>
      </w:r>
      <w:r w:rsidR="000F259D">
        <w:t xml:space="preserve"> </w:t>
      </w:r>
      <w:r w:rsidR="000F259D" w:rsidRPr="002605D8">
        <w:t>Negotiation phase checklist</w:t>
      </w:r>
      <w:bookmarkEnd w:id="460"/>
      <w:bookmarkEnd w:id="461"/>
    </w:p>
    <w:tbl>
      <w:tblPr>
        <w:tblStyle w:val="DTFtexttableindent"/>
        <w:tblW w:w="8208" w:type="dxa"/>
        <w:tblLook w:val="0620" w:firstRow="1" w:lastRow="0" w:firstColumn="0" w:lastColumn="0" w:noHBand="1" w:noVBand="1"/>
      </w:tblPr>
      <w:tblGrid>
        <w:gridCol w:w="8208"/>
      </w:tblGrid>
      <w:tr w:rsidR="000F259D" w:rsidRPr="002E4375" w14:paraId="46339417" w14:textId="77777777" w:rsidTr="007B17B3">
        <w:trPr>
          <w:cnfStyle w:val="100000000000" w:firstRow="1" w:lastRow="0" w:firstColumn="0" w:lastColumn="0" w:oddVBand="0" w:evenVBand="0" w:oddHBand="0" w:evenHBand="0" w:firstRowFirstColumn="0" w:firstRowLastColumn="0" w:lastRowFirstColumn="0" w:lastRowLastColumn="0"/>
        </w:trPr>
        <w:tc>
          <w:tcPr>
            <w:tcW w:w="8208" w:type="dxa"/>
          </w:tcPr>
          <w:p w14:paraId="549A8029" w14:textId="77777777" w:rsidR="000F259D" w:rsidRPr="007B17B3" w:rsidRDefault="000F259D" w:rsidP="00F7602B">
            <w:pPr>
              <w:pStyle w:val="Tableheader"/>
            </w:pPr>
            <w:r w:rsidRPr="007B17B3">
              <w:t>Negotiation phase key tasks</w:t>
            </w:r>
          </w:p>
        </w:tc>
      </w:tr>
      <w:tr w:rsidR="000F259D" w:rsidRPr="002E4375" w14:paraId="777BBD52" w14:textId="77777777" w:rsidTr="007B17B3">
        <w:tc>
          <w:tcPr>
            <w:tcW w:w="8208" w:type="dxa"/>
          </w:tcPr>
          <w:p w14:paraId="43C4FF1C" w14:textId="6032D6C2" w:rsidR="000F259D" w:rsidRPr="002E4375" w:rsidRDefault="000F259D" w:rsidP="007B17B3">
            <w:pPr>
              <w:pStyle w:val="Tabletext"/>
              <w:ind w:left="360" w:hanging="360"/>
            </w:pPr>
            <w:r w:rsidRPr="00A85435">
              <w:rPr>
                <w:rFonts w:ascii="Wingdings" w:eastAsia="Wingdings" w:hAnsi="Wingdings" w:cs="Wingdings"/>
              </w:rPr>
              <w:t>ü</w:t>
            </w:r>
            <w:r w:rsidRPr="002E4375">
              <w:tab/>
            </w:r>
            <w:r>
              <w:t>Develop a negotiating strategy outlining the agency</w:t>
            </w:r>
            <w:r w:rsidR="00344D3F">
              <w:t>’</w:t>
            </w:r>
            <w:r>
              <w:t>s negotiating priorities, interests and objectives</w:t>
            </w:r>
          </w:p>
        </w:tc>
      </w:tr>
      <w:tr w:rsidR="000F259D" w:rsidRPr="002E4375" w14:paraId="5EEC2E6B" w14:textId="77777777" w:rsidTr="007B17B3">
        <w:tc>
          <w:tcPr>
            <w:tcW w:w="8208" w:type="dxa"/>
          </w:tcPr>
          <w:p w14:paraId="611ADF0F" w14:textId="77777777" w:rsidR="000F259D" w:rsidRPr="002E4375" w:rsidRDefault="000F259D" w:rsidP="007B17B3">
            <w:pPr>
              <w:pStyle w:val="Tabletext"/>
              <w:ind w:left="360" w:hanging="360"/>
              <w:rPr>
                <w:rFonts w:eastAsia="Wingdings" w:cs="Wingdings"/>
              </w:rPr>
            </w:pPr>
            <w:r w:rsidRPr="00A85435">
              <w:rPr>
                <w:rFonts w:ascii="Wingdings" w:eastAsia="Wingdings" w:hAnsi="Wingdings" w:cs="Wingdings"/>
              </w:rPr>
              <w:t>ü</w:t>
            </w:r>
            <w:r w:rsidRPr="002E4375">
              <w:tab/>
              <w:t>Establish a</w:t>
            </w:r>
            <w:r>
              <w:t>n appropriately resourced and skilled</w:t>
            </w:r>
            <w:r w:rsidRPr="002E4375">
              <w:t xml:space="preserve"> negotiating team</w:t>
            </w:r>
          </w:p>
        </w:tc>
      </w:tr>
      <w:tr w:rsidR="000F259D" w:rsidRPr="002E4375" w14:paraId="79DF7E83" w14:textId="77777777" w:rsidTr="007B17B3">
        <w:tc>
          <w:tcPr>
            <w:tcW w:w="8208" w:type="dxa"/>
          </w:tcPr>
          <w:p w14:paraId="25BDB542" w14:textId="77777777" w:rsidR="000F259D" w:rsidRPr="002E4375" w:rsidRDefault="000F259D" w:rsidP="007B17B3">
            <w:pPr>
              <w:pStyle w:val="Tabletext"/>
              <w:ind w:left="360" w:hanging="360"/>
              <w:rPr>
                <w:rFonts w:eastAsia="Wingdings" w:cs="Wingdings"/>
              </w:rPr>
            </w:pPr>
            <w:r w:rsidRPr="00A85435">
              <w:rPr>
                <w:rFonts w:ascii="Wingdings" w:eastAsia="Wingdings" w:hAnsi="Wingdings" w:cs="Wingdings"/>
              </w:rPr>
              <w:t>ü</w:t>
            </w:r>
            <w:r w:rsidRPr="002E4375">
              <w:tab/>
            </w:r>
            <w:r>
              <w:t xml:space="preserve">Adequately prepare for negotiations </w:t>
            </w:r>
          </w:p>
        </w:tc>
      </w:tr>
      <w:tr w:rsidR="000F259D" w:rsidRPr="002E4375" w14:paraId="00C4C490" w14:textId="77777777" w:rsidTr="007B17B3">
        <w:tc>
          <w:tcPr>
            <w:tcW w:w="8208" w:type="dxa"/>
          </w:tcPr>
          <w:p w14:paraId="0E056A1E" w14:textId="68DD81BC" w:rsidR="000F259D" w:rsidRPr="002E4375" w:rsidRDefault="000F259D" w:rsidP="007B17B3">
            <w:pPr>
              <w:pStyle w:val="Tabletext"/>
              <w:ind w:left="360" w:hanging="360"/>
            </w:pPr>
            <w:r w:rsidRPr="00A85435">
              <w:rPr>
                <w:rFonts w:ascii="Wingdings" w:eastAsia="Wingdings" w:hAnsi="Wingdings" w:cs="Wingdings"/>
              </w:rPr>
              <w:t>ü</w:t>
            </w:r>
            <w:r w:rsidRPr="002E4375">
              <w:tab/>
            </w:r>
            <w:r>
              <w:t xml:space="preserve">Agree </w:t>
            </w:r>
            <w:r w:rsidR="00240A2C">
              <w:t xml:space="preserve">on </w:t>
            </w:r>
            <w:r w:rsidRPr="002E4375">
              <w:t xml:space="preserve">the </w:t>
            </w:r>
            <w:r w:rsidR="007D3C9D">
              <w:t>negotiating framework</w:t>
            </w:r>
            <w:r>
              <w:t xml:space="preserve"> and protocols with the preferred </w:t>
            </w:r>
            <w:r w:rsidR="00067712">
              <w:t>tenderer</w:t>
            </w:r>
          </w:p>
        </w:tc>
      </w:tr>
      <w:tr w:rsidR="000F259D" w:rsidRPr="002E4375" w14:paraId="287A64A3" w14:textId="77777777" w:rsidTr="007B17B3">
        <w:tc>
          <w:tcPr>
            <w:tcW w:w="8208" w:type="dxa"/>
          </w:tcPr>
          <w:p w14:paraId="17B57C9E" w14:textId="350E730F" w:rsidR="000F259D" w:rsidRPr="002E4375" w:rsidRDefault="000F259D" w:rsidP="007B17B3">
            <w:pPr>
              <w:pStyle w:val="Tabletext"/>
              <w:ind w:left="360" w:hanging="360"/>
            </w:pPr>
            <w:r w:rsidRPr="00A85435">
              <w:rPr>
                <w:rFonts w:ascii="Wingdings" w:eastAsia="Wingdings" w:hAnsi="Wingdings" w:cs="Wingdings"/>
              </w:rPr>
              <w:t>ü</w:t>
            </w:r>
            <w:r w:rsidRPr="002E4375">
              <w:tab/>
              <w:t xml:space="preserve">Negotiate </w:t>
            </w:r>
            <w:r w:rsidR="00240A2C">
              <w:t xml:space="preserve">the </w:t>
            </w:r>
            <w:r w:rsidRPr="002E4375">
              <w:t>contract and commercial terms in accordance with good negotiating practices</w:t>
            </w:r>
          </w:p>
        </w:tc>
      </w:tr>
    </w:tbl>
    <w:p w14:paraId="61100DD4" w14:textId="77777777" w:rsidR="003324A3" w:rsidRPr="00387024" w:rsidRDefault="5E3D2FB8" w:rsidP="001D2615">
      <w:pPr>
        <w:pStyle w:val="Heading1numbered"/>
      </w:pPr>
      <w:bookmarkStart w:id="462" w:name="_Toc25662723"/>
      <w:bookmarkStart w:id="463" w:name="_Toc161321805"/>
      <w:r>
        <w:t>Approvals and contract award</w:t>
      </w:r>
      <w:bookmarkEnd w:id="462"/>
      <w:bookmarkEnd w:id="463"/>
    </w:p>
    <w:p w14:paraId="3FEF5C93" w14:textId="6ADB7742" w:rsidR="003324A3" w:rsidRPr="00387024" w:rsidRDefault="003324A3" w:rsidP="007B17B3">
      <w:pPr>
        <w:pStyle w:val="Captionindent"/>
      </w:pPr>
      <w:bookmarkStart w:id="464" w:name="_Toc145621490"/>
      <w:bookmarkStart w:id="465" w:name="_Toc145621619"/>
      <w:bookmarkStart w:id="466" w:name="_Toc160457795"/>
      <w:r w:rsidRPr="00EC2A92">
        <w:t xml:space="preserve">Figure </w:t>
      </w:r>
      <w:r>
        <w:fldChar w:fldCharType="begin"/>
      </w:r>
      <w:r>
        <w:instrText>SEQ Figure \* ARABIC</w:instrText>
      </w:r>
      <w:r>
        <w:fldChar w:fldCharType="separate"/>
      </w:r>
      <w:r w:rsidR="008A4B3E">
        <w:rPr>
          <w:noProof/>
        </w:rPr>
        <w:t>26</w:t>
      </w:r>
      <w:r>
        <w:fldChar w:fldCharType="end"/>
      </w:r>
      <w:r w:rsidR="00E958D5">
        <w:t xml:space="preserve"> –</w:t>
      </w:r>
      <w:r w:rsidRPr="00EC2A92">
        <w:t xml:space="preserve"> </w:t>
      </w:r>
      <w:r w:rsidR="00A96740" w:rsidRPr="00A96740">
        <w:t>Chapter 10 overview</w:t>
      </w:r>
      <w:bookmarkEnd w:id="464"/>
      <w:bookmarkEnd w:id="465"/>
      <w:bookmarkEnd w:id="466"/>
    </w:p>
    <w:p w14:paraId="26738541" w14:textId="6522F1F0" w:rsidR="00423CC2" w:rsidRPr="00387024" w:rsidRDefault="006D32D4" w:rsidP="00834461">
      <w:pPr>
        <w:pStyle w:val="NormalIndent"/>
      </w:pPr>
      <w:r w:rsidRPr="00A14BA9">
        <w:rPr>
          <w:noProof/>
        </w:rPr>
        <w:drawing>
          <wp:inline distT="0" distB="0" distL="0" distR="0" wp14:anchorId="08A85E1B" wp14:editId="34219164">
            <wp:extent cx="5210735" cy="1345693"/>
            <wp:effectExtent l="0" t="0" r="9525" b="6985"/>
            <wp:docPr id="1239886122" name="Graphic 1239886122" descr="Figure 26 provides an overview of the contents of the following chapt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86122" name="Picture 1239886122" descr="Figure 26 provides an overview of the contents of the following chapter (10)"/>
                    <pic:cNvPicPr/>
                  </pic:nvPicPr>
                  <pic:blipFill>
                    <a:blip r:embed="rId190" cstate="screen">
                      <a:extLst>
                        <a:ext uri="{28A0092B-C50C-407E-A947-70E740481C1C}">
                          <a14:useLocalDpi xmlns:a14="http://schemas.microsoft.com/office/drawing/2010/main"/>
                        </a:ext>
                        <a:ext uri="{96DAC541-7B7A-43D3-8B79-37D633B846F1}">
                          <asvg:svgBlip xmlns:asvg="http://schemas.microsoft.com/office/drawing/2016/SVG/main" r:embed="rId191"/>
                        </a:ext>
                      </a:extLst>
                    </a:blip>
                    <a:stretch>
                      <a:fillRect/>
                    </a:stretch>
                  </pic:blipFill>
                  <pic:spPr>
                    <a:xfrm>
                      <a:off x="0" y="0"/>
                      <a:ext cx="5219178" cy="1347873"/>
                    </a:xfrm>
                    <a:prstGeom prst="rect">
                      <a:avLst/>
                    </a:prstGeom>
                  </pic:spPr>
                </pic:pic>
              </a:graphicData>
            </a:graphic>
          </wp:inline>
        </w:drawing>
      </w:r>
    </w:p>
    <w:p w14:paraId="335645F0" w14:textId="14C6EFE0" w:rsidR="003324A3" w:rsidRPr="00387024" w:rsidRDefault="003324A3" w:rsidP="00834461">
      <w:pPr>
        <w:pStyle w:val="NormalIndent"/>
      </w:pPr>
      <w:r w:rsidRPr="00387024">
        <w:t xml:space="preserve">The final phase in the procurement process is </w:t>
      </w:r>
      <w:r w:rsidR="004E600F">
        <w:t>obtaining</w:t>
      </w:r>
      <w:r w:rsidR="004E600F" w:rsidRPr="00387024">
        <w:t xml:space="preserve"> </w:t>
      </w:r>
      <w:r w:rsidRPr="00387024">
        <w:t>formal approvals to appoint the preferred tenderer to undertake a scope of works and award the contract. This includes obtaining financial and ministerial approvals as required, notifying the successful and unsuccessful tenderers, awarding the contract and establishing contract management arrangements.</w:t>
      </w:r>
    </w:p>
    <w:p w14:paraId="4CD710AF" w14:textId="53509FAA" w:rsidR="00880D0C" w:rsidRPr="00D33F84" w:rsidRDefault="00880D0C" w:rsidP="007B17B3">
      <w:pPr>
        <w:pStyle w:val="Heading4"/>
      </w:pPr>
      <w:r w:rsidRPr="00D33F84">
        <w:t>Confirming funding</w:t>
      </w:r>
    </w:p>
    <w:p w14:paraId="71A7F9E4" w14:textId="2EED3167" w:rsidR="00880D0C" w:rsidRPr="00A2229A" w:rsidRDefault="00880D0C" w:rsidP="00834461">
      <w:pPr>
        <w:pStyle w:val="NormalIndent"/>
      </w:pPr>
      <w:r w:rsidRPr="00A2229A">
        <w:t xml:space="preserve">Once the agency has identified a preferred </w:t>
      </w:r>
      <w:r w:rsidR="004B1B76">
        <w:t>tenderer</w:t>
      </w:r>
      <w:r w:rsidR="004B1B76" w:rsidRPr="00A2229A">
        <w:t xml:space="preserve"> </w:t>
      </w:r>
      <w:r w:rsidRPr="00A2229A">
        <w:t xml:space="preserve">and agreed </w:t>
      </w:r>
      <w:r w:rsidR="00240A2C">
        <w:t xml:space="preserve">on </w:t>
      </w:r>
      <w:r w:rsidRPr="00A2229A">
        <w:t>contract terms, it should confirm that the proposal is affordable</w:t>
      </w:r>
      <w:r w:rsidR="004E600F">
        <w:t xml:space="preserve"> and within the</w:t>
      </w:r>
      <w:r w:rsidRPr="00A2229A">
        <w:t xml:space="preserve"> funding </w:t>
      </w:r>
      <w:r w:rsidR="004E600F">
        <w:t xml:space="preserve">envelope </w:t>
      </w:r>
      <w:r w:rsidRPr="00A2229A">
        <w:t>allocated to the project.</w:t>
      </w:r>
    </w:p>
    <w:p w14:paraId="542A8462" w14:textId="05E173B3" w:rsidR="00880D0C" w:rsidRDefault="00880D0C" w:rsidP="00D21F77">
      <w:pPr>
        <w:pStyle w:val="NormalIndent"/>
        <w:keepNext/>
      </w:pPr>
      <w:r>
        <w:t>If the tendered fee materially exceeds the cost estimate and is not considered affordable within allocated funding, this must be addressed. This may require consideration of value management opportunities and scope reduction options. In some circumstances, it may be appropriate to seek approval of additional funding.</w:t>
      </w:r>
      <w:r w:rsidRPr="00DF0C08">
        <w:t xml:space="preserve"> </w:t>
      </w:r>
      <w:r w:rsidRPr="007A7AD2">
        <w:t>A project assurance process should also be undertaken to confirm that the project is ready to proceed to the delivery stage. For HVHR projects, this should include a Gate</w:t>
      </w:r>
      <w:r w:rsidR="00CD13A8">
        <w:rPr>
          <w:rFonts w:ascii="Calibri" w:hAnsi="Calibri" w:cs="Calibri"/>
        </w:rPr>
        <w:t> </w:t>
      </w:r>
      <w:r w:rsidRPr="007A7AD2">
        <w:t>4</w:t>
      </w:r>
      <w:r w:rsidR="00CD13A8">
        <w:rPr>
          <w:rFonts w:ascii="Calibri" w:hAnsi="Calibri" w:cs="Calibri"/>
        </w:rPr>
        <w:t> </w:t>
      </w:r>
      <w:r w:rsidR="00F66A28">
        <w:t>G</w:t>
      </w:r>
      <w:r w:rsidRPr="007A7AD2">
        <w:t xml:space="preserve">ateway </w:t>
      </w:r>
      <w:r w:rsidR="00F66A28">
        <w:t>R</w:t>
      </w:r>
      <w:r w:rsidR="00F66A28" w:rsidRPr="007A7AD2">
        <w:t>eview</w:t>
      </w:r>
      <w:r w:rsidRPr="007A7AD2">
        <w:t>.</w:t>
      </w:r>
    </w:p>
    <w:p w14:paraId="7E257472" w14:textId="77777777" w:rsidR="00880D0C" w:rsidRPr="00D33F84" w:rsidRDefault="00880D0C" w:rsidP="007B17B3">
      <w:pPr>
        <w:pStyle w:val="Heading4"/>
      </w:pPr>
      <w:r w:rsidRPr="00D33F84">
        <w:t>Obtaining government approval to award a contract</w:t>
      </w:r>
    </w:p>
    <w:p w14:paraId="7DF1393D" w14:textId="51B3598C" w:rsidR="00880D0C" w:rsidRDefault="00880D0C" w:rsidP="00834461">
      <w:pPr>
        <w:pStyle w:val="NormalIndent"/>
      </w:pPr>
      <w:r w:rsidRPr="005542E7">
        <w:t xml:space="preserve">Before awarding a contract </w:t>
      </w:r>
      <w:r>
        <w:t xml:space="preserve">the </w:t>
      </w:r>
      <w:r w:rsidRPr="005542E7">
        <w:t>agenc</w:t>
      </w:r>
      <w:r>
        <w:t>y</w:t>
      </w:r>
      <w:r w:rsidRPr="005542E7">
        <w:t xml:space="preserve"> </w:t>
      </w:r>
      <w:r>
        <w:t>must obtain</w:t>
      </w:r>
      <w:r w:rsidRPr="005542E7">
        <w:t xml:space="preserve"> formal approval</w:t>
      </w:r>
      <w:r>
        <w:t xml:space="preserve"> of material contract departures and</w:t>
      </w:r>
      <w:r w:rsidRPr="005542E7">
        <w:t xml:space="preserve"> expenditure</w:t>
      </w:r>
      <w:r>
        <w:t xml:space="preserve"> commitment from a minister or officer with </w:t>
      </w:r>
      <w:r w:rsidR="00B56C03">
        <w:t xml:space="preserve">the </w:t>
      </w:r>
      <w:r>
        <w:t>appropriate delegated authority.</w:t>
      </w:r>
    </w:p>
    <w:p w14:paraId="2A2DD4DE" w14:textId="0C7A964F" w:rsidR="00880D0C" w:rsidRPr="00DF0C08" w:rsidRDefault="00A9353F" w:rsidP="00834461">
      <w:pPr>
        <w:pStyle w:val="NormalIndent"/>
      </w:pPr>
      <w:r>
        <w:t xml:space="preserve">The </w:t>
      </w:r>
      <w:r w:rsidR="00880D0C" w:rsidRPr="007A7AD2">
        <w:t xml:space="preserve">approval requirements differ </w:t>
      </w:r>
      <w:r w:rsidR="00B56C03">
        <w:t>depen</w:t>
      </w:r>
      <w:r w:rsidR="00880D0C" w:rsidRPr="007A7AD2">
        <w:t xml:space="preserve">ding </w:t>
      </w:r>
      <w:r w:rsidR="00B56C03">
        <w:t>on</w:t>
      </w:r>
      <w:r w:rsidR="00B56C03" w:rsidRPr="007A7AD2">
        <w:t xml:space="preserve"> </w:t>
      </w:r>
      <w:r w:rsidR="00880D0C" w:rsidRPr="007A7AD2">
        <w:t xml:space="preserve">the contract value, asset type and departmental financial management arrangements. Minor works may </w:t>
      </w:r>
      <w:r w:rsidR="00B56C03">
        <w:t>fall</w:t>
      </w:r>
      <w:r w:rsidR="00B56C03" w:rsidRPr="007A7AD2">
        <w:t xml:space="preserve"> </w:t>
      </w:r>
      <w:r w:rsidR="00880D0C" w:rsidRPr="007A7AD2">
        <w:t xml:space="preserve">within departmental financial delegations and only require internal approvals. </w:t>
      </w:r>
      <w:r w:rsidR="00B56C03">
        <w:t>However, most</w:t>
      </w:r>
      <w:r w:rsidR="00880D0C" w:rsidRPr="007A7AD2">
        <w:t xml:space="preserve"> infrastructure projects require ministerial approval. HVHR projects also need the Treasurer</w:t>
      </w:r>
      <w:r w:rsidR="00344D3F">
        <w:t>’</w:t>
      </w:r>
      <w:r w:rsidR="00880D0C" w:rsidRPr="007A7AD2">
        <w:t xml:space="preserve">s approval prior to contract award </w:t>
      </w:r>
      <w:r w:rsidR="00837690">
        <w:t>if</w:t>
      </w:r>
      <w:r w:rsidR="00837690" w:rsidRPr="007A7AD2">
        <w:t xml:space="preserve"> </w:t>
      </w:r>
      <w:r w:rsidR="00880D0C" w:rsidRPr="007A7AD2">
        <w:t>this is a requirement of the project</w:t>
      </w:r>
      <w:r w:rsidR="00344D3F">
        <w:t>’</w:t>
      </w:r>
      <w:r w:rsidR="00880D0C" w:rsidRPr="007A7AD2">
        <w:t>s HVHR P</w:t>
      </w:r>
      <w:r w:rsidR="00C56F3D">
        <w:rPr>
          <w:rFonts w:hint="eastAsia"/>
        </w:rPr>
        <w:t>AP</w:t>
      </w:r>
      <w:r w:rsidR="00880D0C" w:rsidRPr="007A7AD2">
        <w:t>.</w:t>
      </w:r>
    </w:p>
    <w:tbl>
      <w:tblPr>
        <w:tblStyle w:val="DTFtexttableindent"/>
        <w:tblW w:w="8208" w:type="dxa"/>
        <w:tblBorders>
          <w:bottom w:val="none" w:sz="0" w:space="0" w:color="auto"/>
          <w:insideH w:val="none" w:sz="0" w:space="0" w:color="auto"/>
        </w:tblBorders>
        <w:shd w:val="clear" w:color="auto" w:fill="F2F2F2" w:themeFill="background1" w:themeFillShade="F2"/>
        <w:tblLayout w:type="fixed"/>
        <w:tblLook w:val="04A0" w:firstRow="1" w:lastRow="0" w:firstColumn="1" w:lastColumn="0" w:noHBand="0" w:noVBand="1"/>
      </w:tblPr>
      <w:tblGrid>
        <w:gridCol w:w="738"/>
        <w:gridCol w:w="7470"/>
      </w:tblGrid>
      <w:tr w:rsidR="00880D0C" w:rsidRPr="00917314" w14:paraId="7E5084F4" w14:textId="77777777" w:rsidTr="0085452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38" w:type="dxa"/>
            <w:shd w:val="clear" w:color="auto" w:fill="F2F2F2" w:themeFill="background1" w:themeFillShade="F2"/>
          </w:tcPr>
          <w:p w14:paraId="3B4C1E4B" w14:textId="7B1DA943" w:rsidR="00880D0C" w:rsidRPr="007B17B3" w:rsidRDefault="007B17B3" w:rsidP="00F7602B">
            <w:pPr>
              <w:rPr>
                <w:rFonts w:asciiTheme="minorHAnsi" w:hAnsiTheme="minorHAnsi"/>
              </w:rPr>
            </w:pPr>
            <w:bookmarkStart w:id="467" w:name="_Hlk143097419"/>
            <w:r w:rsidRPr="007B17B3">
              <w:rPr>
                <w:noProof/>
              </w:rPr>
              <w:drawing>
                <wp:inline distT="0" distB="0" distL="0" distR="0" wp14:anchorId="3BF37AEF" wp14:editId="0A1D9676">
                  <wp:extent cx="371475" cy="278607"/>
                  <wp:effectExtent l="0" t="0" r="0" b="7620"/>
                  <wp:docPr id="61" name="Picture 6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470" w:type="dxa"/>
            <w:shd w:val="clear" w:color="auto" w:fill="F2F2F2" w:themeFill="background1" w:themeFillShade="F2"/>
            <w:hideMark/>
          </w:tcPr>
          <w:p w14:paraId="7232EE52" w14:textId="40C5D800" w:rsidR="00880D0C" w:rsidRPr="007B17B3" w:rsidRDefault="00881220" w:rsidP="00D33F8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Ministerial Direction and Instruction for Public Construct</w:t>
            </w:r>
            <w:r w:rsidR="005C6379">
              <w:rPr>
                <w:rFonts w:asciiTheme="minorHAnsi" w:hAnsiTheme="minorHAnsi"/>
              </w:rPr>
              <w:t>ion</w:t>
            </w:r>
            <w:r>
              <w:rPr>
                <w:rFonts w:asciiTheme="minorHAnsi" w:hAnsiTheme="minorHAnsi"/>
              </w:rPr>
              <w:t xml:space="preserve"> Procurement </w:t>
            </w:r>
            <w:r w:rsidR="00880D0C" w:rsidRPr="007B17B3">
              <w:rPr>
                <w:rFonts w:asciiTheme="minorHAnsi" w:hAnsiTheme="minorHAnsi"/>
              </w:rPr>
              <w:t xml:space="preserve">7.1.3 requires agencies to obtain DTF Secretary approval </w:t>
            </w:r>
            <w:r w:rsidR="00837690" w:rsidRPr="007B17B3">
              <w:rPr>
                <w:rFonts w:asciiTheme="minorHAnsi" w:hAnsiTheme="minorHAnsi"/>
              </w:rPr>
              <w:t xml:space="preserve">for </w:t>
            </w:r>
            <w:r w:rsidR="00880D0C" w:rsidRPr="007B17B3">
              <w:rPr>
                <w:rFonts w:asciiTheme="minorHAnsi" w:hAnsiTheme="minorHAnsi"/>
              </w:rPr>
              <w:t xml:space="preserve">any material contract departures proposed by a tenderer. Agencies may </w:t>
            </w:r>
            <w:r w:rsidR="00B56C03">
              <w:rPr>
                <w:rFonts w:asciiTheme="minorHAnsi" w:hAnsiTheme="minorHAnsi"/>
              </w:rPr>
              <w:t xml:space="preserve">use their own discretion to </w:t>
            </w:r>
            <w:r w:rsidR="00880D0C" w:rsidRPr="007B17B3">
              <w:rPr>
                <w:rFonts w:asciiTheme="minorHAnsi" w:hAnsiTheme="minorHAnsi"/>
              </w:rPr>
              <w:t>accept non-material contract departures requested by tenderers.</w:t>
            </w:r>
          </w:p>
          <w:p w14:paraId="09F104C4" w14:textId="666B4041" w:rsidR="00880D0C" w:rsidRPr="007B17B3" w:rsidRDefault="00880D0C" w:rsidP="00D33F84">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B17B3">
              <w:rPr>
                <w:rFonts w:asciiTheme="minorHAnsi" w:hAnsiTheme="minorHAnsi"/>
              </w:rPr>
              <w:t xml:space="preserve">Material departures to HVHR contracts </w:t>
            </w:r>
            <w:r w:rsidR="00111448" w:rsidRPr="007B17B3">
              <w:rPr>
                <w:rFonts w:asciiTheme="minorHAnsi" w:hAnsiTheme="minorHAnsi"/>
              </w:rPr>
              <w:t>are</w:t>
            </w:r>
            <w:r w:rsidRPr="007B17B3">
              <w:rPr>
                <w:rFonts w:asciiTheme="minorHAnsi" w:hAnsiTheme="minorHAnsi"/>
              </w:rPr>
              <w:t xml:space="preserve"> approved through the HVHR process.</w:t>
            </w:r>
          </w:p>
        </w:tc>
      </w:tr>
    </w:tbl>
    <w:bookmarkEnd w:id="467"/>
    <w:p w14:paraId="720975DB" w14:textId="2E291883" w:rsidR="00880D0C" w:rsidRDefault="00880D0C" w:rsidP="00834461">
      <w:pPr>
        <w:pStyle w:val="NormalIndent"/>
      </w:pPr>
      <w:r w:rsidRPr="542DC426">
        <w:t xml:space="preserve">All approval submissions should be supported by the tender evaluation report </w:t>
      </w:r>
      <w:r w:rsidR="00111448">
        <w:t>and endorsement from the</w:t>
      </w:r>
      <w:r w:rsidRPr="542DC426">
        <w:t xml:space="preserve"> project director or steering committee. The tender evaluation report should be updated </w:t>
      </w:r>
      <w:r w:rsidR="00111448">
        <w:t>after</w:t>
      </w:r>
      <w:r w:rsidR="00111448" w:rsidRPr="542DC426">
        <w:t xml:space="preserve"> </w:t>
      </w:r>
      <w:r w:rsidR="00111448">
        <w:t xml:space="preserve">the </w:t>
      </w:r>
      <w:r w:rsidRPr="542DC426">
        <w:t>negotiation to:</w:t>
      </w:r>
    </w:p>
    <w:p w14:paraId="6FFB3E14" w14:textId="4CD4A3E6" w:rsidR="00880D0C" w:rsidRDefault="0841D2B7" w:rsidP="001D2615">
      <w:pPr>
        <w:pStyle w:val="Bulletindent"/>
      </w:pPr>
      <w:r>
        <w:t>outline the tender and evaluation processes and the negotiation outcome</w:t>
      </w:r>
      <w:r w:rsidR="00B56C03">
        <w:t>s</w:t>
      </w:r>
    </w:p>
    <w:p w14:paraId="14897849" w14:textId="799E17DA" w:rsidR="00880D0C" w:rsidRDefault="0841D2B7" w:rsidP="001D2615">
      <w:pPr>
        <w:pStyle w:val="Bulletindent"/>
      </w:pPr>
      <w:r>
        <w:t xml:space="preserve">identify any material departures from the approved project scope and confirm that the proposal provides a </w:t>
      </w:r>
      <w:r w:rsidR="00111448">
        <w:t>VfM</w:t>
      </w:r>
      <w:r>
        <w:t xml:space="preserve"> outcome</w:t>
      </w:r>
    </w:p>
    <w:p w14:paraId="78D83519" w14:textId="2EFC8615" w:rsidR="00880D0C" w:rsidRDefault="0841D2B7" w:rsidP="001D2615">
      <w:pPr>
        <w:pStyle w:val="Bulletindent"/>
      </w:pPr>
      <w:r>
        <w:t>identify any agreed contract departures or changes to standard commercial terms and conditions</w:t>
      </w:r>
      <w:r w:rsidR="006265CC">
        <w:t>,</w:t>
      </w:r>
      <w:r>
        <w:t xml:space="preserve"> and confirm these have been approved by DTF or the steering committee</w:t>
      </w:r>
    </w:p>
    <w:p w14:paraId="197A0336" w14:textId="135E21FE" w:rsidR="00880D0C" w:rsidRDefault="0841D2B7" w:rsidP="001D2615">
      <w:pPr>
        <w:pStyle w:val="Bulletindent"/>
      </w:pPr>
      <w:r>
        <w:t xml:space="preserve">confirm that the proposal is affordable, </w:t>
      </w:r>
      <w:r w:rsidR="00B56C03">
        <w:t xml:space="preserve">that </w:t>
      </w:r>
      <w:r>
        <w:t>adequate funding is available and the department or agency recommends that the contract is entered into</w:t>
      </w:r>
    </w:p>
    <w:p w14:paraId="78D9DD4B" w14:textId="3ED083E9" w:rsidR="00880D0C" w:rsidRDefault="0841D2B7" w:rsidP="001D2615">
      <w:pPr>
        <w:pStyle w:val="Bulletindent"/>
      </w:pPr>
      <w:r>
        <w:t xml:space="preserve">identify any residual risks </w:t>
      </w:r>
      <w:r w:rsidR="006265CC">
        <w:t>arising from the</w:t>
      </w:r>
      <w:r>
        <w:t xml:space="preserve"> procurement process that may inform a decision to award a contract or should be monitored throughout the delivery stage.</w:t>
      </w:r>
    </w:p>
    <w:p w14:paraId="590B8CAB" w14:textId="7980F2DF" w:rsidR="00880D0C" w:rsidRPr="00387024" w:rsidRDefault="00880D0C" w:rsidP="001D2615">
      <w:pPr>
        <w:pStyle w:val="Heading2numbered"/>
      </w:pPr>
      <w:bookmarkStart w:id="468" w:name="_Toc161321806"/>
      <w:r w:rsidRPr="00387024">
        <w:t>Award</w:t>
      </w:r>
      <w:r w:rsidR="002E0BD2">
        <w:t>ing</w:t>
      </w:r>
      <w:r w:rsidRPr="00387024">
        <w:t xml:space="preserve"> and </w:t>
      </w:r>
      <w:r w:rsidR="002E0BD2" w:rsidRPr="00387024">
        <w:t>execut</w:t>
      </w:r>
      <w:r w:rsidR="002E0BD2">
        <w:t>ing</w:t>
      </w:r>
      <w:r w:rsidR="002E0BD2" w:rsidRPr="00387024">
        <w:t xml:space="preserve"> </w:t>
      </w:r>
      <w:r w:rsidR="006265CC">
        <w:t xml:space="preserve">the </w:t>
      </w:r>
      <w:r w:rsidRPr="00387024">
        <w:t>contract</w:t>
      </w:r>
      <w:bookmarkEnd w:id="468"/>
    </w:p>
    <w:p w14:paraId="2B2050DE" w14:textId="02FBB07E" w:rsidR="00880D0C" w:rsidRPr="002B066F" w:rsidRDefault="00880D0C" w:rsidP="00D21F77">
      <w:pPr>
        <w:pStyle w:val="NormalIndent"/>
        <w:keepNext/>
      </w:pPr>
      <w:r w:rsidRPr="002B066F">
        <w:t>Once the necessary approvals have been obtained, the agency can award and execute the contract. Agencies should take reasonable steps to expedite this process and notify unsuccessful tenderers of the procurement outcome. There are four main activities for this step:</w:t>
      </w:r>
    </w:p>
    <w:p w14:paraId="11CB18D6" w14:textId="0CAE7897" w:rsidR="00880D0C" w:rsidRPr="002B066F" w:rsidRDefault="006265CC" w:rsidP="001D2615">
      <w:pPr>
        <w:pStyle w:val="Bulletindent"/>
      </w:pPr>
      <w:r>
        <w:t xml:space="preserve">awarding the </w:t>
      </w:r>
      <w:r w:rsidR="0841D2B7">
        <w:t>contract</w:t>
      </w:r>
    </w:p>
    <w:p w14:paraId="37848875" w14:textId="017F9B99" w:rsidR="00880D0C" w:rsidRPr="002B066F" w:rsidRDefault="0841D2B7" w:rsidP="001D2615">
      <w:pPr>
        <w:pStyle w:val="Bulletindent"/>
      </w:pPr>
      <w:r>
        <w:t>execut</w:t>
      </w:r>
      <w:r w:rsidR="006265CC">
        <w:t>ing the</w:t>
      </w:r>
      <w:r>
        <w:t xml:space="preserve"> contract</w:t>
      </w:r>
    </w:p>
    <w:p w14:paraId="7273CB9D" w14:textId="67A9C4FC" w:rsidR="00880D0C" w:rsidRPr="002B066F" w:rsidRDefault="00B56C03" w:rsidP="001D2615">
      <w:pPr>
        <w:pStyle w:val="Bulletindent"/>
      </w:pPr>
      <w:r>
        <w:t xml:space="preserve">establishing </w:t>
      </w:r>
      <w:r w:rsidR="0841D2B7">
        <w:t>contract management arrangements</w:t>
      </w:r>
    </w:p>
    <w:p w14:paraId="5F574171" w14:textId="4AE635C5" w:rsidR="00880D0C" w:rsidRPr="002B066F" w:rsidRDefault="002E0BD2" w:rsidP="001D2615">
      <w:pPr>
        <w:pStyle w:val="Bulletindent"/>
      </w:pPr>
      <w:r>
        <w:t xml:space="preserve">making </w:t>
      </w:r>
      <w:r w:rsidR="0841D2B7">
        <w:t>payments on contract execution</w:t>
      </w:r>
    </w:p>
    <w:p w14:paraId="31766C2F" w14:textId="12E022EE" w:rsidR="003324A3" w:rsidRPr="00387024" w:rsidRDefault="002E0BD2" w:rsidP="001D2615">
      <w:pPr>
        <w:pStyle w:val="Heading3numbered"/>
      </w:pPr>
      <w:r>
        <w:t>Awarding the c</w:t>
      </w:r>
      <w:r w:rsidRPr="00387024">
        <w:t>ontract</w:t>
      </w:r>
    </w:p>
    <w:p w14:paraId="272122A3" w14:textId="7FC80E8A" w:rsidR="003324A3" w:rsidRPr="00387024" w:rsidRDefault="003324A3" w:rsidP="00834461">
      <w:pPr>
        <w:pStyle w:val="NormalIndent"/>
      </w:pPr>
      <w:r w:rsidRPr="00387024">
        <w:t>The successful tenderer must be informed in writing of the agency</w:t>
      </w:r>
      <w:r w:rsidR="00344D3F">
        <w:t>’</w:t>
      </w:r>
      <w:r w:rsidRPr="00387024">
        <w:t>s intention to enter into a contract for the tendered works. The successful tenderer must confirm their acceptance of the offer</w:t>
      </w:r>
      <w:r w:rsidR="00B56C03">
        <w:t xml:space="preserve"> </w:t>
      </w:r>
      <w:r w:rsidR="00B56C03" w:rsidRPr="00387024">
        <w:t>in writing</w:t>
      </w:r>
      <w:r w:rsidRPr="00387024">
        <w:t>.</w:t>
      </w:r>
    </w:p>
    <w:p w14:paraId="3D3A9FB5" w14:textId="6CD55CF5" w:rsidR="003324A3" w:rsidRPr="00387024" w:rsidRDefault="003324A3" w:rsidP="00834461">
      <w:pPr>
        <w:pStyle w:val="NormalIndent"/>
      </w:pPr>
      <w:r w:rsidRPr="00387024">
        <w:t>The agency should undertake any administrative requirements</w:t>
      </w:r>
      <w:r w:rsidR="002E0BD2">
        <w:t xml:space="preserve"> (</w:t>
      </w:r>
      <w:r w:rsidR="00B56C03">
        <w:t>for example</w:t>
      </w:r>
      <w:r w:rsidR="002E0BD2">
        <w:t>,</w:t>
      </w:r>
      <w:r w:rsidRPr="00387024">
        <w:t xml:space="preserve"> obtaining a bank guarantee or other contract securities</w:t>
      </w:r>
      <w:r w:rsidR="002E0BD2">
        <w:t>)</w:t>
      </w:r>
      <w:r w:rsidRPr="00387024">
        <w:t>.</w:t>
      </w:r>
    </w:p>
    <w:p w14:paraId="0D0DAA17" w14:textId="30294B37" w:rsidR="003324A3" w:rsidRPr="00387024" w:rsidRDefault="002E0BD2" w:rsidP="001D2615">
      <w:pPr>
        <w:pStyle w:val="Heading3numbered"/>
      </w:pPr>
      <w:r w:rsidRPr="00387024">
        <w:t>Execut</w:t>
      </w:r>
      <w:r>
        <w:t>ing</w:t>
      </w:r>
      <w:r w:rsidRPr="00387024">
        <w:t xml:space="preserve"> </w:t>
      </w:r>
      <w:r w:rsidR="003324A3" w:rsidRPr="00387024">
        <w:t>contract</w:t>
      </w:r>
    </w:p>
    <w:p w14:paraId="6042E4D5" w14:textId="7C2A3B54" w:rsidR="003324A3" w:rsidRPr="00387024" w:rsidRDefault="003324A3" w:rsidP="00834461">
      <w:pPr>
        <w:pStyle w:val="NormalIndent"/>
      </w:pPr>
      <w:r w:rsidRPr="00387024">
        <w:t xml:space="preserve">A suitable date and </w:t>
      </w:r>
      <w:r w:rsidR="00B56C03">
        <w:t>location</w:t>
      </w:r>
      <w:r w:rsidR="00B56C03" w:rsidRPr="00387024">
        <w:t xml:space="preserve"> </w:t>
      </w:r>
      <w:r w:rsidRPr="00387024">
        <w:t>are nominated for contract execution</w:t>
      </w:r>
      <w:r w:rsidR="002A423B">
        <w:t>,</w:t>
      </w:r>
      <w:r w:rsidRPr="00387024">
        <w:t xml:space="preserve"> where the </w:t>
      </w:r>
      <w:r w:rsidR="00B56C03">
        <w:t>g</w:t>
      </w:r>
      <w:r w:rsidRPr="00387024">
        <w:t>overnment representative signs the contracts after all other parties have signed.</w:t>
      </w:r>
    </w:p>
    <w:p w14:paraId="0151AD3A" w14:textId="42C288D2" w:rsidR="003324A3" w:rsidRPr="00387024" w:rsidRDefault="003324A3" w:rsidP="00834461">
      <w:pPr>
        <w:pStyle w:val="NormalIndent"/>
      </w:pPr>
      <w:r w:rsidRPr="00387024">
        <w:t>The contracts should be executed by appropriately authorised personnel. Contracts for major projects are often signed by ministers or senior staff with delegated authority.</w:t>
      </w:r>
    </w:p>
    <w:p w14:paraId="356F487D" w14:textId="702CA7EB" w:rsidR="003324A3" w:rsidRPr="00387024" w:rsidRDefault="003324A3" w:rsidP="00834461">
      <w:pPr>
        <w:pStyle w:val="NormalIndent"/>
      </w:pPr>
      <w:r w:rsidRPr="00387024">
        <w:t xml:space="preserve">It is common practice </w:t>
      </w:r>
      <w:r w:rsidR="002A423B">
        <w:t>to make</w:t>
      </w:r>
      <w:r w:rsidR="002A423B" w:rsidRPr="00387024">
        <w:t xml:space="preserve"> </w:t>
      </w:r>
      <w:r w:rsidRPr="00387024">
        <w:t xml:space="preserve">a public announcement of the contract and the successful bidder when contracts have been executed. Media coverage of the contract signing may be involved. Be mindful of appropriately timing any announcements, particularly when dealing with </w:t>
      </w:r>
      <w:r w:rsidR="003239FD" w:rsidRPr="00387024">
        <w:t xml:space="preserve">companies </w:t>
      </w:r>
      <w:r w:rsidR="003239FD">
        <w:t xml:space="preserve">listed on a </w:t>
      </w:r>
      <w:r w:rsidR="003239FD" w:rsidRPr="00387024">
        <w:t>s</w:t>
      </w:r>
      <w:r w:rsidR="003239FD">
        <w:t>ecurities</w:t>
      </w:r>
      <w:r w:rsidR="003239FD" w:rsidRPr="00387024">
        <w:t xml:space="preserve"> </w:t>
      </w:r>
      <w:r w:rsidRPr="00387024">
        <w:t xml:space="preserve">exchange </w:t>
      </w:r>
      <w:r>
        <w:t>that</w:t>
      </w:r>
      <w:r w:rsidRPr="00387024">
        <w:t xml:space="preserve"> may </w:t>
      </w:r>
      <w:r w:rsidR="002A423B">
        <w:t>need to manage</w:t>
      </w:r>
      <w:r w:rsidRPr="00387024">
        <w:t xml:space="preserve"> additional </w:t>
      </w:r>
      <w:r w:rsidR="003239FD">
        <w:t xml:space="preserve">accountabilities </w:t>
      </w:r>
      <w:r w:rsidRPr="00387024">
        <w:t>to shareholders.</w:t>
      </w:r>
    </w:p>
    <w:p w14:paraId="093CA2A8" w14:textId="4B95DDB6" w:rsidR="003324A3" w:rsidRPr="00387024" w:rsidRDefault="003324A3" w:rsidP="001D2615">
      <w:pPr>
        <w:pStyle w:val="Heading3numbered"/>
      </w:pPr>
      <w:r w:rsidRPr="00387024">
        <w:t>Contract management arrangements</w:t>
      </w:r>
    </w:p>
    <w:p w14:paraId="7638AB4B" w14:textId="1EFA5AFF" w:rsidR="003324A3" w:rsidRPr="00387024" w:rsidRDefault="003324A3" w:rsidP="00834461">
      <w:pPr>
        <w:pStyle w:val="NormalIndent"/>
      </w:pPr>
      <w:r w:rsidRPr="00387024">
        <w:t>The agency should ensure that appropriate arrangements are in place to administer and manage the contract</w:t>
      </w:r>
      <w:r w:rsidR="003239FD">
        <w:t xml:space="preserve"> and</w:t>
      </w:r>
      <w:r w:rsidR="000F012B">
        <w:t xml:space="preserve"> </w:t>
      </w:r>
      <w:r w:rsidRPr="00387024">
        <w:t>relationship with the contractor. Th</w:t>
      </w:r>
      <w:r w:rsidR="003239FD">
        <w:t xml:space="preserve">e nominated </w:t>
      </w:r>
      <w:r w:rsidRPr="00387024">
        <w:t>contract manage</w:t>
      </w:r>
      <w:r w:rsidR="003239FD">
        <w:t>r(s)</w:t>
      </w:r>
      <w:r w:rsidRPr="00387024">
        <w:t xml:space="preserve"> should thoroughly understand the tender process and its outcome, including the strategy embodied in the contract and the reasons for particular contractual conditions.</w:t>
      </w:r>
    </w:p>
    <w:p w14:paraId="77105926" w14:textId="77777777" w:rsidR="003324A3" w:rsidRPr="00387024" w:rsidRDefault="003324A3" w:rsidP="001D2615">
      <w:pPr>
        <w:pStyle w:val="Heading3numbered"/>
      </w:pPr>
      <w:r w:rsidRPr="00387024">
        <w:t>Payments on contract execution</w:t>
      </w:r>
    </w:p>
    <w:p w14:paraId="4938FF37" w14:textId="77777777" w:rsidR="003324A3" w:rsidRPr="00387024" w:rsidRDefault="003324A3" w:rsidP="00834461">
      <w:pPr>
        <w:pStyle w:val="NormalIndent"/>
      </w:pPr>
      <w:r w:rsidRPr="00387024">
        <w:t>Some contracts may include a deposit or mobilisation payment on contract execution. Ensure that appropriate paperwork is completed to allow for this.</w:t>
      </w:r>
    </w:p>
    <w:p w14:paraId="2AA3B6ED" w14:textId="77777777" w:rsidR="003324A3" w:rsidRPr="00387024" w:rsidRDefault="003324A3" w:rsidP="001D2615">
      <w:pPr>
        <w:pStyle w:val="Heading2numbered"/>
      </w:pPr>
      <w:bookmarkStart w:id="469" w:name="_Toc161321807"/>
      <w:r w:rsidRPr="00387024">
        <w:t>Informing unsuccessful tenderers of the outcome</w:t>
      </w:r>
      <w:bookmarkEnd w:id="469"/>
    </w:p>
    <w:tbl>
      <w:tblPr>
        <w:tblStyle w:val="DTFtexttableindent"/>
        <w:tblW w:w="8208" w:type="dxa"/>
        <w:tblBorders>
          <w:bottom w:val="none" w:sz="0" w:space="0" w:color="auto"/>
          <w:insideH w:val="none" w:sz="0" w:space="0" w:color="auto"/>
        </w:tblBorders>
        <w:shd w:val="clear" w:color="auto" w:fill="F2F2F2" w:themeFill="background1" w:themeFillShade="F2"/>
        <w:tblLayout w:type="fixed"/>
        <w:tblLook w:val="04A0" w:firstRow="1" w:lastRow="0" w:firstColumn="1" w:lastColumn="0" w:noHBand="0" w:noVBand="1"/>
      </w:tblPr>
      <w:tblGrid>
        <w:gridCol w:w="738"/>
        <w:gridCol w:w="7470"/>
      </w:tblGrid>
      <w:tr w:rsidR="00880D0C" w:rsidRPr="00917314" w14:paraId="3CE9A729" w14:textId="77777777" w:rsidTr="0085452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38" w:type="dxa"/>
            <w:shd w:val="clear" w:color="auto" w:fill="F2F2F2" w:themeFill="background1" w:themeFillShade="F2"/>
          </w:tcPr>
          <w:p w14:paraId="65AD62AF" w14:textId="42011A35" w:rsidR="00880D0C" w:rsidRPr="007B17B3" w:rsidRDefault="007B17B3" w:rsidP="00F7602B">
            <w:pPr>
              <w:rPr>
                <w:rFonts w:asciiTheme="minorHAnsi" w:hAnsiTheme="minorHAnsi"/>
              </w:rPr>
            </w:pPr>
            <w:r w:rsidRPr="007B17B3">
              <w:rPr>
                <w:noProof/>
              </w:rPr>
              <w:drawing>
                <wp:inline distT="0" distB="0" distL="0" distR="0" wp14:anchorId="3F572BB6" wp14:editId="2D895F66">
                  <wp:extent cx="371475" cy="278607"/>
                  <wp:effectExtent l="0" t="0" r="0" b="7620"/>
                  <wp:docPr id="62" name="Picture 6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470" w:type="dxa"/>
            <w:shd w:val="clear" w:color="auto" w:fill="F2F2F2" w:themeFill="background1" w:themeFillShade="F2"/>
            <w:vAlign w:val="center"/>
            <w:hideMark/>
          </w:tcPr>
          <w:p w14:paraId="47AFC371" w14:textId="4A5E6E90" w:rsidR="00880D0C" w:rsidRPr="007B17B3" w:rsidRDefault="00880D0C" w:rsidP="00AA09CA">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B17B3">
              <w:rPr>
                <w:rFonts w:asciiTheme="minorHAnsi" w:hAnsiTheme="minorHAnsi"/>
              </w:rPr>
              <w:t>At the conclusion of a tender process for construction works or services, M</w:t>
            </w:r>
            <w:r w:rsidR="008E2DFE">
              <w:rPr>
                <w:rFonts w:asciiTheme="minorHAnsi" w:hAnsiTheme="minorHAnsi"/>
              </w:rPr>
              <w:t xml:space="preserve">inisterial Direction and Instruction for Public Construction Procurement </w:t>
            </w:r>
            <w:r w:rsidRPr="007B17B3">
              <w:rPr>
                <w:rFonts w:asciiTheme="minorHAnsi" w:hAnsiTheme="minorHAnsi"/>
              </w:rPr>
              <w:t>8.1 requires agencies to inform all tender participants of the outcome</w:t>
            </w:r>
            <w:r w:rsidR="009165A8" w:rsidRPr="007B17B3">
              <w:rPr>
                <w:rFonts w:asciiTheme="minorHAnsi" w:hAnsiTheme="minorHAnsi"/>
              </w:rPr>
              <w:t>.</w:t>
            </w:r>
          </w:p>
        </w:tc>
      </w:tr>
    </w:tbl>
    <w:p w14:paraId="6ABE92F4" w14:textId="35F57236" w:rsidR="00880D0C" w:rsidRPr="002B066F" w:rsidRDefault="00880D0C" w:rsidP="00834461">
      <w:pPr>
        <w:pStyle w:val="NormalIndent"/>
      </w:pPr>
      <w:r w:rsidRPr="002B066F">
        <w:t xml:space="preserve">This step should be undertaken prior to any </w:t>
      </w:r>
      <w:r w:rsidR="003239FD">
        <w:t xml:space="preserve">public announcement or </w:t>
      </w:r>
      <w:r w:rsidR="003239FD" w:rsidRPr="002B066F">
        <w:t xml:space="preserve">media coverage </w:t>
      </w:r>
      <w:r w:rsidRPr="002B066F">
        <w:t>of the contract execution.</w:t>
      </w:r>
    </w:p>
    <w:p w14:paraId="2C188A49" w14:textId="335DE292" w:rsidR="00880D0C" w:rsidRPr="002B066F" w:rsidRDefault="00880D0C" w:rsidP="001D2615">
      <w:pPr>
        <w:pStyle w:val="Heading3numbered"/>
      </w:pPr>
      <w:r w:rsidRPr="002B066F">
        <w:t>Post-tender interviews</w:t>
      </w:r>
    </w:p>
    <w:tbl>
      <w:tblPr>
        <w:tblStyle w:val="DTFtexttableindent"/>
        <w:tblW w:w="8208" w:type="dxa"/>
        <w:tblBorders>
          <w:bottom w:val="none" w:sz="0" w:space="0" w:color="auto"/>
          <w:insideH w:val="none" w:sz="0" w:space="0" w:color="auto"/>
        </w:tblBorders>
        <w:shd w:val="clear" w:color="auto" w:fill="F2F2F2" w:themeFill="background1" w:themeFillShade="F2"/>
        <w:tblLayout w:type="fixed"/>
        <w:tblLook w:val="04A0" w:firstRow="1" w:lastRow="0" w:firstColumn="1" w:lastColumn="0" w:noHBand="0" w:noVBand="1"/>
      </w:tblPr>
      <w:tblGrid>
        <w:gridCol w:w="738"/>
        <w:gridCol w:w="7470"/>
      </w:tblGrid>
      <w:tr w:rsidR="00880D0C" w:rsidRPr="008B2C64" w14:paraId="52C7C502" w14:textId="77777777" w:rsidTr="0085452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38" w:type="dxa"/>
            <w:shd w:val="clear" w:color="auto" w:fill="F2F2F2" w:themeFill="background1" w:themeFillShade="F2"/>
          </w:tcPr>
          <w:p w14:paraId="447DDEB9" w14:textId="2C50DD23" w:rsidR="00880D0C" w:rsidRPr="007B17B3" w:rsidRDefault="007B17B3" w:rsidP="00F7602B">
            <w:pPr>
              <w:rPr>
                <w:rFonts w:asciiTheme="minorHAnsi" w:hAnsiTheme="minorHAnsi"/>
              </w:rPr>
            </w:pPr>
            <w:r w:rsidRPr="007B17B3">
              <w:rPr>
                <w:noProof/>
              </w:rPr>
              <w:drawing>
                <wp:inline distT="0" distB="0" distL="0" distR="0" wp14:anchorId="35403F63" wp14:editId="1D42FA4F">
                  <wp:extent cx="371475" cy="278607"/>
                  <wp:effectExtent l="0" t="0" r="0" b="7620"/>
                  <wp:docPr id="1239886114" name="Picture 123988611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86114" name="Picture 1239886114"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470" w:type="dxa"/>
            <w:shd w:val="clear" w:color="auto" w:fill="F2F2F2" w:themeFill="background1" w:themeFillShade="F2"/>
            <w:hideMark/>
          </w:tcPr>
          <w:p w14:paraId="2BD62EA2" w14:textId="23C47011" w:rsidR="00880D0C" w:rsidRPr="007B17B3" w:rsidRDefault="00880D0C" w:rsidP="00F565E0">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B17B3">
              <w:rPr>
                <w:rFonts w:asciiTheme="minorHAnsi" w:hAnsiTheme="minorHAnsi"/>
              </w:rPr>
              <w:t>M</w:t>
            </w:r>
            <w:r w:rsidR="008E2DFE">
              <w:rPr>
                <w:rFonts w:asciiTheme="minorHAnsi" w:hAnsiTheme="minorHAnsi"/>
              </w:rPr>
              <w:t xml:space="preserve">inisterial Direction and Instruction for Public Construction Procurement </w:t>
            </w:r>
            <w:r w:rsidRPr="007B17B3">
              <w:rPr>
                <w:rFonts w:asciiTheme="minorHAnsi" w:hAnsiTheme="minorHAnsi"/>
              </w:rPr>
              <w:t xml:space="preserve"> 8.1 requires agencies to offer a debrief to all tender participants at the conclusion of a tender process and, if the offer is accepted, ensure a debrief is provided promptly</w:t>
            </w:r>
            <w:r w:rsidR="003239FD">
              <w:rPr>
                <w:rFonts w:asciiTheme="minorHAnsi" w:hAnsiTheme="minorHAnsi"/>
              </w:rPr>
              <w:t>,</w:t>
            </w:r>
            <w:r w:rsidRPr="007B17B3">
              <w:rPr>
                <w:rFonts w:asciiTheme="minorHAnsi" w:hAnsiTheme="minorHAnsi"/>
              </w:rPr>
              <w:t xml:space="preserve"> in accordance with the requirements set out in the Instructions.</w:t>
            </w:r>
          </w:p>
        </w:tc>
      </w:tr>
    </w:tbl>
    <w:p w14:paraId="54DDB47E" w14:textId="5E81ACD5" w:rsidR="00880D0C" w:rsidRPr="008B2C64" w:rsidRDefault="00880D0C" w:rsidP="00834461">
      <w:pPr>
        <w:pStyle w:val="NormalIndent"/>
      </w:pPr>
      <w:r w:rsidRPr="008B2C64">
        <w:t>The purpose of debriefing is to help tender participants understand the strengths and weaknesses of their submission and contribute to developing market capability.</w:t>
      </w:r>
    </w:p>
    <w:p w14:paraId="58622CA6" w14:textId="1CC651EB" w:rsidR="00880D0C" w:rsidRPr="008B2C64" w:rsidRDefault="00880D0C" w:rsidP="00834461">
      <w:pPr>
        <w:pStyle w:val="NormalIndent"/>
      </w:pPr>
      <w:r w:rsidRPr="008B2C64">
        <w:t>The tender evaluation report should be the basis for debriefing.</w:t>
      </w:r>
      <w:r>
        <w:t xml:space="preserve"> </w:t>
      </w:r>
      <w:r w:rsidR="003239FD">
        <w:t>F</w:t>
      </w:r>
      <w:r w:rsidRPr="008B2C64">
        <w:t>eedback must be objective</w:t>
      </w:r>
      <w:r w:rsidR="003239FD">
        <w:t>,</w:t>
      </w:r>
      <w:r w:rsidRPr="008B2C64">
        <w:t xml:space="preserve"> consistent with the evaluation criteria</w:t>
      </w:r>
      <w:r w:rsidR="003239FD">
        <w:t>,</w:t>
      </w:r>
      <w:r w:rsidRPr="008B2C64">
        <w:t xml:space="preserve"> and focus on the </w:t>
      </w:r>
      <w:r w:rsidR="003239FD">
        <w:t xml:space="preserve">bidder’s </w:t>
      </w:r>
      <w:r w:rsidRPr="008B2C64">
        <w:t>performance.</w:t>
      </w:r>
      <w:r w:rsidR="00287ECF">
        <w:t xml:space="preserve"> C</w:t>
      </w:r>
      <w:r w:rsidR="00287ECF">
        <w:rPr>
          <w:rFonts w:hint="eastAsia"/>
        </w:rPr>
        <w:t>o</w:t>
      </w:r>
      <w:r w:rsidR="00287ECF">
        <w:t>nsider the following aspects in the debrief sessions</w:t>
      </w:r>
      <w:r w:rsidR="003239FD">
        <w:t>.</w:t>
      </w:r>
    </w:p>
    <w:p w14:paraId="4957C534" w14:textId="62CCBF1C" w:rsidR="00880D0C" w:rsidRPr="008B2C64" w:rsidRDefault="00880D0C" w:rsidP="001D2615">
      <w:pPr>
        <w:pStyle w:val="Bulletindent"/>
      </w:pPr>
      <w:r w:rsidRPr="00F565E0">
        <w:rPr>
          <w:b/>
          <w:bCs/>
        </w:rPr>
        <w:t>Probity</w:t>
      </w:r>
      <w:r w:rsidR="00567EA8" w:rsidRPr="701FF408">
        <w:rPr>
          <w:b/>
          <w:bCs/>
        </w:rPr>
        <w:t>:</w:t>
      </w:r>
      <w:r>
        <w:t xml:space="preserve"> </w:t>
      </w:r>
      <w:r w:rsidR="000D173D">
        <w:t>T</w:t>
      </w:r>
      <w:r>
        <w:t>he debrief sessions are confidential and must be conducted in accordance with relevant probity protocols. They should be face-to-face discussions</w:t>
      </w:r>
      <w:r w:rsidR="000D173D">
        <w:t>.</w:t>
      </w:r>
      <w:r>
        <w:t xml:space="preserve"> </w:t>
      </w:r>
      <w:r w:rsidR="000D173D">
        <w:t>N</w:t>
      </w:r>
      <w:r>
        <w:t xml:space="preserve">o written feedback should be provided. Feedback is restricted to comments that pertain specifically to the performance of the </w:t>
      </w:r>
      <w:r w:rsidR="00D23B4A">
        <w:t xml:space="preserve">tenderer </w:t>
      </w:r>
      <w:r w:rsidR="003239FD">
        <w:t xml:space="preserve">in relation to the </w:t>
      </w:r>
      <w:r w:rsidR="00A80CA9">
        <w:t xml:space="preserve">evaluation </w:t>
      </w:r>
      <w:r w:rsidR="003239FD">
        <w:t>criter</w:t>
      </w:r>
      <w:r w:rsidR="00A80CA9">
        <w:t>i</w:t>
      </w:r>
      <w:r w:rsidR="003239FD">
        <w:t xml:space="preserve">a </w:t>
      </w:r>
      <w:r>
        <w:t xml:space="preserve">and should not refer to, or compare </w:t>
      </w:r>
      <w:r w:rsidR="000D173D">
        <w:t>with</w:t>
      </w:r>
      <w:r>
        <w:t xml:space="preserve">, other </w:t>
      </w:r>
      <w:r w:rsidR="00A80CA9">
        <w:t xml:space="preserve">tenders or </w:t>
      </w:r>
      <w:r w:rsidR="00D23B4A">
        <w:t>tenderers</w:t>
      </w:r>
      <w:r>
        <w:t>.</w:t>
      </w:r>
    </w:p>
    <w:p w14:paraId="4735411E" w14:textId="6A1E8EB2" w:rsidR="00880D0C" w:rsidRPr="008B2C64" w:rsidRDefault="00880D0C" w:rsidP="001D2615">
      <w:pPr>
        <w:pStyle w:val="Bulletindent"/>
      </w:pPr>
      <w:r w:rsidRPr="00F565E0">
        <w:rPr>
          <w:b/>
          <w:bCs/>
        </w:rPr>
        <w:t>Timing</w:t>
      </w:r>
      <w:r w:rsidR="00567EA8" w:rsidRPr="701FF408">
        <w:rPr>
          <w:b/>
          <w:bCs/>
        </w:rPr>
        <w:t>:</w:t>
      </w:r>
      <w:r w:rsidR="000D173D" w:rsidRPr="701FF408">
        <w:rPr>
          <w:i/>
          <w:iCs/>
        </w:rPr>
        <w:t xml:space="preserve"> </w:t>
      </w:r>
      <w:r w:rsidR="000D173D">
        <w:t>T</w:t>
      </w:r>
      <w:r>
        <w:t xml:space="preserve">he debrief sessions should be held in a timely manner following contract award or financial close. It is </w:t>
      </w:r>
      <w:r w:rsidR="000D173D">
        <w:t>in</w:t>
      </w:r>
      <w:r>
        <w:t>appropriate to hold debrief meetings before the contract has been finalised.</w:t>
      </w:r>
    </w:p>
    <w:p w14:paraId="3E9AAB14" w14:textId="63CC789A" w:rsidR="003324A3" w:rsidRPr="00387024" w:rsidRDefault="003324A3" w:rsidP="001D2615">
      <w:pPr>
        <w:pStyle w:val="Bulletindent"/>
      </w:pPr>
      <w:r w:rsidRPr="00F565E0">
        <w:rPr>
          <w:b/>
          <w:bCs/>
        </w:rPr>
        <w:t>Attendees</w:t>
      </w:r>
      <w:r w:rsidR="00567EA8" w:rsidRPr="701FF408">
        <w:rPr>
          <w:b/>
          <w:bCs/>
        </w:rPr>
        <w:t>:</w:t>
      </w:r>
      <w:r>
        <w:t xml:space="preserve"> </w:t>
      </w:r>
      <w:r w:rsidR="000D173D">
        <w:t>T</w:t>
      </w:r>
      <w:r>
        <w:t>he debrief</w:t>
      </w:r>
      <w:r w:rsidR="000D173D">
        <w:t xml:space="preserve"> sessions</w:t>
      </w:r>
      <w:r>
        <w:t xml:space="preserve"> should be conducted by senior members of the project team</w:t>
      </w:r>
      <w:r w:rsidR="00880D0C">
        <w:t xml:space="preserve"> with</w:t>
      </w:r>
      <w:r>
        <w:t xml:space="preserve"> sufficient understanding of the commercial, design and technical aspects of the </w:t>
      </w:r>
      <w:r w:rsidR="00650886">
        <w:t xml:space="preserve">tenders </w:t>
      </w:r>
      <w:r w:rsidR="00880D0C">
        <w:t xml:space="preserve">and the evaluation process </w:t>
      </w:r>
      <w:r>
        <w:t>to provide targeted</w:t>
      </w:r>
      <w:r w:rsidR="006F4A07">
        <w:t>,</w:t>
      </w:r>
      <w:r>
        <w:t xml:space="preserve"> knowledgeable feedback. </w:t>
      </w:r>
      <w:r w:rsidR="00880D0C">
        <w:t>The session</w:t>
      </w:r>
      <w:r w:rsidR="006F4A07">
        <w:t>s</w:t>
      </w:r>
      <w:r w:rsidR="00880D0C">
        <w:t xml:space="preserve"> should be chaired by the project director</w:t>
      </w:r>
      <w:r w:rsidR="006F4A07">
        <w:t>,</w:t>
      </w:r>
      <w:r w:rsidR="00880D0C">
        <w:t xml:space="preserve"> and</w:t>
      </w:r>
      <w:r w:rsidR="006F4A07">
        <w:t>,</w:t>
      </w:r>
      <w:r w:rsidR="00880D0C">
        <w:t xml:space="preserve"> ideally</w:t>
      </w:r>
      <w:r w:rsidR="006F4A07">
        <w:t>,</w:t>
      </w:r>
      <w:r w:rsidR="00880D0C">
        <w:t xml:space="preserve"> the same project team members should attend all debrief sessions.</w:t>
      </w:r>
      <w:r w:rsidR="00287ECF">
        <w:t xml:space="preserve"> </w:t>
      </w:r>
      <w:r w:rsidR="006F4A07">
        <w:t>The tenderer is represented by a</w:t>
      </w:r>
      <w:r>
        <w:t xml:space="preserve"> single person, </w:t>
      </w:r>
      <w:r w:rsidR="006F4A07">
        <w:t xml:space="preserve">unless it is </w:t>
      </w:r>
      <w:r>
        <w:t>a joint venture, in which case a representative from each joint venture partner may attend. When accepting the invitation for a debriefing, the tenderer must nominate the</w:t>
      </w:r>
      <w:r w:rsidR="006F4A07">
        <w:t>ir</w:t>
      </w:r>
      <w:r>
        <w:t xml:space="preserve"> representative(s).</w:t>
      </w:r>
    </w:p>
    <w:p w14:paraId="4EA1FF13" w14:textId="363B8735" w:rsidR="003324A3" w:rsidRPr="00387024" w:rsidRDefault="003324A3" w:rsidP="001D2615">
      <w:pPr>
        <w:pStyle w:val="Bulletindent"/>
        <w:keepNext/>
      </w:pPr>
      <w:r w:rsidRPr="00B4260E">
        <w:rPr>
          <w:b/>
          <w:bCs/>
        </w:rPr>
        <w:t>Agenda</w:t>
      </w:r>
      <w:r w:rsidR="00567EA8" w:rsidRPr="701FF408">
        <w:rPr>
          <w:b/>
          <w:bCs/>
        </w:rPr>
        <w:t>:</w:t>
      </w:r>
      <w:r w:rsidR="006F4A07">
        <w:t xml:space="preserve"> A</w:t>
      </w:r>
      <w:r>
        <w:t xml:space="preserve">n agenda should be prepared </w:t>
      </w:r>
      <w:r w:rsidR="00A90E4D">
        <w:t xml:space="preserve">as far </w:t>
      </w:r>
      <w:r>
        <w:t>in advance</w:t>
      </w:r>
      <w:r w:rsidR="00A90E4D">
        <w:t xml:space="preserve"> as practicable</w:t>
      </w:r>
      <w:r>
        <w:t xml:space="preserve">, </w:t>
      </w:r>
      <w:r w:rsidR="001E77C1">
        <w:t xml:space="preserve">and </w:t>
      </w:r>
      <w:r>
        <w:t xml:space="preserve">the unsuccessful </w:t>
      </w:r>
      <w:r w:rsidR="00650886">
        <w:t xml:space="preserve">tenderer </w:t>
      </w:r>
      <w:r w:rsidR="001E77C1">
        <w:t xml:space="preserve">should be asked </w:t>
      </w:r>
      <w:r>
        <w:t>to identify issues they wish to discuss</w:t>
      </w:r>
      <w:r w:rsidR="00A90E4D">
        <w:t>,</w:t>
      </w:r>
      <w:r>
        <w:t xml:space="preserve"> to allow </w:t>
      </w:r>
      <w:r w:rsidR="00A90E4D">
        <w:t>the parties to prepare</w:t>
      </w:r>
      <w:r>
        <w:t xml:space="preserve">. The </w:t>
      </w:r>
      <w:r w:rsidR="00A90E4D">
        <w:t xml:space="preserve">typical </w:t>
      </w:r>
      <w:r>
        <w:t xml:space="preserve">format is for the agency representative(s) to </w:t>
      </w:r>
      <w:r w:rsidR="00A90E4D">
        <w:t>describe</w:t>
      </w:r>
      <w:r>
        <w:t>:</w:t>
      </w:r>
    </w:p>
    <w:p w14:paraId="37C34974" w14:textId="124CEC0F" w:rsidR="003324A3" w:rsidRPr="00387024" w:rsidRDefault="15C8AB0F" w:rsidP="001D2615">
      <w:pPr>
        <w:pStyle w:val="Bulletindent2"/>
        <w:keepNext/>
      </w:pPr>
      <w:r>
        <w:t xml:space="preserve">the selection criteria and </w:t>
      </w:r>
      <w:r w:rsidR="003B430E">
        <w:t>subcriteria</w:t>
      </w:r>
      <w:r w:rsidR="005E3C4E">
        <w:t>,</w:t>
      </w:r>
      <w:r>
        <w:t xml:space="preserve"> and the reason</w:t>
      </w:r>
      <w:r w:rsidR="00754F70">
        <w:t>s</w:t>
      </w:r>
      <w:r>
        <w:t xml:space="preserve"> the</w:t>
      </w:r>
      <w:r w:rsidR="00754F70">
        <w:t>y were</w:t>
      </w:r>
      <w:r>
        <w:t xml:space="preserve"> </w:t>
      </w:r>
      <w:r w:rsidR="00754F70">
        <w:t>selected</w:t>
      </w:r>
    </w:p>
    <w:p w14:paraId="59E5C0E7" w14:textId="2C08B585" w:rsidR="003324A3" w:rsidRPr="00387024" w:rsidRDefault="15C8AB0F" w:rsidP="001D2615">
      <w:pPr>
        <w:pStyle w:val="Bulletindent2"/>
        <w:keepNext/>
      </w:pPr>
      <w:r>
        <w:t>the weightings</w:t>
      </w:r>
      <w:r w:rsidR="00754F70">
        <w:t>,</w:t>
      </w:r>
      <w:r>
        <w:t xml:space="preserve"> and the reason</w:t>
      </w:r>
      <w:r w:rsidR="00754F70">
        <w:t>s they were chosen</w:t>
      </w:r>
    </w:p>
    <w:p w14:paraId="5E264EFC" w14:textId="5DD24455" w:rsidR="003324A3" w:rsidRPr="00387024" w:rsidRDefault="15C8AB0F" w:rsidP="001D2615">
      <w:pPr>
        <w:pStyle w:val="Bulletindent2"/>
        <w:keepNext/>
      </w:pPr>
      <w:r>
        <w:t>features of the tenderer</w:t>
      </w:r>
      <w:r w:rsidR="00344D3F">
        <w:t>’</w:t>
      </w:r>
      <w:r>
        <w:t xml:space="preserve">s submission that led to a favourable </w:t>
      </w:r>
      <w:r w:rsidR="005E3C4E">
        <w:t xml:space="preserve">or </w:t>
      </w:r>
      <w:r>
        <w:t>unfavourable assessment against each</w:t>
      </w:r>
      <w:r w:rsidR="005E3C4E">
        <w:t xml:space="preserve"> criteria and subcriteria</w:t>
      </w:r>
      <w:r>
        <w:t>.</w:t>
      </w:r>
    </w:p>
    <w:p w14:paraId="7EB0F70E" w14:textId="4D5062CE" w:rsidR="00880D0C" w:rsidRDefault="00612693" w:rsidP="00834461">
      <w:pPr>
        <w:pStyle w:val="NormalIndent"/>
      </w:pPr>
      <w:r>
        <w:t>The t</w:t>
      </w:r>
      <w:r w:rsidR="00880D0C" w:rsidRPr="008B2C64">
        <w:t>ender</w:t>
      </w:r>
      <w:r w:rsidR="00880D0C">
        <w:t xml:space="preserve"> participant</w:t>
      </w:r>
      <w:r w:rsidR="00880D0C" w:rsidRPr="008B2C64">
        <w:t xml:space="preserve"> can ask questions </w:t>
      </w:r>
      <w:r w:rsidR="005E3C4E">
        <w:t>to clarify</w:t>
      </w:r>
      <w:r w:rsidR="00880D0C" w:rsidRPr="008B2C64">
        <w:t xml:space="preserve"> the agency</w:t>
      </w:r>
      <w:r w:rsidR="00344D3F">
        <w:t>’</w:t>
      </w:r>
      <w:r w:rsidR="00880D0C" w:rsidRPr="008B2C64">
        <w:t xml:space="preserve">s perception of their submission. </w:t>
      </w:r>
      <w:r w:rsidR="00880D0C">
        <w:t xml:space="preserve">They </w:t>
      </w:r>
      <w:r w:rsidR="00754F70">
        <w:t>must not</w:t>
      </w:r>
      <w:r w:rsidR="00880D0C">
        <w:t xml:space="preserve"> ask </w:t>
      </w:r>
      <w:r w:rsidR="00754F70">
        <w:t xml:space="preserve">about other </w:t>
      </w:r>
      <w:r>
        <w:t xml:space="preserve">tenderers’ </w:t>
      </w:r>
      <w:r w:rsidR="00880D0C" w:rsidRPr="008B2C64">
        <w:t>submissions</w:t>
      </w:r>
      <w:r w:rsidR="00754F70">
        <w:t>,</w:t>
      </w:r>
      <w:r w:rsidR="00880D0C" w:rsidRPr="008B2C64">
        <w:t xml:space="preserve"> or </w:t>
      </w:r>
      <w:r w:rsidR="004D088E">
        <w:t xml:space="preserve">solicit </w:t>
      </w:r>
      <w:r w:rsidR="00880D0C" w:rsidRPr="008B2C64">
        <w:t xml:space="preserve">comparisons </w:t>
      </w:r>
      <w:r w:rsidR="002752B3">
        <w:t xml:space="preserve">with </w:t>
      </w:r>
      <w:r w:rsidR="00754F70">
        <w:t xml:space="preserve">other </w:t>
      </w:r>
      <w:r>
        <w:t>tenderers</w:t>
      </w:r>
      <w:r w:rsidR="002752B3">
        <w:t>.</w:t>
      </w:r>
      <w:r w:rsidR="00880D0C" w:rsidRPr="008B2C64">
        <w:t xml:space="preserve"> </w:t>
      </w:r>
      <w:r w:rsidR="002752B3">
        <w:t>If they do</w:t>
      </w:r>
      <w:r w:rsidR="004D088E">
        <w:t xml:space="preserve"> so</w:t>
      </w:r>
      <w:r w:rsidR="002752B3">
        <w:t>,</w:t>
      </w:r>
      <w:r w:rsidR="00880D0C" w:rsidRPr="008B2C64">
        <w:t xml:space="preserve"> the agency representative</w:t>
      </w:r>
      <w:r w:rsidR="00880D0C">
        <w:t>s</w:t>
      </w:r>
      <w:r w:rsidR="00880D0C" w:rsidRPr="008B2C64">
        <w:t xml:space="preserve"> should decline to answer</w:t>
      </w:r>
      <w:r w:rsidR="00880D0C" w:rsidRPr="00387024">
        <w:t>.</w:t>
      </w:r>
    </w:p>
    <w:p w14:paraId="6602C84C" w14:textId="77777777" w:rsidR="00880D0C" w:rsidRPr="002B066F" w:rsidRDefault="00880D0C" w:rsidP="001D2615">
      <w:pPr>
        <w:pStyle w:val="Heading3numbered"/>
      </w:pPr>
      <w:r w:rsidRPr="002B066F">
        <w:t>Managing complaints</w:t>
      </w:r>
    </w:p>
    <w:tbl>
      <w:tblPr>
        <w:tblStyle w:val="DTFtexttableindent"/>
        <w:tblW w:w="8298" w:type="dxa"/>
        <w:tblBorders>
          <w:bottom w:val="none" w:sz="0" w:space="0" w:color="auto"/>
          <w:insideH w:val="none" w:sz="0" w:space="0" w:color="auto"/>
        </w:tblBorders>
        <w:shd w:val="clear" w:color="auto" w:fill="F2F2F2" w:themeFill="background1" w:themeFillShade="F2"/>
        <w:tblLayout w:type="fixed"/>
        <w:tblLook w:val="04A0" w:firstRow="1" w:lastRow="0" w:firstColumn="1" w:lastColumn="0" w:noHBand="0" w:noVBand="1"/>
      </w:tblPr>
      <w:tblGrid>
        <w:gridCol w:w="738"/>
        <w:gridCol w:w="7560"/>
      </w:tblGrid>
      <w:tr w:rsidR="00880D0C" w:rsidRPr="008B2C64" w14:paraId="09131A5B" w14:textId="77777777" w:rsidTr="00854521">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38" w:type="dxa"/>
            <w:shd w:val="clear" w:color="auto" w:fill="F2F2F2" w:themeFill="background1" w:themeFillShade="F2"/>
          </w:tcPr>
          <w:p w14:paraId="6DFE8E56" w14:textId="056CB825" w:rsidR="00880D0C" w:rsidRPr="007B17B3" w:rsidRDefault="007B17B3" w:rsidP="00F7602B">
            <w:pPr>
              <w:rPr>
                <w:rFonts w:asciiTheme="minorHAnsi" w:hAnsiTheme="minorHAnsi"/>
              </w:rPr>
            </w:pPr>
            <w:r w:rsidRPr="007B17B3">
              <w:rPr>
                <w:noProof/>
              </w:rPr>
              <w:drawing>
                <wp:inline distT="0" distB="0" distL="0" distR="0" wp14:anchorId="36E123F5" wp14:editId="5651DAC7">
                  <wp:extent cx="371475" cy="278607"/>
                  <wp:effectExtent l="0" t="0" r="0" b="7620"/>
                  <wp:docPr id="1239886115" name="Picture 123988611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86115" name="Picture 1239886115" descr="Information icon"/>
                          <pic:cNvPicPr/>
                        </pic:nvPicPr>
                        <pic:blipFill>
                          <a:blip r:embed="rId2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374412" cy="280810"/>
                          </a:xfrm>
                          <a:prstGeom prst="rect">
                            <a:avLst/>
                          </a:prstGeom>
                        </pic:spPr>
                      </pic:pic>
                    </a:graphicData>
                  </a:graphic>
                </wp:inline>
              </w:drawing>
            </w:r>
          </w:p>
        </w:tc>
        <w:tc>
          <w:tcPr>
            <w:tcW w:w="7560" w:type="dxa"/>
            <w:shd w:val="clear" w:color="auto" w:fill="F2F2F2" w:themeFill="background1" w:themeFillShade="F2"/>
            <w:hideMark/>
          </w:tcPr>
          <w:p w14:paraId="59A77A7E" w14:textId="1FEB6350" w:rsidR="00880D0C" w:rsidRPr="007B17B3" w:rsidRDefault="00880D0C" w:rsidP="00AA09CA">
            <w:pPr>
              <w:pStyle w:val="Tabletex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rPr>
            </w:pPr>
            <w:r w:rsidRPr="007B17B3">
              <w:rPr>
                <w:rFonts w:asciiTheme="minorHAnsi" w:eastAsia="Times New Roman" w:hAnsiTheme="minorHAnsi"/>
              </w:rPr>
              <w:t>M</w:t>
            </w:r>
            <w:r w:rsidR="00612693">
              <w:rPr>
                <w:rFonts w:asciiTheme="minorHAnsi" w:eastAsia="Times New Roman" w:hAnsiTheme="minorHAnsi"/>
              </w:rPr>
              <w:t xml:space="preserve">inisterial Direction and Instruction for Public Construction Procurement </w:t>
            </w:r>
            <w:r w:rsidRPr="007B17B3">
              <w:rPr>
                <w:rFonts w:asciiTheme="minorHAnsi" w:eastAsia="Times New Roman" w:hAnsiTheme="minorHAnsi"/>
              </w:rPr>
              <w:t>8.3 requires agencies to e</w:t>
            </w:r>
            <w:r w:rsidRPr="007B17B3">
              <w:rPr>
                <w:rFonts w:asciiTheme="minorHAnsi" w:hAnsiTheme="minorHAnsi"/>
              </w:rPr>
              <w:t xml:space="preserve">stablish appropriate processes to respond to complaints raised by tender participants (and potential participants) about the conduct of </w:t>
            </w:r>
            <w:r w:rsidR="004D088E">
              <w:rPr>
                <w:rFonts w:asciiTheme="minorHAnsi" w:hAnsiTheme="minorHAnsi"/>
              </w:rPr>
              <w:t>p</w:t>
            </w:r>
            <w:r w:rsidR="004D088E" w:rsidRPr="007B17B3">
              <w:rPr>
                <w:rFonts w:asciiTheme="minorHAnsi" w:hAnsiTheme="minorHAnsi"/>
              </w:rPr>
              <w:t xml:space="preserve">ublic </w:t>
            </w:r>
            <w:r w:rsidR="004D088E">
              <w:rPr>
                <w:rFonts w:asciiTheme="minorHAnsi" w:hAnsiTheme="minorHAnsi"/>
              </w:rPr>
              <w:t>c</w:t>
            </w:r>
            <w:r w:rsidR="004D088E" w:rsidRPr="007B17B3">
              <w:rPr>
                <w:rFonts w:asciiTheme="minorHAnsi" w:hAnsiTheme="minorHAnsi"/>
              </w:rPr>
              <w:t xml:space="preserve">onstruction </w:t>
            </w:r>
            <w:r w:rsidR="004D088E">
              <w:rPr>
                <w:rFonts w:asciiTheme="minorHAnsi" w:hAnsiTheme="minorHAnsi"/>
              </w:rPr>
              <w:t>p</w:t>
            </w:r>
            <w:r w:rsidR="004D088E" w:rsidRPr="007B17B3">
              <w:rPr>
                <w:rFonts w:asciiTheme="minorHAnsi" w:hAnsiTheme="minorHAnsi"/>
              </w:rPr>
              <w:t xml:space="preserve">rocurement </w:t>
            </w:r>
            <w:r w:rsidRPr="007B17B3">
              <w:rPr>
                <w:rFonts w:asciiTheme="minorHAnsi" w:hAnsiTheme="minorHAnsi"/>
              </w:rPr>
              <w:t xml:space="preserve">by the </w:t>
            </w:r>
            <w:r w:rsidR="004D088E">
              <w:rPr>
                <w:rFonts w:asciiTheme="minorHAnsi" w:hAnsiTheme="minorHAnsi"/>
              </w:rPr>
              <w:t>a</w:t>
            </w:r>
            <w:r w:rsidR="004D088E" w:rsidRPr="007B17B3">
              <w:rPr>
                <w:rFonts w:asciiTheme="minorHAnsi" w:hAnsiTheme="minorHAnsi"/>
              </w:rPr>
              <w:t>gency</w:t>
            </w:r>
            <w:r w:rsidRPr="007B17B3">
              <w:rPr>
                <w:rFonts w:asciiTheme="minorHAnsi" w:hAnsiTheme="minorHAnsi"/>
              </w:rPr>
              <w:t>.</w:t>
            </w:r>
          </w:p>
        </w:tc>
      </w:tr>
    </w:tbl>
    <w:p w14:paraId="7ABC778E" w14:textId="77777777" w:rsidR="003324A3" w:rsidRPr="00387024" w:rsidRDefault="003324A3" w:rsidP="001D2615">
      <w:pPr>
        <w:pStyle w:val="Heading2numbered"/>
      </w:pPr>
      <w:bookmarkStart w:id="470" w:name="_Toc161321808"/>
      <w:r w:rsidRPr="00387024">
        <w:t>Approvals and contract award phase checklist</w:t>
      </w:r>
      <w:bookmarkEnd w:id="470"/>
    </w:p>
    <w:p w14:paraId="2B436A23" w14:textId="5B69DD94" w:rsidR="003324A3" w:rsidRPr="00387024" w:rsidRDefault="00F14BAD" w:rsidP="00834461">
      <w:pPr>
        <w:pStyle w:val="NormalIndent"/>
      </w:pPr>
      <w:r>
        <w:t xml:space="preserve">Agencies need to complete </w:t>
      </w:r>
      <w:r w:rsidR="003324A3" w:rsidRPr="00387024">
        <w:t>the following tasks</w:t>
      </w:r>
      <w:r>
        <w:t>,</w:t>
      </w:r>
      <w:r w:rsidR="003324A3" w:rsidRPr="00387024">
        <w:t xml:space="preserve"> </w:t>
      </w:r>
      <w:r w:rsidR="000769C0">
        <w:t>b</w:t>
      </w:r>
      <w:r w:rsidRPr="00387024">
        <w:t xml:space="preserve">fore finalising the </w:t>
      </w:r>
      <w:r>
        <w:t>p</w:t>
      </w:r>
      <w:r w:rsidRPr="00387024">
        <w:t>rocurement stage and starting project delivery,</w:t>
      </w:r>
      <w:r w:rsidR="002752B3">
        <w:t>.</w:t>
      </w:r>
    </w:p>
    <w:p w14:paraId="21CC8415" w14:textId="77411186" w:rsidR="00880D0C" w:rsidRDefault="00007883" w:rsidP="00840AD9">
      <w:pPr>
        <w:pStyle w:val="Captionindent"/>
      </w:pPr>
      <w:bookmarkStart w:id="471" w:name="_Toc145621365"/>
      <w:bookmarkStart w:id="472" w:name="_Toc146097259"/>
      <w:r>
        <w:t xml:space="preserve">Table </w:t>
      </w:r>
      <w:r>
        <w:fldChar w:fldCharType="begin"/>
      </w:r>
      <w:r>
        <w:instrText>SEQ Table \* ARABIC</w:instrText>
      </w:r>
      <w:r>
        <w:fldChar w:fldCharType="separate"/>
      </w:r>
      <w:r w:rsidR="008A4B3E">
        <w:rPr>
          <w:noProof/>
        </w:rPr>
        <w:t>17</w:t>
      </w:r>
      <w:r>
        <w:fldChar w:fldCharType="end"/>
      </w:r>
      <w:r w:rsidR="00E958D5">
        <w:t xml:space="preserve"> –</w:t>
      </w:r>
      <w:r w:rsidR="00880D0C">
        <w:t xml:space="preserve"> </w:t>
      </w:r>
      <w:r w:rsidR="00880D0C" w:rsidRPr="00ED474A">
        <w:t>Approvals and contract award phase checklist</w:t>
      </w:r>
      <w:bookmarkEnd w:id="471"/>
      <w:bookmarkEnd w:id="472"/>
    </w:p>
    <w:tbl>
      <w:tblPr>
        <w:tblStyle w:val="DTFtexttableindent"/>
        <w:tblW w:w="8298" w:type="dxa"/>
        <w:tblLook w:val="0620" w:firstRow="1" w:lastRow="0" w:firstColumn="0" w:lastColumn="0" w:noHBand="1" w:noVBand="1"/>
      </w:tblPr>
      <w:tblGrid>
        <w:gridCol w:w="8298"/>
      </w:tblGrid>
      <w:tr w:rsidR="003324A3" w:rsidRPr="00387024" w14:paraId="73A30930" w14:textId="77777777" w:rsidTr="007B17B3">
        <w:trPr>
          <w:cnfStyle w:val="100000000000" w:firstRow="1" w:lastRow="0" w:firstColumn="0" w:lastColumn="0" w:oddVBand="0" w:evenVBand="0" w:oddHBand="0" w:evenHBand="0" w:firstRowFirstColumn="0" w:firstRowLastColumn="0" w:lastRowFirstColumn="0" w:lastRowLastColumn="0"/>
        </w:trPr>
        <w:tc>
          <w:tcPr>
            <w:tcW w:w="8298" w:type="dxa"/>
          </w:tcPr>
          <w:p w14:paraId="544B9BC0" w14:textId="77777777" w:rsidR="003324A3" w:rsidRPr="007B17B3" w:rsidRDefault="003324A3" w:rsidP="00A52A18">
            <w:pPr>
              <w:pStyle w:val="Tableheader"/>
            </w:pPr>
            <w:r w:rsidRPr="007B17B3">
              <w:t>Approvals and contract award phase key tasks</w:t>
            </w:r>
          </w:p>
        </w:tc>
      </w:tr>
      <w:tr w:rsidR="003324A3" w:rsidRPr="00387024" w14:paraId="4C3533B1" w14:textId="77777777" w:rsidTr="007B17B3">
        <w:tc>
          <w:tcPr>
            <w:tcW w:w="8298" w:type="dxa"/>
          </w:tcPr>
          <w:p w14:paraId="50A45A9E" w14:textId="77777777" w:rsidR="003324A3" w:rsidRPr="00C10426" w:rsidRDefault="003324A3" w:rsidP="007B17B3">
            <w:pPr>
              <w:pStyle w:val="Tabletext"/>
              <w:ind w:left="360" w:hanging="360"/>
            </w:pPr>
            <w:r w:rsidRPr="00387024">
              <w:rPr>
                <w:rFonts w:ascii="Wingdings" w:eastAsia="Wingdings" w:hAnsi="Wingdings" w:cs="Wingdings"/>
              </w:rPr>
              <w:t>ü</w:t>
            </w:r>
            <w:r w:rsidRPr="00C10426">
              <w:tab/>
              <w:t>Confirm funding</w:t>
            </w:r>
          </w:p>
        </w:tc>
      </w:tr>
      <w:tr w:rsidR="003324A3" w:rsidRPr="00387024" w14:paraId="7C08EADB" w14:textId="77777777" w:rsidTr="007B17B3">
        <w:tc>
          <w:tcPr>
            <w:tcW w:w="8298" w:type="dxa"/>
          </w:tcPr>
          <w:p w14:paraId="300CF467" w14:textId="77777777" w:rsidR="003324A3" w:rsidRPr="00C10426" w:rsidRDefault="003324A3" w:rsidP="007B17B3">
            <w:pPr>
              <w:pStyle w:val="Tabletext"/>
              <w:ind w:left="360" w:hanging="360"/>
            </w:pPr>
            <w:r w:rsidRPr="00387024">
              <w:rPr>
                <w:rFonts w:ascii="Wingdings" w:eastAsia="Wingdings" w:hAnsi="Wingdings" w:cs="Wingdings"/>
              </w:rPr>
              <w:t>ü</w:t>
            </w:r>
            <w:r w:rsidRPr="00C10426">
              <w:tab/>
              <w:t>Obtain government and financial delegate approvals</w:t>
            </w:r>
          </w:p>
        </w:tc>
      </w:tr>
      <w:tr w:rsidR="003324A3" w:rsidRPr="00387024" w14:paraId="55715358" w14:textId="77777777" w:rsidTr="007B17B3">
        <w:tc>
          <w:tcPr>
            <w:tcW w:w="8298" w:type="dxa"/>
          </w:tcPr>
          <w:p w14:paraId="7D26D2C9" w14:textId="7A1A8482" w:rsidR="003324A3" w:rsidRPr="00C10426" w:rsidRDefault="003324A3" w:rsidP="007B17B3">
            <w:pPr>
              <w:pStyle w:val="Tabletext"/>
              <w:ind w:left="360" w:hanging="360"/>
            </w:pPr>
            <w:r w:rsidRPr="00387024">
              <w:rPr>
                <w:rFonts w:ascii="Wingdings" w:eastAsia="Wingdings" w:hAnsi="Wingdings" w:cs="Wingdings"/>
              </w:rPr>
              <w:t>ü</w:t>
            </w:r>
            <w:r w:rsidRPr="0008668A">
              <w:rPr>
                <w:rFonts w:ascii="Wingdings" w:eastAsia="Wingdings" w:hAnsi="Wingdings" w:cs="Wingdings"/>
              </w:rPr>
              <w:tab/>
            </w:r>
            <w:r w:rsidRPr="00C10426">
              <w:t xml:space="preserve">Award and execute </w:t>
            </w:r>
            <w:r w:rsidR="002752B3">
              <w:t xml:space="preserve">the </w:t>
            </w:r>
            <w:r w:rsidRPr="00C10426">
              <w:t>contract</w:t>
            </w:r>
          </w:p>
        </w:tc>
      </w:tr>
      <w:tr w:rsidR="003324A3" w:rsidRPr="00387024" w14:paraId="7CC8576C" w14:textId="77777777" w:rsidTr="007B17B3">
        <w:tc>
          <w:tcPr>
            <w:tcW w:w="8298" w:type="dxa"/>
          </w:tcPr>
          <w:p w14:paraId="77972737" w14:textId="4C728D6A" w:rsidR="003324A3" w:rsidRPr="00C10426" w:rsidRDefault="003324A3" w:rsidP="007B17B3">
            <w:pPr>
              <w:pStyle w:val="Tabletext"/>
              <w:ind w:left="360" w:hanging="360"/>
            </w:pPr>
            <w:r w:rsidRPr="00387024">
              <w:rPr>
                <w:rFonts w:ascii="Wingdings" w:eastAsia="Wingdings" w:hAnsi="Wingdings" w:cs="Wingdings"/>
              </w:rPr>
              <w:t>ü</w:t>
            </w:r>
            <w:r w:rsidRPr="00C10426">
              <w:tab/>
              <w:t xml:space="preserve">Inform unsuccessful tenderers of </w:t>
            </w:r>
            <w:r w:rsidR="002752B3">
              <w:t xml:space="preserve">the </w:t>
            </w:r>
            <w:r w:rsidRPr="00C10426">
              <w:t>outcome</w:t>
            </w:r>
          </w:p>
        </w:tc>
      </w:tr>
      <w:tr w:rsidR="003324A3" w:rsidRPr="00387024" w14:paraId="12BD8D82" w14:textId="77777777" w:rsidTr="007B17B3">
        <w:tc>
          <w:tcPr>
            <w:tcW w:w="8298" w:type="dxa"/>
          </w:tcPr>
          <w:p w14:paraId="2CCEC08C" w14:textId="77777777" w:rsidR="003324A3" w:rsidRPr="00C10426" w:rsidRDefault="003324A3" w:rsidP="007B17B3">
            <w:pPr>
              <w:pStyle w:val="Tabletext"/>
              <w:ind w:left="360" w:hanging="360"/>
            </w:pPr>
            <w:r w:rsidRPr="00387024">
              <w:rPr>
                <w:rFonts w:ascii="Wingdings" w:eastAsia="Wingdings" w:hAnsi="Wingdings" w:cs="Wingdings"/>
              </w:rPr>
              <w:t>ü</w:t>
            </w:r>
            <w:r w:rsidRPr="00C10426">
              <w:tab/>
              <w:t>Offer and undertake post-tender debriefs</w:t>
            </w:r>
          </w:p>
        </w:tc>
      </w:tr>
    </w:tbl>
    <w:p w14:paraId="6D262B0D" w14:textId="647C4B63" w:rsidR="00A937FD" w:rsidRDefault="00A937FD" w:rsidP="00840AD9">
      <w:pPr>
        <w:pStyle w:val="Partheading"/>
      </w:pPr>
      <w:bookmarkStart w:id="473" w:name="_Toc161321809"/>
      <w:r>
        <w:t>Appendices</w:t>
      </w:r>
      <w:bookmarkEnd w:id="473"/>
    </w:p>
    <w:p w14:paraId="1B7223FD" w14:textId="4F7F7BFE" w:rsidR="009A3283" w:rsidRDefault="008B6E3D" w:rsidP="001D2615">
      <w:pPr>
        <w:pStyle w:val="Appendixtitle"/>
        <w:pageBreakBefore w:val="0"/>
        <w:tabs>
          <w:tab w:val="clear" w:pos="360"/>
          <w:tab w:val="left" w:pos="720"/>
        </w:tabs>
      </w:pPr>
      <w:bookmarkStart w:id="474" w:name="_Ref145593010"/>
      <w:bookmarkStart w:id="475" w:name="_Ref145593014"/>
      <w:bookmarkStart w:id="476" w:name="_Toc161321810"/>
      <w:r>
        <w:t>–</w:t>
      </w:r>
      <w:r w:rsidR="00135BE5">
        <w:t xml:space="preserve"> </w:t>
      </w:r>
      <w:bookmarkStart w:id="477" w:name="Legislation"/>
      <w:r w:rsidR="00135BE5">
        <w:t>Legislation</w:t>
      </w:r>
      <w:bookmarkEnd w:id="477"/>
      <w:r w:rsidR="00135BE5">
        <w:t xml:space="preserve"> and policy</w:t>
      </w:r>
      <w:bookmarkEnd w:id="474"/>
      <w:bookmarkEnd w:id="475"/>
      <w:bookmarkEnd w:id="476"/>
    </w:p>
    <w:p w14:paraId="09579338" w14:textId="28E90580" w:rsidR="006131BF" w:rsidRDefault="006131BF" w:rsidP="00AA09CA">
      <w:r w:rsidRPr="00CC203F">
        <w:t>Procurement principles key</w:t>
      </w:r>
    </w:p>
    <w:tbl>
      <w:tblPr>
        <w:tblStyle w:val="DTFtexttable"/>
        <w:tblW w:w="5580" w:type="dxa"/>
        <w:tblLook w:val="04A0" w:firstRow="1" w:lastRow="0" w:firstColumn="1" w:lastColumn="0" w:noHBand="0" w:noVBand="1"/>
      </w:tblPr>
      <w:tblGrid>
        <w:gridCol w:w="4410"/>
        <w:gridCol w:w="1170"/>
      </w:tblGrid>
      <w:tr w:rsidR="006131BF" w14:paraId="6D7E3699" w14:textId="1DBB325F" w:rsidTr="008F02FA">
        <w:trPr>
          <w:cnfStyle w:val="100000000000" w:firstRow="1" w:lastRow="0" w:firstColumn="0" w:lastColumn="0" w:oddVBand="0" w:evenVBand="0" w:oddHBand="0" w:evenHBand="0" w:firstRowFirstColumn="0" w:firstRowLastColumn="0" w:lastRowFirstColumn="0" w:lastRowLastColumn="0"/>
          <w:cantSplit w:val="0"/>
        </w:trPr>
        <w:tc>
          <w:tcPr>
            <w:cnfStyle w:val="001000000100" w:firstRow="0" w:lastRow="0" w:firstColumn="1" w:lastColumn="0" w:oddVBand="0" w:evenVBand="0" w:oddHBand="0" w:evenHBand="0" w:firstRowFirstColumn="1" w:firstRowLastColumn="0" w:lastRowFirstColumn="0" w:lastRowLastColumn="0"/>
            <w:tcW w:w="4410" w:type="dxa"/>
          </w:tcPr>
          <w:p w14:paraId="3EE4E050" w14:textId="77777777" w:rsidR="006131BF" w:rsidRDefault="006131BF" w:rsidP="00F7602B">
            <w:pPr>
              <w:pStyle w:val="Tableheader"/>
              <w:rPr>
                <w:b/>
              </w:rPr>
            </w:pPr>
            <w:r w:rsidRPr="0085315C">
              <w:t>Procurement principle</w:t>
            </w:r>
          </w:p>
        </w:tc>
        <w:tc>
          <w:tcPr>
            <w:tcW w:w="1170" w:type="dxa"/>
          </w:tcPr>
          <w:p w14:paraId="73CA86AA" w14:textId="77777777" w:rsidR="00840AD9" w:rsidRPr="0085315C" w:rsidRDefault="00840AD9" w:rsidP="00F7602B">
            <w:pPr>
              <w:pStyle w:val="Tableheader"/>
              <w:cnfStyle w:val="100000000000" w:firstRow="1" w:lastRow="0" w:firstColumn="0" w:lastColumn="0" w:oddVBand="0" w:evenVBand="0" w:oddHBand="0" w:evenHBand="0" w:firstRowFirstColumn="0" w:firstRowLastColumn="0" w:lastRowFirstColumn="0" w:lastRowLastColumn="0"/>
            </w:pPr>
          </w:p>
        </w:tc>
      </w:tr>
      <w:tr w:rsidR="006131BF" w14:paraId="1BC2450B" w14:textId="2083A341" w:rsidTr="008F02FA">
        <w:trPr>
          <w:cantSplit w:val="0"/>
        </w:trPr>
        <w:tc>
          <w:tcPr>
            <w:cnfStyle w:val="001000000000" w:firstRow="0" w:lastRow="0" w:firstColumn="1" w:lastColumn="0" w:oddVBand="0" w:evenVBand="0" w:oddHBand="0" w:evenHBand="0" w:firstRowFirstColumn="0" w:firstRowLastColumn="0" w:lastRowFirstColumn="0" w:lastRowLastColumn="0"/>
            <w:tcW w:w="4410" w:type="dxa"/>
            <w:vAlign w:val="center"/>
          </w:tcPr>
          <w:p w14:paraId="3CB58BD5" w14:textId="0B4052BB" w:rsidR="006131BF" w:rsidRPr="008F02FA" w:rsidRDefault="006131BF" w:rsidP="00F7602B">
            <w:pPr>
              <w:pStyle w:val="Tabletext"/>
              <w:rPr>
                <w:rFonts w:asciiTheme="majorHAnsi" w:hAnsiTheme="majorHAnsi"/>
              </w:rPr>
            </w:pPr>
            <w:r w:rsidRPr="003C7509">
              <w:rPr>
                <w:rFonts w:asciiTheme="majorHAnsi" w:hAnsiTheme="majorHAnsi"/>
              </w:rPr>
              <w:t>Value</w:t>
            </w:r>
            <w:r>
              <w:rPr>
                <w:rFonts w:asciiTheme="majorHAnsi" w:hAnsiTheme="majorHAnsi"/>
              </w:rPr>
              <w:t>-</w:t>
            </w:r>
            <w:r w:rsidRPr="003C7509">
              <w:rPr>
                <w:rFonts w:asciiTheme="majorHAnsi" w:hAnsiTheme="majorHAnsi"/>
              </w:rPr>
              <w:t>for</w:t>
            </w:r>
            <w:r>
              <w:rPr>
                <w:rFonts w:asciiTheme="majorHAnsi" w:hAnsiTheme="majorHAnsi"/>
              </w:rPr>
              <w:t>-</w:t>
            </w:r>
            <w:r w:rsidRPr="003C7509">
              <w:rPr>
                <w:rFonts w:asciiTheme="majorHAnsi" w:hAnsiTheme="majorHAnsi"/>
              </w:rPr>
              <w:t>money (V</w:t>
            </w:r>
            <w:r>
              <w:rPr>
                <w:rFonts w:asciiTheme="majorHAnsi" w:hAnsiTheme="majorHAnsi"/>
              </w:rPr>
              <w:t>f</w:t>
            </w:r>
            <w:r w:rsidRPr="003C7509">
              <w:rPr>
                <w:rFonts w:asciiTheme="majorHAnsi" w:hAnsiTheme="majorHAnsi"/>
              </w:rPr>
              <w:t>M)</w:t>
            </w:r>
          </w:p>
        </w:tc>
        <w:tc>
          <w:tcPr>
            <w:tcW w:w="1170" w:type="dxa"/>
            <w:vAlign w:val="center"/>
          </w:tcPr>
          <w:p w14:paraId="2C6ED0DD" w14:textId="5974C8ED" w:rsidR="00840AD9" w:rsidRPr="000E73BE" w:rsidRDefault="00840AD9" w:rsidP="00F7602B">
            <w:pPr>
              <w:pStyle w:val="Tabletext"/>
              <w:cnfStyle w:val="000000000000" w:firstRow="0" w:lastRow="0" w:firstColumn="0" w:lastColumn="0" w:oddVBand="0" w:evenVBand="0" w:oddHBand="0" w:evenHBand="0" w:firstRowFirstColumn="0" w:firstRowLastColumn="0" w:lastRowFirstColumn="0" w:lastRowLastColumn="0"/>
              <w:rPr>
                <w:rFonts w:ascii="VIC SemiBold" w:hAnsi="VIC SemiBold"/>
                <w:noProof/>
                <w:color w:val="C00000"/>
              </w:rPr>
            </w:pPr>
            <w:r w:rsidRPr="000E73BE">
              <w:rPr>
                <w:rFonts w:ascii="VIC SemiBold" w:hAnsi="VIC SemiBold"/>
                <w:noProof/>
                <w:color w:val="C00000"/>
              </w:rPr>
              <w:drawing>
                <wp:inline distT="0" distB="0" distL="0" distR="0" wp14:anchorId="704D0110" wp14:editId="578E05F4">
                  <wp:extent cx="411480" cy="411480"/>
                  <wp:effectExtent l="0" t="0" r="7620" b="7620"/>
                  <wp:docPr id="103" name="Graphic 103"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r>
      <w:tr w:rsidR="006131BF" w14:paraId="24B3C2ED" w14:textId="4F2E9A1D" w:rsidTr="008F0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vAlign w:val="center"/>
          </w:tcPr>
          <w:p w14:paraId="488801A4" w14:textId="412E0826" w:rsidR="006131BF" w:rsidRPr="008F02FA" w:rsidRDefault="006131BF" w:rsidP="00F7602B">
            <w:pPr>
              <w:pStyle w:val="Tabletext"/>
              <w:rPr>
                <w:rFonts w:asciiTheme="majorHAnsi" w:hAnsiTheme="majorHAnsi"/>
              </w:rPr>
            </w:pPr>
            <w:r w:rsidRPr="003C7509">
              <w:rPr>
                <w:rFonts w:asciiTheme="majorHAnsi" w:hAnsiTheme="majorHAnsi"/>
              </w:rPr>
              <w:t>Accountability commensurate with appropriate levels of authority and responsibility</w:t>
            </w:r>
          </w:p>
        </w:tc>
        <w:tc>
          <w:tcPr>
            <w:tcW w:w="1170" w:type="dxa"/>
            <w:vAlign w:val="center"/>
          </w:tcPr>
          <w:p w14:paraId="29C0346E" w14:textId="55729CC2" w:rsidR="00840AD9" w:rsidRPr="000E73BE" w:rsidRDefault="00840AD9" w:rsidP="00F7602B">
            <w:pPr>
              <w:pStyle w:val="Tabletext"/>
              <w:cnfStyle w:val="000000010000" w:firstRow="0" w:lastRow="0" w:firstColumn="0" w:lastColumn="0" w:oddVBand="0" w:evenVBand="0" w:oddHBand="0" w:evenHBand="1" w:firstRowFirstColumn="0" w:firstRowLastColumn="0" w:lastRowFirstColumn="0" w:lastRowLastColumn="0"/>
              <w:rPr>
                <w:rFonts w:ascii="VIC SemiBold" w:hAnsi="VIC SemiBold"/>
                <w:noProof/>
                <w:color w:val="C00000"/>
              </w:rPr>
            </w:pPr>
            <w:r w:rsidRPr="000E73BE">
              <w:rPr>
                <w:rFonts w:ascii="VIC SemiBold" w:hAnsi="VIC SemiBold"/>
                <w:noProof/>
                <w:color w:val="C00000"/>
              </w:rPr>
              <w:drawing>
                <wp:inline distT="0" distB="0" distL="0" distR="0" wp14:anchorId="28F49F10" wp14:editId="28AED837">
                  <wp:extent cx="411480" cy="411480"/>
                  <wp:effectExtent l="0" t="0" r="0" b="7620"/>
                  <wp:docPr id="104" name="Graphic 104"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r>
      <w:tr w:rsidR="006131BF" w:rsidRPr="00687718" w14:paraId="1435736B" w14:textId="6BCA5BD3" w:rsidTr="008F02FA">
        <w:tc>
          <w:tcPr>
            <w:cnfStyle w:val="001000000000" w:firstRow="0" w:lastRow="0" w:firstColumn="1" w:lastColumn="0" w:oddVBand="0" w:evenVBand="0" w:oddHBand="0" w:evenHBand="0" w:firstRowFirstColumn="0" w:firstRowLastColumn="0" w:lastRowFirstColumn="0" w:lastRowLastColumn="0"/>
            <w:tcW w:w="4410" w:type="dxa"/>
            <w:vAlign w:val="center"/>
          </w:tcPr>
          <w:p w14:paraId="6CC31CD1" w14:textId="52F9B9E3" w:rsidR="006131BF" w:rsidRPr="00687718" w:rsidRDefault="006131BF" w:rsidP="00F7602B">
            <w:pPr>
              <w:pStyle w:val="Tabletext"/>
              <w:rPr>
                <w:rFonts w:asciiTheme="majorHAnsi" w:hAnsiTheme="majorHAnsi"/>
              </w:rPr>
            </w:pPr>
            <w:r w:rsidRPr="00687718">
              <w:rPr>
                <w:rFonts w:asciiTheme="majorHAnsi" w:hAnsiTheme="majorHAnsi"/>
              </w:rPr>
              <w:t>Transparency and competition</w:t>
            </w:r>
          </w:p>
        </w:tc>
        <w:tc>
          <w:tcPr>
            <w:tcW w:w="1170" w:type="dxa"/>
            <w:vAlign w:val="center"/>
          </w:tcPr>
          <w:p w14:paraId="0087E4F5" w14:textId="55B408C7" w:rsidR="00840AD9" w:rsidRPr="000E73BE" w:rsidRDefault="00840AD9" w:rsidP="00F7602B">
            <w:pPr>
              <w:pStyle w:val="Tabletext"/>
              <w:cnfStyle w:val="000000000000" w:firstRow="0" w:lastRow="0" w:firstColumn="0" w:lastColumn="0" w:oddVBand="0" w:evenVBand="0" w:oddHBand="0" w:evenHBand="0" w:firstRowFirstColumn="0" w:firstRowLastColumn="0" w:lastRowFirstColumn="0" w:lastRowLastColumn="0"/>
              <w:rPr>
                <w:rFonts w:ascii="VIC SemiBold" w:hAnsi="VIC SemiBold"/>
                <w:noProof/>
                <w:color w:val="C00000"/>
              </w:rPr>
            </w:pPr>
            <w:r w:rsidRPr="000E73BE">
              <w:rPr>
                <w:rFonts w:ascii="VIC SemiBold" w:hAnsi="VIC SemiBold"/>
                <w:noProof/>
                <w:color w:val="C00000"/>
              </w:rPr>
              <w:drawing>
                <wp:inline distT="0" distB="0" distL="0" distR="0" wp14:anchorId="76C195B4" wp14:editId="78FDDCA9">
                  <wp:extent cx="422306" cy="411480"/>
                  <wp:effectExtent l="0" t="0" r="0" b="7620"/>
                  <wp:docPr id="105" name="Graphic 105" descr="Transparency and competi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ransparency and competition icon"/>
                          <pic:cNvPicPr/>
                        </pic:nvPicPr>
                        <pic:blipFill rotWithShape="1">
                          <a:blip r:embed="rId43" cstate="screen">
                            <a:extLst>
                              <a:ext uri="{28A0092B-C50C-407E-A947-70E740481C1C}">
                                <a14:useLocalDpi xmlns:a14="http://schemas.microsoft.com/office/drawing/2010/main"/>
                              </a:ext>
                              <a:ext uri="{96DAC541-7B7A-43D3-8B79-37D633B846F1}">
                                <asvg:svgBlip xmlns:asvg="http://schemas.microsoft.com/office/drawing/2016/SVG/main" r:embed="rId44"/>
                              </a:ext>
                            </a:extLst>
                          </a:blip>
                          <a:srcRect l="10264" t="11299" r="6530" b="7627"/>
                          <a:stretch/>
                        </pic:blipFill>
                        <pic:spPr bwMode="auto">
                          <a:xfrm>
                            <a:off x="0" y="0"/>
                            <a:ext cx="422306" cy="411480"/>
                          </a:xfrm>
                          <a:prstGeom prst="rect">
                            <a:avLst/>
                          </a:prstGeom>
                          <a:ln>
                            <a:noFill/>
                          </a:ln>
                          <a:extLst>
                            <a:ext uri="{53640926-AAD7-44D8-BBD7-CCE9431645EC}">
                              <a14:shadowObscured xmlns:a14="http://schemas.microsoft.com/office/drawing/2010/main"/>
                            </a:ext>
                          </a:extLst>
                        </pic:spPr>
                      </pic:pic>
                    </a:graphicData>
                  </a:graphic>
                </wp:inline>
              </w:drawing>
            </w:r>
          </w:p>
        </w:tc>
      </w:tr>
      <w:tr w:rsidR="006131BF" w:rsidRPr="00687718" w14:paraId="2F54AD40" w14:textId="478FA89D" w:rsidTr="008F0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vAlign w:val="center"/>
          </w:tcPr>
          <w:p w14:paraId="583CCB6B" w14:textId="2466C556" w:rsidR="006131BF" w:rsidRPr="00687718" w:rsidRDefault="006131BF" w:rsidP="00F7602B">
            <w:pPr>
              <w:pStyle w:val="Tabletext"/>
              <w:rPr>
                <w:rFonts w:asciiTheme="majorHAnsi" w:hAnsiTheme="majorHAnsi"/>
              </w:rPr>
            </w:pPr>
            <w:r w:rsidRPr="00687718">
              <w:rPr>
                <w:rFonts w:asciiTheme="majorHAnsi" w:hAnsiTheme="majorHAnsi"/>
              </w:rPr>
              <w:t>Probity</w:t>
            </w:r>
          </w:p>
        </w:tc>
        <w:tc>
          <w:tcPr>
            <w:tcW w:w="1170" w:type="dxa"/>
            <w:vAlign w:val="center"/>
          </w:tcPr>
          <w:p w14:paraId="786CFD3F" w14:textId="149A836A" w:rsidR="00840AD9" w:rsidRPr="000E73BE" w:rsidRDefault="00840AD9" w:rsidP="00F7602B">
            <w:pPr>
              <w:pStyle w:val="Tabletext"/>
              <w:cnfStyle w:val="000000010000" w:firstRow="0" w:lastRow="0" w:firstColumn="0" w:lastColumn="0" w:oddVBand="0" w:evenVBand="0" w:oddHBand="0" w:evenHBand="1" w:firstRowFirstColumn="0" w:firstRowLastColumn="0" w:lastRowFirstColumn="0" w:lastRowLastColumn="0"/>
              <w:rPr>
                <w:rFonts w:ascii="VIC SemiBold" w:hAnsi="VIC SemiBold"/>
                <w:noProof/>
                <w:color w:val="C00000"/>
              </w:rPr>
            </w:pPr>
            <w:r w:rsidRPr="000E73BE">
              <w:rPr>
                <w:rFonts w:ascii="VIC SemiBold" w:hAnsi="VIC SemiBold"/>
                <w:noProof/>
                <w:color w:val="C00000"/>
              </w:rPr>
              <w:drawing>
                <wp:inline distT="0" distB="0" distL="0" distR="0" wp14:anchorId="06B0305C" wp14:editId="1478484E">
                  <wp:extent cx="364557" cy="411480"/>
                  <wp:effectExtent l="0" t="0" r="0" b="7620"/>
                  <wp:docPr id="106" name="Graphic 106" descr="Prob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robity icon"/>
                          <pic:cNvPicPr/>
                        </pic:nvPicPr>
                        <pic:blipFill>
                          <a:blip r:embed="rId45" cstate="screen">
                            <a:extLst>
                              <a:ext uri="{28A0092B-C50C-407E-A947-70E740481C1C}">
                                <a14:useLocalDpi xmlns:a14="http://schemas.microsoft.com/office/drawing/2010/main"/>
                              </a:ext>
                              <a:ext uri="{96DAC541-7B7A-43D3-8B79-37D633B846F1}">
                                <asvg:svgBlip xmlns:asvg="http://schemas.microsoft.com/office/drawing/2016/SVG/main" r:embed="rId46"/>
                              </a:ext>
                            </a:extLst>
                          </a:blip>
                          <a:stretch>
                            <a:fillRect/>
                          </a:stretch>
                        </pic:blipFill>
                        <pic:spPr>
                          <a:xfrm>
                            <a:off x="0" y="0"/>
                            <a:ext cx="364557" cy="411480"/>
                          </a:xfrm>
                          <a:prstGeom prst="rect">
                            <a:avLst/>
                          </a:prstGeom>
                        </pic:spPr>
                      </pic:pic>
                    </a:graphicData>
                  </a:graphic>
                </wp:inline>
              </w:drawing>
            </w:r>
          </w:p>
        </w:tc>
      </w:tr>
      <w:tr w:rsidR="006131BF" w:rsidRPr="00687718" w14:paraId="2E14D362" w14:textId="6504B859" w:rsidTr="008F02FA">
        <w:tc>
          <w:tcPr>
            <w:cnfStyle w:val="001000000000" w:firstRow="0" w:lastRow="0" w:firstColumn="1" w:lastColumn="0" w:oddVBand="0" w:evenVBand="0" w:oddHBand="0" w:evenHBand="0" w:firstRowFirstColumn="0" w:firstRowLastColumn="0" w:lastRowFirstColumn="0" w:lastRowLastColumn="0"/>
            <w:tcW w:w="4410" w:type="dxa"/>
            <w:vAlign w:val="center"/>
          </w:tcPr>
          <w:p w14:paraId="05D095F0" w14:textId="363DC8F4" w:rsidR="006131BF" w:rsidRPr="00687718" w:rsidRDefault="006131BF" w:rsidP="00F7602B">
            <w:pPr>
              <w:pStyle w:val="Tabletext"/>
              <w:rPr>
                <w:rFonts w:asciiTheme="majorHAnsi" w:hAnsiTheme="majorHAnsi"/>
              </w:rPr>
            </w:pPr>
            <w:r w:rsidRPr="00687718">
              <w:rPr>
                <w:rFonts w:asciiTheme="majorHAnsi" w:hAnsiTheme="majorHAnsi"/>
              </w:rPr>
              <w:t>Scalability and efficiency</w:t>
            </w:r>
          </w:p>
        </w:tc>
        <w:tc>
          <w:tcPr>
            <w:tcW w:w="1170" w:type="dxa"/>
            <w:vAlign w:val="center"/>
          </w:tcPr>
          <w:p w14:paraId="14CF1BD0" w14:textId="018D30F4" w:rsidR="00840AD9" w:rsidRPr="000E73BE" w:rsidRDefault="00840AD9" w:rsidP="00F7602B">
            <w:pPr>
              <w:pStyle w:val="Tabletext"/>
              <w:cnfStyle w:val="000000000000" w:firstRow="0" w:lastRow="0" w:firstColumn="0" w:lastColumn="0" w:oddVBand="0" w:evenVBand="0" w:oddHBand="0" w:evenHBand="0" w:firstRowFirstColumn="0" w:firstRowLastColumn="0" w:lastRowFirstColumn="0" w:lastRowLastColumn="0"/>
              <w:rPr>
                <w:rFonts w:ascii="VIC SemiBold" w:hAnsi="VIC SemiBold"/>
                <w:noProof/>
                <w:color w:val="C00000"/>
              </w:rPr>
            </w:pPr>
            <w:r w:rsidRPr="000E73BE">
              <w:rPr>
                <w:rFonts w:ascii="VIC SemiBold" w:hAnsi="VIC SemiBold"/>
                <w:noProof/>
                <w:color w:val="C00000"/>
              </w:rPr>
              <w:drawing>
                <wp:inline distT="0" distB="0" distL="0" distR="0" wp14:anchorId="209BA056" wp14:editId="5B7F5859">
                  <wp:extent cx="405727" cy="411480"/>
                  <wp:effectExtent l="0" t="0" r="0" b="7620"/>
                  <wp:docPr id="107" name="Graphic 107" descr="Scalability and effici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calability and efficiency icon"/>
                          <pic:cNvPicPr/>
                        </pic:nvPicPr>
                        <pic:blipFill>
                          <a:blip r:embed="rId48" cstate="screen">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05727" cy="411480"/>
                          </a:xfrm>
                          <a:prstGeom prst="rect">
                            <a:avLst/>
                          </a:prstGeom>
                        </pic:spPr>
                      </pic:pic>
                    </a:graphicData>
                  </a:graphic>
                </wp:inline>
              </w:drawing>
            </w:r>
          </w:p>
        </w:tc>
      </w:tr>
      <w:tr w:rsidR="006131BF" w:rsidRPr="00687718" w14:paraId="24844ACF" w14:textId="284FBFB8" w:rsidTr="008F0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vAlign w:val="center"/>
          </w:tcPr>
          <w:p w14:paraId="02AF9218" w14:textId="7BB3C408" w:rsidR="006131BF" w:rsidRPr="00687718" w:rsidRDefault="006131BF" w:rsidP="00F7602B">
            <w:pPr>
              <w:pStyle w:val="Tabletext"/>
              <w:rPr>
                <w:rFonts w:asciiTheme="majorHAnsi" w:hAnsiTheme="majorHAnsi"/>
              </w:rPr>
            </w:pPr>
            <w:r w:rsidRPr="00687718">
              <w:rPr>
                <w:rFonts w:asciiTheme="majorHAnsi" w:hAnsiTheme="majorHAnsi"/>
              </w:rPr>
              <w:t>Building skills and capability</w:t>
            </w:r>
          </w:p>
        </w:tc>
        <w:tc>
          <w:tcPr>
            <w:tcW w:w="1170" w:type="dxa"/>
            <w:vAlign w:val="center"/>
          </w:tcPr>
          <w:p w14:paraId="57B27448" w14:textId="03E2F6F7" w:rsidR="00840AD9" w:rsidRPr="000E73BE" w:rsidRDefault="00840AD9" w:rsidP="00F7602B">
            <w:pPr>
              <w:pStyle w:val="Tabletext"/>
              <w:cnfStyle w:val="000000010000" w:firstRow="0" w:lastRow="0" w:firstColumn="0" w:lastColumn="0" w:oddVBand="0" w:evenVBand="0" w:oddHBand="0" w:evenHBand="1" w:firstRowFirstColumn="0" w:firstRowLastColumn="0" w:lastRowFirstColumn="0" w:lastRowLastColumn="0"/>
              <w:rPr>
                <w:rFonts w:ascii="VIC SemiBold" w:hAnsi="VIC SemiBold"/>
                <w:noProof/>
                <w:color w:val="C00000"/>
              </w:rPr>
            </w:pPr>
            <w:r w:rsidRPr="000E73BE">
              <w:rPr>
                <w:rFonts w:ascii="VIC SemiBold" w:hAnsi="VIC SemiBold"/>
                <w:noProof/>
                <w:color w:val="C00000"/>
              </w:rPr>
              <w:drawing>
                <wp:inline distT="0" distB="0" distL="0" distR="0" wp14:anchorId="352906AC" wp14:editId="39CFFB87">
                  <wp:extent cx="409219" cy="411480"/>
                  <wp:effectExtent l="0" t="0" r="0" b="7620"/>
                  <wp:docPr id="108" name="Graphic 108" descr="Building skills and cap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Building skills and capability icon"/>
                          <pic:cNvPicPr/>
                        </pic:nvPicPr>
                        <pic:blipFill>
                          <a:blip r:embed="rId50" cstate="screen">
                            <a:extLst>
                              <a:ext uri="{28A0092B-C50C-407E-A947-70E740481C1C}">
                                <a14:useLocalDpi xmlns:a14="http://schemas.microsoft.com/office/drawing/2010/main"/>
                              </a:ext>
                              <a:ext uri="{96DAC541-7B7A-43D3-8B79-37D633B846F1}">
                                <asvg:svgBlip xmlns:asvg="http://schemas.microsoft.com/office/drawing/2016/SVG/main" r:embed="rId51"/>
                              </a:ext>
                            </a:extLst>
                          </a:blip>
                          <a:stretch>
                            <a:fillRect/>
                          </a:stretch>
                        </pic:blipFill>
                        <pic:spPr>
                          <a:xfrm>
                            <a:off x="0" y="0"/>
                            <a:ext cx="409219" cy="411480"/>
                          </a:xfrm>
                          <a:prstGeom prst="rect">
                            <a:avLst/>
                          </a:prstGeom>
                        </pic:spPr>
                      </pic:pic>
                    </a:graphicData>
                  </a:graphic>
                </wp:inline>
              </w:drawing>
            </w:r>
          </w:p>
        </w:tc>
      </w:tr>
      <w:tr w:rsidR="006131BF" w:rsidRPr="00687718" w14:paraId="6172D40E" w14:textId="091BCA40" w:rsidTr="008F02FA">
        <w:tc>
          <w:tcPr>
            <w:cnfStyle w:val="001000000000" w:firstRow="0" w:lastRow="0" w:firstColumn="1" w:lastColumn="0" w:oddVBand="0" w:evenVBand="0" w:oddHBand="0" w:evenHBand="0" w:firstRowFirstColumn="0" w:firstRowLastColumn="0" w:lastRowFirstColumn="0" w:lastRowLastColumn="0"/>
            <w:tcW w:w="4410" w:type="dxa"/>
            <w:vAlign w:val="center"/>
          </w:tcPr>
          <w:p w14:paraId="04DE5BC2" w14:textId="19D013EF" w:rsidR="006131BF" w:rsidRPr="00687718" w:rsidRDefault="006131BF" w:rsidP="00F7602B">
            <w:pPr>
              <w:pStyle w:val="Tabletext"/>
              <w:rPr>
                <w:rFonts w:asciiTheme="majorHAnsi" w:hAnsiTheme="majorHAnsi"/>
              </w:rPr>
            </w:pPr>
            <w:r w:rsidRPr="00687718">
              <w:rPr>
                <w:rFonts w:asciiTheme="majorHAnsi" w:hAnsiTheme="majorHAnsi"/>
              </w:rPr>
              <w:t>Continuous improvement</w:t>
            </w:r>
          </w:p>
        </w:tc>
        <w:tc>
          <w:tcPr>
            <w:tcW w:w="1170" w:type="dxa"/>
            <w:vAlign w:val="center"/>
          </w:tcPr>
          <w:p w14:paraId="77A79BF2" w14:textId="57D853DB" w:rsidR="00840AD9" w:rsidRPr="000E73BE" w:rsidRDefault="00840AD9" w:rsidP="00F7602B">
            <w:pPr>
              <w:pStyle w:val="Tabletext"/>
              <w:cnfStyle w:val="000000000000" w:firstRow="0" w:lastRow="0" w:firstColumn="0" w:lastColumn="0" w:oddVBand="0" w:evenVBand="0" w:oddHBand="0" w:evenHBand="0" w:firstRowFirstColumn="0" w:firstRowLastColumn="0" w:lastRowFirstColumn="0" w:lastRowLastColumn="0"/>
              <w:rPr>
                <w:rFonts w:ascii="VIC SemiBold" w:hAnsi="VIC SemiBold"/>
                <w:noProof/>
                <w:color w:val="C00000"/>
              </w:rPr>
            </w:pPr>
            <w:r w:rsidRPr="000E73BE">
              <w:rPr>
                <w:rFonts w:ascii="VIC SemiBold" w:hAnsi="VIC SemiBold"/>
                <w:noProof/>
                <w:color w:val="C00000"/>
              </w:rPr>
              <w:drawing>
                <wp:inline distT="0" distB="0" distL="0" distR="0" wp14:anchorId="2115E595" wp14:editId="6139C618">
                  <wp:extent cx="411480" cy="411480"/>
                  <wp:effectExtent l="0" t="0" r="7620" b="7620"/>
                  <wp:docPr id="109" name="Graphic 109" descr="Continuous improv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ontinuous improvement icon"/>
                          <pic:cNvPicPr/>
                        </pic:nvPicPr>
                        <pic:blipFill>
                          <a:blip r:embed="rId52" cstate="screen">
                            <a:extLst>
                              <a:ext uri="{28A0092B-C50C-407E-A947-70E740481C1C}">
                                <a14:useLocalDpi xmlns:a14="http://schemas.microsoft.com/office/drawing/2010/main"/>
                              </a:ext>
                              <a:ext uri="{96DAC541-7B7A-43D3-8B79-37D633B846F1}">
                                <asvg:svgBlip xmlns:asvg="http://schemas.microsoft.com/office/drawing/2016/SVG/main" r:embed="rId53"/>
                              </a:ext>
                            </a:extLst>
                          </a:blip>
                          <a:stretch>
                            <a:fillRect/>
                          </a:stretch>
                        </pic:blipFill>
                        <pic:spPr>
                          <a:xfrm>
                            <a:off x="0" y="0"/>
                            <a:ext cx="411480" cy="411480"/>
                          </a:xfrm>
                          <a:prstGeom prst="rect">
                            <a:avLst/>
                          </a:prstGeom>
                        </pic:spPr>
                      </pic:pic>
                    </a:graphicData>
                  </a:graphic>
                </wp:inline>
              </w:drawing>
            </w:r>
          </w:p>
        </w:tc>
      </w:tr>
    </w:tbl>
    <w:p w14:paraId="057CFA06" w14:textId="77777777" w:rsidR="00E401BD" w:rsidRDefault="00E401BD">
      <w:pPr>
        <w:keepLines w:val="0"/>
        <w:spacing w:before="0" w:after="200" w:line="276" w:lineRule="auto"/>
      </w:pPr>
    </w:p>
    <w:p w14:paraId="7CF90109" w14:textId="77777777" w:rsidR="001C5FD9" w:rsidRDefault="001C5FD9" w:rsidP="00F7602B">
      <w:pPr>
        <w:spacing w:after="60"/>
        <w:rPr>
          <w:rFonts w:ascii="VIC" w:hAnsi="VIC"/>
          <w:color w:val="FFFFFF" w:themeColor="background1"/>
        </w:rPr>
        <w:sectPr w:rsidR="001C5FD9" w:rsidSect="00687718">
          <w:headerReference w:type="even" r:id="rId192"/>
          <w:headerReference w:type="default" r:id="rId193"/>
          <w:footerReference w:type="even" r:id="rId194"/>
          <w:footerReference w:type="default" r:id="rId195"/>
          <w:headerReference w:type="first" r:id="rId196"/>
          <w:footerReference w:type="first" r:id="rId197"/>
          <w:pgSz w:w="11906" w:h="16838" w:code="9"/>
          <w:pgMar w:top="1872" w:right="1440" w:bottom="1440" w:left="1440" w:header="706" w:footer="461" w:gutter="0"/>
          <w:cols w:space="708"/>
          <w:docGrid w:linePitch="360"/>
        </w:sectPr>
      </w:pPr>
    </w:p>
    <w:tbl>
      <w:tblPr>
        <w:tblStyle w:val="DTFtexttable"/>
        <w:tblW w:w="14400" w:type="dxa"/>
        <w:tblLayout w:type="fixed"/>
        <w:tblCellMar>
          <w:left w:w="86" w:type="dxa"/>
          <w:right w:w="86" w:type="dxa"/>
        </w:tblCellMar>
        <w:tblLook w:val="04A0" w:firstRow="1" w:lastRow="0" w:firstColumn="1" w:lastColumn="0" w:noHBand="0" w:noVBand="1"/>
      </w:tblPr>
      <w:tblGrid>
        <w:gridCol w:w="2250"/>
        <w:gridCol w:w="2700"/>
        <w:gridCol w:w="7020"/>
        <w:gridCol w:w="2430"/>
      </w:tblGrid>
      <w:tr w:rsidR="001C5FD9" w:rsidRPr="004B5A4E" w14:paraId="14A93765" w14:textId="77777777" w:rsidTr="00742E78">
        <w:trPr>
          <w:cnfStyle w:val="100000000000" w:firstRow="1" w:lastRow="0" w:firstColumn="0" w:lastColumn="0" w:oddVBand="0" w:evenVBand="0" w:oddHBand="0" w:evenHBand="0" w:firstRowFirstColumn="0" w:firstRowLastColumn="0" w:lastRowFirstColumn="0" w:lastRowLastColumn="0"/>
          <w:cantSplit w:val="0"/>
          <w:tblHeader/>
        </w:trPr>
        <w:tc>
          <w:tcPr>
            <w:cnfStyle w:val="001000000100" w:firstRow="0" w:lastRow="0" w:firstColumn="1" w:lastColumn="0" w:oddVBand="0" w:evenVBand="0" w:oddHBand="0" w:evenHBand="0" w:firstRowFirstColumn="1" w:firstRowLastColumn="0" w:lastRowFirstColumn="0" w:lastRowLastColumn="0"/>
            <w:tcW w:w="2250" w:type="dxa"/>
          </w:tcPr>
          <w:p w14:paraId="2C79645D" w14:textId="77777777" w:rsidR="001C5FD9" w:rsidRPr="004B5A4E" w:rsidRDefault="001C5FD9" w:rsidP="00F45635">
            <w:pPr>
              <w:pStyle w:val="Tableheader"/>
            </w:pPr>
            <w:r w:rsidRPr="004B5A4E">
              <w:t>Key legislation/policy</w:t>
            </w:r>
          </w:p>
        </w:tc>
        <w:tc>
          <w:tcPr>
            <w:tcW w:w="2700" w:type="dxa"/>
          </w:tcPr>
          <w:p w14:paraId="480C14A2" w14:textId="77777777" w:rsidR="001C5FD9" w:rsidRPr="004B5A4E" w:rsidRDefault="001C5FD9" w:rsidP="00F45635">
            <w:pPr>
              <w:pStyle w:val="Tableheader"/>
              <w:cnfStyle w:val="100000000000" w:firstRow="1" w:lastRow="0" w:firstColumn="0" w:lastColumn="0" w:oddVBand="0" w:evenVBand="0" w:oddHBand="0" w:evenHBand="0" w:firstRowFirstColumn="0" w:firstRowLastColumn="0" w:lastRowFirstColumn="0" w:lastRowLastColumn="0"/>
            </w:pPr>
            <w:r w:rsidRPr="004B5A4E">
              <w:t>Purpose</w:t>
            </w:r>
          </w:p>
        </w:tc>
        <w:tc>
          <w:tcPr>
            <w:tcW w:w="7020" w:type="dxa"/>
          </w:tcPr>
          <w:p w14:paraId="12806452" w14:textId="77777777" w:rsidR="001C5FD9" w:rsidRPr="004B5A4E" w:rsidRDefault="001C5FD9" w:rsidP="00F45635">
            <w:pPr>
              <w:pStyle w:val="Tableheader"/>
              <w:cnfStyle w:val="100000000000" w:firstRow="1" w:lastRow="0" w:firstColumn="0" w:lastColumn="0" w:oddVBand="0" w:evenVBand="0" w:oddHBand="0" w:evenHBand="0" w:firstRowFirstColumn="0" w:firstRowLastColumn="0" w:lastRowFirstColumn="0" w:lastRowLastColumn="0"/>
            </w:pPr>
            <w:r w:rsidRPr="004B5A4E">
              <w:t>Impact on construction procurement/infrastructure delivery</w:t>
            </w:r>
          </w:p>
        </w:tc>
        <w:tc>
          <w:tcPr>
            <w:tcW w:w="2430" w:type="dxa"/>
          </w:tcPr>
          <w:p w14:paraId="62954C9E" w14:textId="77777777" w:rsidR="001C5FD9" w:rsidRPr="004B5A4E" w:rsidRDefault="001C5FD9" w:rsidP="00F45635">
            <w:pPr>
              <w:pStyle w:val="Tableheader"/>
              <w:cnfStyle w:val="100000000000" w:firstRow="1" w:lastRow="0" w:firstColumn="0" w:lastColumn="0" w:oddVBand="0" w:evenVBand="0" w:oddHBand="0" w:evenHBand="0" w:firstRowFirstColumn="0" w:firstRowLastColumn="0" w:lastRowFirstColumn="0" w:lastRowLastColumn="0"/>
            </w:pPr>
            <w:r w:rsidRPr="004B5A4E">
              <w:t>Procurement stage</w:t>
            </w:r>
          </w:p>
        </w:tc>
      </w:tr>
      <w:tr w:rsidR="001C5FD9" w:rsidRPr="005C167D" w14:paraId="4925855B"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14400" w:type="dxa"/>
            <w:gridSpan w:val="4"/>
            <w:shd w:val="clear" w:color="auto" w:fill="EEDEF1" w:themeFill="accent2" w:themeFillTint="33"/>
          </w:tcPr>
          <w:p w14:paraId="3ABEEA0B" w14:textId="77777777" w:rsidR="001C5FD9" w:rsidRPr="005C167D" w:rsidRDefault="001C5FD9" w:rsidP="00F7602B">
            <w:pPr>
              <w:rPr>
                <w:rFonts w:asciiTheme="majorHAnsi" w:hAnsiTheme="majorHAnsi"/>
                <w:sz w:val="18"/>
                <w:szCs w:val="18"/>
              </w:rPr>
            </w:pPr>
            <w:r w:rsidRPr="005C167D">
              <w:rPr>
                <w:rFonts w:asciiTheme="majorHAnsi" w:hAnsiTheme="majorHAnsi"/>
                <w:sz w:val="18"/>
                <w:szCs w:val="18"/>
              </w:rPr>
              <w:t>Legislation</w:t>
            </w:r>
          </w:p>
        </w:tc>
      </w:tr>
      <w:tr w:rsidR="001C5FD9" w:rsidRPr="004B5A4E" w14:paraId="40B9ECC2"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400" w:type="dxa"/>
            <w:gridSpan w:val="4"/>
          </w:tcPr>
          <w:p w14:paraId="3F79DA56" w14:textId="0432CE71" w:rsidR="001C5FD9" w:rsidRPr="00F45635" w:rsidRDefault="001C5FD9" w:rsidP="00F7602B">
            <w:pPr>
              <w:rPr>
                <w:rFonts w:ascii="VIC" w:hAnsi="VIC"/>
                <w:sz w:val="18"/>
                <w:szCs w:val="18"/>
              </w:rPr>
            </w:pPr>
            <w:r w:rsidRPr="00F45635">
              <w:rPr>
                <w:rFonts w:ascii="VIC" w:hAnsi="VIC"/>
                <w:sz w:val="18"/>
                <w:szCs w:val="18"/>
              </w:rPr>
              <w:t>Key enabling legislative frameworks and instruments</w:t>
            </w:r>
            <w:r w:rsidRPr="00F45635">
              <w:rPr>
                <w:rFonts w:ascii="VIC" w:hAnsi="VIC"/>
                <w:i/>
                <w:sz w:val="18"/>
                <w:szCs w:val="18"/>
              </w:rPr>
              <w:t xml:space="preserve">: </w:t>
            </w:r>
            <w:r w:rsidRPr="00F45635">
              <w:rPr>
                <w:rFonts w:ascii="VIC" w:hAnsi="VIC"/>
                <w:sz w:val="18"/>
                <w:szCs w:val="18"/>
              </w:rPr>
              <w:t>Primary legislation that provides the legal framework for infrastructure procurement and construction in Victoria</w:t>
            </w:r>
          </w:p>
        </w:tc>
      </w:tr>
      <w:tr w:rsidR="001C5FD9" w:rsidRPr="004B5A4E" w14:paraId="153839B8"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37BCAE50" w14:textId="07FA16A3" w:rsidR="001C5FD9" w:rsidRPr="00D21F77" w:rsidRDefault="001C5FD9" w:rsidP="00F7602B">
            <w:pPr>
              <w:rPr>
                <w:rFonts w:ascii="VIC" w:hAnsi="VIC"/>
                <w:szCs w:val="20"/>
              </w:rPr>
            </w:pPr>
            <w:r w:rsidRPr="00171CF8">
              <w:rPr>
                <w:rFonts w:ascii="VIC" w:hAnsi="VIC"/>
                <w:i/>
              </w:rPr>
              <w:t>Financial Management Act 1994</w:t>
            </w:r>
            <w:r w:rsidRPr="00C71297">
              <w:rPr>
                <w:rFonts w:ascii="VIC" w:hAnsi="VIC"/>
                <w:iCs/>
              </w:rPr>
              <w:t xml:space="preserve"> </w:t>
            </w:r>
            <w:r w:rsidR="009B4E97" w:rsidRPr="009B4E97">
              <w:rPr>
                <w:rFonts w:ascii="VIC" w:hAnsi="VIC"/>
                <w:iCs/>
              </w:rPr>
              <w:t>(Vic)</w:t>
            </w:r>
            <w:r w:rsidR="009B4E97">
              <w:rPr>
                <w:rFonts w:ascii="VIC" w:hAnsi="VIC"/>
                <w:iCs/>
              </w:rPr>
              <w:t xml:space="preserve"> </w:t>
            </w:r>
            <w:r w:rsidRPr="00D21F77">
              <w:rPr>
                <w:rFonts w:ascii="VIC" w:hAnsi="VIC"/>
                <w:szCs w:val="20"/>
              </w:rPr>
              <w:t>(FMA)</w:t>
            </w:r>
          </w:p>
          <w:p w14:paraId="5C77F2C0" w14:textId="24FE13D4" w:rsidR="001C5FD9" w:rsidRPr="00D21F77" w:rsidRDefault="00FA33F5" w:rsidP="00F7602B">
            <w:pPr>
              <w:rPr>
                <w:rFonts w:ascii="VIC" w:hAnsi="VIC"/>
                <w:szCs w:val="20"/>
              </w:rPr>
            </w:pPr>
            <w:r w:rsidRPr="000E73BE">
              <w:rPr>
                <w:rFonts w:ascii="VIC SemiBold" w:hAnsi="VIC SemiBold"/>
                <w:noProof/>
                <w:color w:val="C00000"/>
              </w:rPr>
              <w:drawing>
                <wp:inline distT="0" distB="0" distL="0" distR="0" wp14:anchorId="424B651C" wp14:editId="6172CCBE">
                  <wp:extent cx="411480" cy="411480"/>
                  <wp:effectExtent l="0" t="0" r="0" b="7620"/>
                  <wp:docPr id="93" name="Graphic 93"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008F02FA" w:rsidRPr="000E73BE">
              <w:rPr>
                <w:rFonts w:ascii="VIC SemiBold" w:hAnsi="VIC SemiBold"/>
                <w:noProof/>
                <w:color w:val="C00000"/>
              </w:rPr>
              <w:drawing>
                <wp:inline distT="0" distB="0" distL="0" distR="0" wp14:anchorId="58CB26B5" wp14:editId="0498C426">
                  <wp:extent cx="411480" cy="411480"/>
                  <wp:effectExtent l="0" t="0" r="7620" b="7620"/>
                  <wp:docPr id="81" name="Graphic 81"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c>
          <w:tcPr>
            <w:tcW w:w="2700" w:type="dxa"/>
          </w:tcPr>
          <w:p w14:paraId="01292229" w14:textId="58050614" w:rsidR="00FC6B38"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cstheme="minorHAnsi"/>
                <w:szCs w:val="17"/>
              </w:rPr>
            </w:pPr>
            <w:r w:rsidRPr="00504DD2">
              <w:rPr>
                <w:rFonts w:ascii="VIC" w:hAnsi="VIC" w:cstheme="minorHAnsi" w:hint="eastAsia"/>
                <w:szCs w:val="17"/>
              </w:rPr>
              <w:t>Drives accountability for prudent financial management in the public sector</w:t>
            </w:r>
          </w:p>
          <w:p w14:paraId="00A898BB" w14:textId="53C72214"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cstheme="minorHAnsi"/>
                <w:szCs w:val="17"/>
              </w:rPr>
            </w:pPr>
            <w:r w:rsidRPr="00504DD2">
              <w:rPr>
                <w:rFonts w:ascii="VIC" w:hAnsi="VIC" w:cstheme="minorHAnsi" w:hint="eastAsia"/>
                <w:szCs w:val="17"/>
              </w:rPr>
              <w:t>Outlines the processes that must be used by public sector agencies in managing and expending public monies</w:t>
            </w:r>
          </w:p>
        </w:tc>
        <w:tc>
          <w:tcPr>
            <w:tcW w:w="7020" w:type="dxa"/>
          </w:tcPr>
          <w:p w14:paraId="5EF7DD67" w14:textId="13D18638" w:rsidR="001C5FD9" w:rsidRPr="009E7AC7" w:rsidRDefault="00341DAC"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3784E809">
              <w:rPr>
                <w:rFonts w:ascii="VIC" w:hAnsi="VIC" w:hint="eastAsia"/>
              </w:rPr>
              <w:t xml:space="preserve">This legislation requires </w:t>
            </w:r>
            <w:r w:rsidR="001C5FD9" w:rsidRPr="3784E809">
              <w:rPr>
                <w:rFonts w:ascii="VIC" w:hAnsi="VIC" w:hint="eastAsia"/>
              </w:rPr>
              <w:t xml:space="preserve">the Treasurer and Assistant Treasurer to account to </w:t>
            </w:r>
            <w:r w:rsidR="004F61CD">
              <w:rPr>
                <w:rFonts w:ascii="VIC" w:hAnsi="VIC"/>
              </w:rPr>
              <w:t>P</w:t>
            </w:r>
            <w:r w:rsidR="001C5FD9" w:rsidRPr="3784E809">
              <w:rPr>
                <w:rFonts w:ascii="VIC" w:hAnsi="VIC"/>
              </w:rPr>
              <w:t>arliament</w:t>
            </w:r>
            <w:r w:rsidR="001C5FD9" w:rsidRPr="3784E809">
              <w:rPr>
                <w:rFonts w:ascii="VIC" w:hAnsi="VIC" w:hint="eastAsia"/>
              </w:rPr>
              <w:t xml:space="preserve"> for the </w:t>
            </w:r>
            <w:r w:rsidR="00094F3F">
              <w:rPr>
                <w:rFonts w:ascii="VIC" w:hAnsi="VIC"/>
              </w:rPr>
              <w:t>G</w:t>
            </w:r>
            <w:r w:rsidR="00F36657" w:rsidRPr="3784E809">
              <w:rPr>
                <w:rFonts w:ascii="VIC" w:hAnsi="VIC"/>
              </w:rPr>
              <w:t>overnment</w:t>
            </w:r>
            <w:r w:rsidR="00344D3F">
              <w:rPr>
                <w:rFonts w:ascii="VIC" w:hAnsi="VIC"/>
              </w:rPr>
              <w:t>’</w:t>
            </w:r>
            <w:r w:rsidR="001C5FD9" w:rsidRPr="3784E809">
              <w:rPr>
                <w:rFonts w:ascii="VIC" w:hAnsi="VIC"/>
              </w:rPr>
              <w:t>s</w:t>
            </w:r>
            <w:r w:rsidR="001C5FD9" w:rsidRPr="3784E809">
              <w:rPr>
                <w:rFonts w:ascii="VIC" w:hAnsi="VIC" w:hint="eastAsia"/>
              </w:rPr>
              <w:t xml:space="preserve"> overall financial performance, including delivery of </w:t>
            </w:r>
            <w:r w:rsidR="005B524B">
              <w:rPr>
                <w:rFonts w:ascii="VIC" w:hAnsi="VIC" w:hint="eastAsia"/>
              </w:rPr>
              <w:t>the Government</w:t>
            </w:r>
            <w:r w:rsidR="00344D3F">
              <w:rPr>
                <w:rFonts w:ascii="VIC" w:hAnsi="VIC"/>
              </w:rPr>
              <w:t>’</w:t>
            </w:r>
            <w:r w:rsidR="001C5FD9" w:rsidRPr="3784E809">
              <w:rPr>
                <w:rFonts w:ascii="VIC" w:hAnsi="VIC" w:hint="eastAsia"/>
              </w:rPr>
              <w:t>s capital program.</w:t>
            </w:r>
          </w:p>
          <w:p w14:paraId="65F59D58" w14:textId="6476F6DD" w:rsidR="001C5FD9" w:rsidRPr="009E7AC7" w:rsidRDefault="001C5FD9" w:rsidP="00F7602B">
            <w:pPr>
              <w:spacing w:before="100" w:after="100"/>
              <w:cnfStyle w:val="000000000000" w:firstRow="0" w:lastRow="0" w:firstColumn="0" w:lastColumn="0" w:oddVBand="0" w:evenVBand="0" w:oddHBand="0" w:evenHBand="0" w:firstRowFirstColumn="0" w:firstRowLastColumn="0" w:lastRowFirstColumn="0" w:lastRowLastColumn="0"/>
              <w:rPr>
                <w:rFonts w:ascii="VIC" w:eastAsia="Times New Roman" w:hAnsi="VIC"/>
                <w:szCs w:val="17"/>
              </w:rPr>
            </w:pPr>
            <w:r w:rsidRPr="00504DD2">
              <w:rPr>
                <w:rFonts w:ascii="VIC" w:eastAsia="Times New Roman" w:hAnsi="VIC"/>
                <w:szCs w:val="17"/>
              </w:rPr>
              <w:t xml:space="preserve">DTF administers the FMA and supports the Treasurer and Assistant Treasurer </w:t>
            </w:r>
            <w:r w:rsidR="00925987">
              <w:rPr>
                <w:rFonts w:ascii="VIC" w:eastAsia="Times New Roman" w:hAnsi="VIC"/>
                <w:szCs w:val="17"/>
              </w:rPr>
              <w:t>to</w:t>
            </w:r>
            <w:r w:rsidR="00925987" w:rsidRPr="00504DD2">
              <w:rPr>
                <w:rFonts w:ascii="VIC" w:eastAsia="Times New Roman" w:hAnsi="VIC"/>
                <w:szCs w:val="17"/>
              </w:rPr>
              <w:t xml:space="preserve"> </w:t>
            </w:r>
            <w:r w:rsidRPr="00504DD2">
              <w:rPr>
                <w:rFonts w:ascii="VIC" w:eastAsia="Times New Roman" w:hAnsi="VIC"/>
                <w:szCs w:val="17"/>
              </w:rPr>
              <w:t xml:space="preserve">acquit their responsibilities under the FMA for prudent management of </w:t>
            </w:r>
            <w:r w:rsidR="00925987">
              <w:rPr>
                <w:rFonts w:ascii="VIC" w:eastAsia="Times New Roman" w:hAnsi="VIC"/>
                <w:szCs w:val="17"/>
              </w:rPr>
              <w:t>g</w:t>
            </w:r>
            <w:r w:rsidR="00DB26B4">
              <w:rPr>
                <w:rFonts w:ascii="VIC" w:eastAsia="Times New Roman" w:hAnsi="VIC"/>
                <w:szCs w:val="17"/>
              </w:rPr>
              <w:t>overnment</w:t>
            </w:r>
            <w:r w:rsidRPr="00504DD2">
              <w:rPr>
                <w:rFonts w:ascii="VIC" w:eastAsia="Times New Roman" w:hAnsi="VIC"/>
                <w:szCs w:val="17"/>
              </w:rPr>
              <w:t xml:space="preserve"> finances.</w:t>
            </w:r>
          </w:p>
          <w:p w14:paraId="1AA237FA" w14:textId="0CCD98F9" w:rsidR="001C5FD9" w:rsidRPr="009E7AC7" w:rsidRDefault="00341DAC"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74B91517">
              <w:rPr>
                <w:rFonts w:ascii="VIC" w:hAnsi="VIC" w:hint="eastAsia"/>
              </w:rPr>
              <w:t>The FMA requires</w:t>
            </w:r>
            <w:r w:rsidR="001C5FD9" w:rsidRPr="74B91517">
              <w:rPr>
                <w:rFonts w:ascii="VIC" w:hAnsi="VIC" w:hint="eastAsia"/>
              </w:rPr>
              <w:t xml:space="preserve"> agencies and </w:t>
            </w:r>
            <w:r w:rsidR="00925987">
              <w:rPr>
                <w:rFonts w:ascii="VIC" w:hAnsi="VIC"/>
              </w:rPr>
              <w:t>r</w:t>
            </w:r>
            <w:r w:rsidR="00925987" w:rsidRPr="74B91517">
              <w:rPr>
                <w:rFonts w:ascii="VIC" w:hAnsi="VIC" w:hint="eastAsia"/>
              </w:rPr>
              <w:t xml:space="preserve">esponsible </w:t>
            </w:r>
            <w:r w:rsidR="00925987">
              <w:rPr>
                <w:rFonts w:ascii="VIC" w:hAnsi="VIC"/>
              </w:rPr>
              <w:t>m</w:t>
            </w:r>
            <w:r w:rsidR="00925987" w:rsidRPr="74B91517">
              <w:rPr>
                <w:rFonts w:ascii="VIC" w:hAnsi="VIC" w:hint="eastAsia"/>
              </w:rPr>
              <w:t xml:space="preserve">inisters </w:t>
            </w:r>
            <w:r w:rsidR="001C5FD9" w:rsidRPr="74B91517">
              <w:rPr>
                <w:rFonts w:ascii="VIC" w:hAnsi="VIC" w:hint="eastAsia"/>
              </w:rPr>
              <w:t>to govern and be accountable for financial management, performance and risk management in relation to the expenditure of public monies, including in relation to the procurement of infrastructure.</w:t>
            </w:r>
          </w:p>
          <w:p w14:paraId="5C4A20B9" w14:textId="0EDC13E8"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74B91517">
              <w:rPr>
                <w:rFonts w:ascii="VIC" w:hAnsi="VIC" w:hint="eastAsia"/>
              </w:rPr>
              <w:t>Clause</w:t>
            </w:r>
            <w:r w:rsidR="00341DAC" w:rsidRPr="74B91517">
              <w:rPr>
                <w:rFonts w:ascii="Calibri" w:hAnsi="Calibri" w:cs="Calibri" w:hint="eastAsia"/>
              </w:rPr>
              <w:t> </w:t>
            </w:r>
            <w:r w:rsidRPr="74B91517">
              <w:rPr>
                <w:rFonts w:ascii="VIC" w:hAnsi="VIC" w:hint="eastAsia"/>
              </w:rPr>
              <w:t>23D sets out principles for sound financial management that agencies must apply when undertaking procurement activities to prudently manage financial risks.</w:t>
            </w:r>
          </w:p>
          <w:p w14:paraId="060A4B71" w14:textId="392F4020" w:rsidR="00B7250C"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4499E9B0">
              <w:rPr>
                <w:rFonts w:ascii="VIC" w:hAnsi="VIC" w:hint="eastAsia"/>
              </w:rPr>
              <w:t>Part</w:t>
            </w:r>
            <w:r w:rsidR="00B42AB5" w:rsidRPr="4499E9B0">
              <w:rPr>
                <w:rFonts w:ascii="Calibri" w:hAnsi="Calibri" w:cs="Calibri" w:hint="eastAsia"/>
              </w:rPr>
              <w:t> </w:t>
            </w:r>
            <w:r w:rsidRPr="4499E9B0">
              <w:rPr>
                <w:rFonts w:ascii="VIC" w:hAnsi="VIC" w:hint="eastAsia"/>
              </w:rPr>
              <w:t>7B governs the rules for obtaining land for the construction of any public works or infrastructure.</w:t>
            </w:r>
          </w:p>
          <w:p w14:paraId="22D64E2C" w14:textId="6DC9A376" w:rsidR="001C5FD9" w:rsidRPr="009E7AC7" w:rsidRDefault="00894832" w:rsidP="00F7602B">
            <w:pPr>
              <w:cnfStyle w:val="000000000000" w:firstRow="0" w:lastRow="0" w:firstColumn="0" w:lastColumn="0" w:oddVBand="0" w:evenVBand="0" w:oddHBand="0" w:evenHBand="0" w:firstRowFirstColumn="0" w:firstRowLastColumn="0" w:lastRowFirstColumn="0" w:lastRowLastColumn="0"/>
              <w:rPr>
                <w:rFonts w:ascii="VIC" w:hAnsi="VIC" w:cstheme="minorHAnsi"/>
                <w:szCs w:val="17"/>
              </w:rPr>
            </w:pPr>
            <w:hyperlink r:id="rId198" w:history="1">
              <w:r w:rsidR="00925987">
                <w:rPr>
                  <w:rFonts w:ascii="VIC" w:hAnsi="VIC" w:cstheme="minorHAnsi" w:hint="eastAsia"/>
                  <w:color w:val="53565A" w:themeColor="hyperlink"/>
                  <w:szCs w:val="17"/>
                  <w:u w:val="single"/>
                </w:rPr>
                <w:t>https://www.legislation.vic.gov.au/in-force/acts/financial-management-act-1994</w:t>
              </w:r>
            </w:hyperlink>
          </w:p>
        </w:tc>
        <w:tc>
          <w:tcPr>
            <w:tcW w:w="2430" w:type="dxa"/>
          </w:tcPr>
          <w:p w14:paraId="1281B638" w14:textId="77777777"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zCs w:val="17"/>
              </w:rPr>
            </w:pPr>
            <w:r w:rsidRPr="00504DD2">
              <w:rPr>
                <w:rFonts w:ascii="VIC" w:hAnsi="VIC" w:hint="eastAsia"/>
                <w:szCs w:val="17"/>
              </w:rPr>
              <w:t>Whole of investment lifecycle</w:t>
            </w:r>
          </w:p>
        </w:tc>
      </w:tr>
      <w:tr w:rsidR="001C5FD9" w:rsidRPr="004B5A4E" w14:paraId="279EFB0E"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290B043D" w14:textId="577508C8" w:rsidR="001C5FD9" w:rsidRDefault="001C5FD9" w:rsidP="00F7602B">
            <w:pPr>
              <w:rPr>
                <w:rFonts w:ascii="VIC" w:hAnsi="VIC"/>
                <w:szCs w:val="20"/>
              </w:rPr>
            </w:pPr>
            <w:r w:rsidRPr="00171CF8">
              <w:rPr>
                <w:rFonts w:ascii="VIC" w:hAnsi="VIC"/>
              </w:rPr>
              <w:t xml:space="preserve">Standing Directions </w:t>
            </w:r>
            <w:r w:rsidR="000B333F" w:rsidRPr="00171CF8">
              <w:rPr>
                <w:rFonts w:ascii="VIC" w:hAnsi="VIC"/>
              </w:rPr>
              <w:t>2018</w:t>
            </w:r>
            <w:r w:rsidR="000B333F">
              <w:rPr>
                <w:rFonts w:ascii="VIC" w:hAnsi="VIC"/>
              </w:rPr>
              <w:t xml:space="preserve"> </w:t>
            </w:r>
            <w:r w:rsidRPr="00D21F77">
              <w:rPr>
                <w:rFonts w:ascii="VIC" w:hAnsi="VIC"/>
                <w:szCs w:val="20"/>
              </w:rPr>
              <w:t xml:space="preserve">under the </w:t>
            </w:r>
            <w:r w:rsidRPr="001D7750">
              <w:rPr>
                <w:rFonts w:ascii="VIC" w:hAnsi="VIC"/>
                <w:i/>
                <w:iCs/>
              </w:rPr>
              <w:t>F</w:t>
            </w:r>
            <w:r w:rsidR="00230FA8" w:rsidRPr="001D7750">
              <w:rPr>
                <w:rFonts w:ascii="VIC" w:hAnsi="VIC"/>
                <w:i/>
                <w:iCs/>
              </w:rPr>
              <w:t xml:space="preserve">inancial </w:t>
            </w:r>
            <w:r w:rsidRPr="001D7750">
              <w:rPr>
                <w:rFonts w:ascii="VIC" w:hAnsi="VIC"/>
                <w:i/>
                <w:iCs/>
              </w:rPr>
              <w:t>M</w:t>
            </w:r>
            <w:r w:rsidR="00230FA8" w:rsidRPr="001D7750">
              <w:rPr>
                <w:rFonts w:ascii="VIC" w:hAnsi="VIC"/>
                <w:i/>
                <w:iCs/>
              </w:rPr>
              <w:t xml:space="preserve">anagement </w:t>
            </w:r>
            <w:r w:rsidRPr="001D7750">
              <w:rPr>
                <w:rFonts w:ascii="VIC" w:hAnsi="VIC"/>
                <w:i/>
                <w:iCs/>
              </w:rPr>
              <w:t>A</w:t>
            </w:r>
            <w:r w:rsidR="00230FA8" w:rsidRPr="001D7750">
              <w:rPr>
                <w:rFonts w:ascii="VIC" w:hAnsi="VIC"/>
                <w:i/>
                <w:iCs/>
              </w:rPr>
              <w:t>ct 1994</w:t>
            </w:r>
            <w:r w:rsidR="00230FA8">
              <w:rPr>
                <w:rFonts w:ascii="VIC" w:hAnsi="VIC"/>
                <w:szCs w:val="20"/>
              </w:rPr>
              <w:t xml:space="preserve"> </w:t>
            </w:r>
          </w:p>
          <w:p w14:paraId="7C3DCF37" w14:textId="57A3F060" w:rsidR="00230FA8" w:rsidRPr="00230FA8" w:rsidRDefault="00230FA8" w:rsidP="00F7602B">
            <w:pPr>
              <w:rPr>
                <w:rFonts w:ascii="VIC" w:hAnsi="VIC"/>
                <w:szCs w:val="20"/>
              </w:rPr>
            </w:pPr>
            <w:r w:rsidRPr="00230FA8">
              <w:rPr>
                <w:rFonts w:ascii="VIC" w:hAnsi="VIC" w:hint="eastAsia"/>
                <w:szCs w:val="20"/>
              </w:rPr>
              <w:t xml:space="preserve">Instructions </w:t>
            </w:r>
            <w:r w:rsidR="003A6745">
              <w:rPr>
                <w:rFonts w:ascii="VIC" w:hAnsi="VIC"/>
                <w:szCs w:val="20"/>
              </w:rPr>
              <w:t>S</w:t>
            </w:r>
            <w:r w:rsidRPr="00230FA8">
              <w:rPr>
                <w:rFonts w:ascii="VIC" w:hAnsi="VIC" w:hint="eastAsia"/>
                <w:szCs w:val="20"/>
              </w:rPr>
              <w:t>upporting the Standing Directions 2018</w:t>
            </w:r>
            <w:r>
              <w:rPr>
                <w:rFonts w:ascii="VIC" w:hAnsi="VIC"/>
                <w:szCs w:val="20"/>
              </w:rPr>
              <w:t xml:space="preserve"> </w:t>
            </w:r>
            <w:r w:rsidRPr="00D21F77">
              <w:rPr>
                <w:rFonts w:ascii="VIC" w:hAnsi="VIC"/>
                <w:szCs w:val="20"/>
              </w:rPr>
              <w:t xml:space="preserve">under the </w:t>
            </w:r>
            <w:r w:rsidRPr="00E5770A">
              <w:rPr>
                <w:rFonts w:ascii="VIC" w:hAnsi="VIC"/>
                <w:i/>
                <w:iCs/>
                <w:szCs w:val="20"/>
              </w:rPr>
              <w:t>Financial Management Act 1994</w:t>
            </w:r>
          </w:p>
          <w:p w14:paraId="26AE5B13" w14:textId="08BD79C4" w:rsidR="001C5FD9" w:rsidRPr="00D21F77" w:rsidRDefault="00FA33F5" w:rsidP="00F7602B">
            <w:pPr>
              <w:rPr>
                <w:rFonts w:ascii="VIC" w:hAnsi="VIC"/>
                <w:szCs w:val="20"/>
              </w:rPr>
            </w:pPr>
            <w:r w:rsidRPr="000E73BE">
              <w:rPr>
                <w:rFonts w:ascii="VIC SemiBold" w:hAnsi="VIC SemiBold"/>
                <w:noProof/>
                <w:color w:val="C00000"/>
              </w:rPr>
              <w:drawing>
                <wp:inline distT="0" distB="0" distL="0" distR="0" wp14:anchorId="67F4FFE2" wp14:editId="3D097D55">
                  <wp:extent cx="411480" cy="411480"/>
                  <wp:effectExtent l="0" t="0" r="0" b="7620"/>
                  <wp:docPr id="94" name="Graphic 94"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008F02FA" w:rsidRPr="000E73BE">
              <w:rPr>
                <w:rFonts w:ascii="VIC SemiBold" w:hAnsi="VIC SemiBold"/>
                <w:noProof/>
                <w:color w:val="C00000"/>
              </w:rPr>
              <w:drawing>
                <wp:inline distT="0" distB="0" distL="0" distR="0" wp14:anchorId="23A3807F" wp14:editId="52855131">
                  <wp:extent cx="411480" cy="411480"/>
                  <wp:effectExtent l="0" t="0" r="7620" b="7620"/>
                  <wp:docPr id="83" name="Graphic 83"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c>
          <w:tcPr>
            <w:tcW w:w="2700" w:type="dxa"/>
          </w:tcPr>
          <w:p w14:paraId="09E8A340" w14:textId="64BBD594"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504DD2">
              <w:rPr>
                <w:rFonts w:ascii="VIC" w:hAnsi="VIC" w:hint="eastAsia"/>
                <w:szCs w:val="17"/>
              </w:rPr>
              <w:t>Provides agencies with supplementary guidance for complying with the FMA</w:t>
            </w:r>
          </w:p>
          <w:p w14:paraId="3CCB7C55" w14:textId="14FD7353"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504DD2">
              <w:rPr>
                <w:rFonts w:ascii="VIC" w:hAnsi="VIC" w:hint="eastAsia"/>
                <w:szCs w:val="17"/>
              </w:rPr>
              <w:t>Provides more detailed mandatory requirements, processes and financial controls to address specific areas of accountability and risk</w:t>
            </w:r>
          </w:p>
        </w:tc>
        <w:tc>
          <w:tcPr>
            <w:tcW w:w="7020" w:type="dxa"/>
          </w:tcPr>
          <w:p w14:paraId="656D978D" w14:textId="5A5FAC7D" w:rsidR="001C5FD9" w:rsidRPr="009E7AC7" w:rsidRDefault="00B42AB5"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504DD2">
              <w:rPr>
                <w:rFonts w:ascii="VIC" w:hAnsi="VIC" w:hint="eastAsia"/>
                <w:szCs w:val="17"/>
              </w:rPr>
              <w:t>The</w:t>
            </w:r>
            <w:r w:rsidR="00925987">
              <w:rPr>
                <w:rFonts w:ascii="VIC" w:hAnsi="VIC"/>
                <w:szCs w:val="17"/>
              </w:rPr>
              <w:t xml:space="preserve"> directions and instructions</w:t>
            </w:r>
            <w:r w:rsidRPr="00504DD2">
              <w:rPr>
                <w:rFonts w:ascii="VIC" w:hAnsi="VIC" w:hint="eastAsia"/>
                <w:szCs w:val="17"/>
              </w:rPr>
              <w:t xml:space="preserve"> require</w:t>
            </w:r>
            <w:r w:rsidR="001C5FD9" w:rsidRPr="00504DD2">
              <w:rPr>
                <w:rFonts w:ascii="VIC" w:hAnsi="VIC" w:hint="eastAsia"/>
                <w:szCs w:val="17"/>
              </w:rPr>
              <w:t xml:space="preserve"> agencies and </w:t>
            </w:r>
            <w:r w:rsidR="00925987">
              <w:rPr>
                <w:rFonts w:ascii="VIC" w:hAnsi="VIC"/>
                <w:szCs w:val="17"/>
              </w:rPr>
              <w:t>r</w:t>
            </w:r>
            <w:r w:rsidR="001C5FD9" w:rsidRPr="00504DD2">
              <w:rPr>
                <w:rFonts w:ascii="VIC" w:hAnsi="VIC" w:hint="eastAsia"/>
                <w:szCs w:val="17"/>
              </w:rPr>
              <w:t xml:space="preserve">esponsible </w:t>
            </w:r>
            <w:r w:rsidR="00925987">
              <w:rPr>
                <w:rFonts w:ascii="VIC" w:hAnsi="VIC"/>
                <w:szCs w:val="17"/>
              </w:rPr>
              <w:t>m</w:t>
            </w:r>
            <w:r w:rsidR="001C5FD9" w:rsidRPr="00504DD2">
              <w:rPr>
                <w:rFonts w:ascii="VIC" w:hAnsi="VIC" w:hint="eastAsia"/>
                <w:szCs w:val="17"/>
              </w:rPr>
              <w:t>inisters to be accountable for setting and delivering appropriate priorities and strategic initiatives</w:t>
            </w:r>
            <w:r w:rsidR="27880B87" w:rsidRPr="00504DD2">
              <w:rPr>
                <w:rFonts w:ascii="VIC" w:hAnsi="VIC" w:hint="eastAsia"/>
                <w:szCs w:val="17"/>
              </w:rPr>
              <w:t>,</w:t>
            </w:r>
            <w:r w:rsidR="001C5FD9" w:rsidRPr="00504DD2">
              <w:rPr>
                <w:rFonts w:ascii="VIC" w:hAnsi="VIC" w:hint="eastAsia"/>
                <w:szCs w:val="17"/>
              </w:rPr>
              <w:t xml:space="preserve"> and </w:t>
            </w:r>
            <w:r w:rsidR="00925987" w:rsidRPr="00504DD2">
              <w:rPr>
                <w:rFonts w:ascii="VIC" w:hAnsi="VIC" w:hint="eastAsia"/>
                <w:szCs w:val="17"/>
              </w:rPr>
              <w:t>promot</w:t>
            </w:r>
            <w:r w:rsidR="00925987">
              <w:rPr>
                <w:rFonts w:ascii="VIC" w:hAnsi="VIC"/>
                <w:szCs w:val="17"/>
              </w:rPr>
              <w:t>e</w:t>
            </w:r>
            <w:r w:rsidR="00925987" w:rsidRPr="00504DD2">
              <w:rPr>
                <w:rFonts w:ascii="VIC" w:hAnsi="VIC" w:hint="eastAsia"/>
                <w:szCs w:val="17"/>
              </w:rPr>
              <w:t xml:space="preserve"> </w:t>
            </w:r>
            <w:r w:rsidR="001C5FD9" w:rsidRPr="00504DD2">
              <w:rPr>
                <w:rFonts w:ascii="VIC" w:hAnsi="VIC" w:hint="eastAsia"/>
                <w:szCs w:val="17"/>
              </w:rPr>
              <w:t>and regularly review the proper use and management of public resources, including infrastructure procurement.</w:t>
            </w:r>
          </w:p>
          <w:p w14:paraId="385BF1C9" w14:textId="438967A2" w:rsidR="001C5FD9" w:rsidRPr="009E7AC7" w:rsidRDefault="00B42AB5" w:rsidP="00F7602B">
            <w:pPr>
              <w:cnfStyle w:val="000000010000" w:firstRow="0" w:lastRow="0" w:firstColumn="0" w:lastColumn="0" w:oddVBand="0" w:evenVBand="0" w:oddHBand="0" w:evenHBand="1" w:firstRowFirstColumn="0" w:firstRowLastColumn="0" w:lastRowFirstColumn="0" w:lastRowLastColumn="0"/>
              <w:rPr>
                <w:rFonts w:ascii="VIC" w:hAnsi="VIC"/>
                <w:color w:val="auto"/>
              </w:rPr>
            </w:pPr>
            <w:r w:rsidRPr="007CFEC9">
              <w:rPr>
                <w:rFonts w:ascii="VIC" w:hAnsi="VIC" w:hint="eastAsia"/>
                <w:color w:val="auto"/>
              </w:rPr>
              <w:t xml:space="preserve">They </w:t>
            </w:r>
            <w:r w:rsidRPr="007CFEC9">
              <w:rPr>
                <w:rFonts w:ascii="VIC" w:hAnsi="VIC"/>
                <w:color w:val="auto"/>
              </w:rPr>
              <w:t>r</w:t>
            </w:r>
            <w:r w:rsidR="001C5FD9" w:rsidRPr="007CFEC9">
              <w:rPr>
                <w:rFonts w:ascii="VIC" w:hAnsi="VIC"/>
                <w:color w:val="auto"/>
              </w:rPr>
              <w:t>equire</w:t>
            </w:r>
            <w:r w:rsidR="001C5FD9" w:rsidRPr="007CFEC9">
              <w:rPr>
                <w:rFonts w:ascii="VIC" w:hAnsi="VIC" w:hint="eastAsia"/>
                <w:color w:val="auto"/>
              </w:rPr>
              <w:t xml:space="preserve"> portfolio </w:t>
            </w:r>
            <w:r w:rsidR="00925987">
              <w:rPr>
                <w:rFonts w:ascii="VIC" w:hAnsi="VIC"/>
                <w:color w:val="auto"/>
              </w:rPr>
              <w:t>d</w:t>
            </w:r>
            <w:r w:rsidR="27880B87" w:rsidRPr="007CFEC9">
              <w:rPr>
                <w:rFonts w:ascii="VIC" w:hAnsi="VIC" w:hint="eastAsia"/>
                <w:color w:val="auto"/>
              </w:rPr>
              <w:t>epartments</w:t>
            </w:r>
            <w:r w:rsidR="001C5FD9" w:rsidRPr="007CFEC9">
              <w:rPr>
                <w:rFonts w:ascii="VIC" w:hAnsi="VIC" w:hint="eastAsia"/>
                <w:color w:val="auto"/>
              </w:rPr>
              <w:t xml:space="preserve"> to support their </w:t>
            </w:r>
            <w:r w:rsidR="00925987">
              <w:rPr>
                <w:rFonts w:ascii="VIC" w:hAnsi="VIC"/>
                <w:color w:val="auto"/>
              </w:rPr>
              <w:t>r</w:t>
            </w:r>
            <w:r w:rsidR="001C5FD9" w:rsidRPr="007CFEC9">
              <w:rPr>
                <w:rFonts w:ascii="VIC" w:hAnsi="VIC" w:hint="eastAsia"/>
                <w:color w:val="auto"/>
              </w:rPr>
              <w:t xml:space="preserve">esponsible </w:t>
            </w:r>
            <w:r w:rsidR="00925987">
              <w:rPr>
                <w:rFonts w:ascii="VIC" w:hAnsi="VIC"/>
                <w:color w:val="auto"/>
              </w:rPr>
              <w:t>m</w:t>
            </w:r>
            <w:r w:rsidR="001C5FD9" w:rsidRPr="007CFEC9">
              <w:rPr>
                <w:rFonts w:ascii="VIC" w:hAnsi="VIC" w:hint="eastAsia"/>
                <w:color w:val="auto"/>
              </w:rPr>
              <w:t>inister</w:t>
            </w:r>
            <w:r w:rsidRPr="007CFEC9">
              <w:rPr>
                <w:rFonts w:ascii="VIC" w:hAnsi="VIC" w:hint="eastAsia"/>
                <w:color w:val="auto"/>
              </w:rPr>
              <w:t>s</w:t>
            </w:r>
            <w:r w:rsidR="001C5FD9" w:rsidRPr="007CFEC9">
              <w:rPr>
                <w:rFonts w:ascii="VIC" w:hAnsi="VIC" w:hint="eastAsia"/>
                <w:color w:val="auto"/>
              </w:rPr>
              <w:t xml:space="preserve"> in the financial oversight of </w:t>
            </w:r>
            <w:r w:rsidR="00925987">
              <w:rPr>
                <w:rFonts w:ascii="VIC" w:hAnsi="VIC"/>
                <w:color w:val="auto"/>
              </w:rPr>
              <w:t>p</w:t>
            </w:r>
            <w:r w:rsidR="27880B87" w:rsidRPr="007CFEC9">
              <w:rPr>
                <w:rFonts w:ascii="VIC" w:hAnsi="VIC" w:hint="eastAsia"/>
                <w:color w:val="auto"/>
              </w:rPr>
              <w:t xml:space="preserve">ortfolio </w:t>
            </w:r>
            <w:r w:rsidR="00925987">
              <w:rPr>
                <w:rFonts w:ascii="VIC" w:hAnsi="VIC"/>
                <w:color w:val="auto"/>
              </w:rPr>
              <w:t>a</w:t>
            </w:r>
            <w:r w:rsidR="27880B87" w:rsidRPr="007CFEC9">
              <w:rPr>
                <w:rFonts w:ascii="VIC" w:hAnsi="VIC" w:hint="eastAsia"/>
                <w:color w:val="auto"/>
              </w:rPr>
              <w:t>gencies</w:t>
            </w:r>
            <w:r w:rsidR="001C5FD9" w:rsidRPr="007CFEC9">
              <w:rPr>
                <w:rFonts w:ascii="VIC" w:hAnsi="VIC" w:hint="eastAsia"/>
                <w:color w:val="auto"/>
              </w:rPr>
              <w:t>.</w:t>
            </w:r>
          </w:p>
          <w:p w14:paraId="3A5785A2" w14:textId="2CD25CDD" w:rsidR="001C5FD9" w:rsidRPr="009E7AC7" w:rsidRDefault="00B42AB5" w:rsidP="00F7602B">
            <w:pPr>
              <w:cnfStyle w:val="000000010000" w:firstRow="0" w:lastRow="0" w:firstColumn="0" w:lastColumn="0" w:oddVBand="0" w:evenVBand="0" w:oddHBand="0" w:evenHBand="1" w:firstRowFirstColumn="0" w:firstRowLastColumn="0" w:lastRowFirstColumn="0" w:lastRowLastColumn="0"/>
              <w:rPr>
                <w:rFonts w:ascii="VIC" w:hAnsi="VIC"/>
                <w:color w:val="auto"/>
              </w:rPr>
            </w:pPr>
            <w:r w:rsidRPr="007CFEC9">
              <w:rPr>
                <w:rFonts w:ascii="VIC" w:hAnsi="VIC" w:hint="eastAsia"/>
                <w:color w:val="auto"/>
              </w:rPr>
              <w:t xml:space="preserve">They require </w:t>
            </w:r>
            <w:r w:rsidR="001C5FD9" w:rsidRPr="007CFEC9">
              <w:rPr>
                <w:rFonts w:ascii="VIC" w:hAnsi="VIC" w:hint="eastAsia"/>
                <w:color w:val="auto"/>
              </w:rPr>
              <w:t xml:space="preserve">DTF to scrutinise and provide advice to the Treasurer and Assistant Treasurer on </w:t>
            </w:r>
            <w:r w:rsidR="00925987">
              <w:rPr>
                <w:rFonts w:ascii="VIC" w:hAnsi="VIC"/>
                <w:color w:val="auto"/>
              </w:rPr>
              <w:t>government</w:t>
            </w:r>
            <w:r w:rsidR="00925987" w:rsidRPr="007CFEC9">
              <w:rPr>
                <w:rFonts w:ascii="VIC" w:hAnsi="VIC" w:hint="eastAsia"/>
                <w:color w:val="auto"/>
              </w:rPr>
              <w:t xml:space="preserve"> </w:t>
            </w:r>
            <w:r w:rsidR="001C5FD9" w:rsidRPr="007CFEC9">
              <w:rPr>
                <w:rFonts w:ascii="VIC" w:hAnsi="VIC" w:hint="eastAsia"/>
                <w:color w:val="auto"/>
              </w:rPr>
              <w:t xml:space="preserve">financial and resource management issues, including </w:t>
            </w:r>
            <w:r w:rsidR="000C6746" w:rsidRPr="007CFEC9">
              <w:rPr>
                <w:rFonts w:ascii="VIC" w:hAnsi="VIC" w:hint="eastAsia"/>
                <w:color w:val="auto"/>
              </w:rPr>
              <w:t xml:space="preserve">the </w:t>
            </w:r>
            <w:r w:rsidR="001C5FD9" w:rsidRPr="007CFEC9">
              <w:rPr>
                <w:rFonts w:ascii="VIC" w:hAnsi="VIC" w:hint="eastAsia"/>
                <w:color w:val="auto"/>
              </w:rPr>
              <w:t>assurance of infrastructure investments.</w:t>
            </w:r>
          </w:p>
          <w:p w14:paraId="4AAE7AFB" w14:textId="0788C84F" w:rsidR="001C5FD9" w:rsidRPr="009E7AC7" w:rsidRDefault="00894832" w:rsidP="00F7602B">
            <w:pPr>
              <w:cnfStyle w:val="000000010000" w:firstRow="0" w:lastRow="0" w:firstColumn="0" w:lastColumn="0" w:oddVBand="0" w:evenVBand="0" w:oddHBand="0" w:evenHBand="1" w:firstRowFirstColumn="0" w:firstRowLastColumn="0" w:lastRowFirstColumn="0" w:lastRowLastColumn="0"/>
              <w:rPr>
                <w:rFonts w:ascii="VIC" w:hAnsi="VIC" w:cstheme="minorHAnsi"/>
                <w:color w:val="auto"/>
                <w:szCs w:val="17"/>
              </w:rPr>
            </w:pPr>
            <w:hyperlink r:id="rId199" w:history="1">
              <w:r w:rsidR="001C5FD9" w:rsidRPr="00504DD2">
                <w:rPr>
                  <w:rFonts w:ascii="VIC" w:hAnsi="VIC" w:cstheme="minorHAnsi" w:hint="eastAsia"/>
                  <w:color w:val="auto"/>
                  <w:szCs w:val="17"/>
                </w:rPr>
                <w:t>Section</w:t>
              </w:r>
              <w:r w:rsidR="001C5FD9" w:rsidRPr="00504DD2">
                <w:rPr>
                  <w:rFonts w:ascii="Calibri" w:hAnsi="Calibri" w:cs="Calibri"/>
                  <w:color w:val="auto"/>
                  <w:szCs w:val="17"/>
                </w:rPr>
                <w:t> </w:t>
              </w:r>
              <w:r w:rsidR="001C5FD9" w:rsidRPr="00504DD2">
                <w:rPr>
                  <w:rFonts w:ascii="VIC" w:hAnsi="VIC" w:cstheme="minorHAnsi" w:hint="eastAsia"/>
                  <w:color w:val="auto"/>
                  <w:szCs w:val="17"/>
                </w:rPr>
                <w:t>4</w:t>
              </w:r>
            </w:hyperlink>
            <w:r w:rsidR="001C5FD9" w:rsidRPr="00504DD2">
              <w:rPr>
                <w:rFonts w:ascii="Calibri" w:hAnsi="Calibri" w:cs="Calibri"/>
                <w:color w:val="auto"/>
                <w:szCs w:val="17"/>
              </w:rPr>
              <w:t> </w:t>
            </w:r>
            <w:r w:rsidR="001C5FD9" w:rsidRPr="00504DD2">
              <w:rPr>
                <w:rFonts w:ascii="VIC" w:hAnsi="VIC" w:cstheme="minorHAnsi" w:hint="eastAsia"/>
                <w:color w:val="auto"/>
                <w:szCs w:val="17"/>
              </w:rPr>
              <w:t>of the Standing Directions</w:t>
            </w:r>
            <w:r w:rsidR="000B333F">
              <w:rPr>
                <w:rFonts w:ascii="VIC" w:hAnsi="VIC" w:cstheme="minorHAnsi"/>
                <w:color w:val="auto"/>
                <w:szCs w:val="17"/>
              </w:rPr>
              <w:t xml:space="preserve"> 2018</w:t>
            </w:r>
            <w:r w:rsidR="001C5FD9" w:rsidRPr="00504DD2">
              <w:rPr>
                <w:rFonts w:ascii="VIC" w:hAnsi="VIC" w:cstheme="minorHAnsi" w:hint="eastAsia"/>
                <w:color w:val="auto"/>
                <w:szCs w:val="17"/>
              </w:rPr>
              <w:t xml:space="preserve"> and</w:t>
            </w:r>
            <w:r w:rsidR="001C5FD9" w:rsidRPr="00504DD2">
              <w:rPr>
                <w:rFonts w:ascii="Calibri" w:hAnsi="Calibri" w:cs="Calibri"/>
                <w:color w:val="auto"/>
                <w:szCs w:val="17"/>
              </w:rPr>
              <w:t> </w:t>
            </w:r>
            <w:hyperlink r:id="rId200" w:history="1">
              <w:r w:rsidR="001C5FD9" w:rsidRPr="00504DD2">
                <w:rPr>
                  <w:rFonts w:ascii="VIC" w:hAnsi="VIC" w:cstheme="minorHAnsi" w:hint="eastAsia"/>
                  <w:color w:val="auto"/>
                  <w:szCs w:val="17"/>
                </w:rPr>
                <w:t>Instruction</w:t>
              </w:r>
              <w:r w:rsidR="001C5FD9" w:rsidRPr="00504DD2">
                <w:rPr>
                  <w:rFonts w:ascii="Calibri" w:hAnsi="Calibri" w:cs="Calibri"/>
                  <w:color w:val="auto"/>
                  <w:szCs w:val="17"/>
                </w:rPr>
                <w:t> </w:t>
              </w:r>
              <w:r w:rsidR="001C5FD9" w:rsidRPr="00504DD2">
                <w:rPr>
                  <w:rFonts w:ascii="VIC" w:hAnsi="VIC" w:cstheme="minorHAnsi" w:hint="eastAsia"/>
                  <w:color w:val="auto"/>
                  <w:szCs w:val="17"/>
                </w:rPr>
                <w:t>4.2.1</w:t>
              </w:r>
            </w:hyperlink>
            <w:r w:rsidR="001C5FD9" w:rsidRPr="00504DD2">
              <w:rPr>
                <w:rFonts w:ascii="VIC" w:hAnsi="VIC" w:cstheme="minorHAnsi" w:hint="eastAsia"/>
                <w:color w:val="auto"/>
                <w:szCs w:val="17"/>
              </w:rPr>
              <w:t xml:space="preserve"> outline the responsibilities of the accountable officer (</w:t>
            </w:r>
            <w:r w:rsidR="00925987">
              <w:rPr>
                <w:rFonts w:ascii="VIC" w:hAnsi="VIC" w:cstheme="minorHAnsi"/>
                <w:color w:val="auto"/>
                <w:szCs w:val="17"/>
              </w:rPr>
              <w:t>chief operating officer</w:t>
            </w:r>
            <w:r w:rsidR="00925987" w:rsidRPr="00504DD2">
              <w:rPr>
                <w:rFonts w:ascii="VIC" w:hAnsi="VIC" w:cstheme="minorHAnsi" w:hint="eastAsia"/>
                <w:color w:val="auto"/>
                <w:szCs w:val="17"/>
              </w:rPr>
              <w:t xml:space="preserve"> </w:t>
            </w:r>
            <w:r w:rsidR="001C5FD9" w:rsidRPr="00504DD2">
              <w:rPr>
                <w:rFonts w:ascii="VIC" w:hAnsi="VIC" w:cstheme="minorHAnsi" w:hint="eastAsia"/>
                <w:color w:val="auto"/>
                <w:szCs w:val="17"/>
              </w:rPr>
              <w:t>or equivalent) in ensuring that the procurement of assets, goods and services is compliant with the FMA.</w:t>
            </w:r>
          </w:p>
          <w:p w14:paraId="22B0D4F0" w14:textId="122ACB30" w:rsidR="001C5FD9" w:rsidRPr="009E7AC7" w:rsidRDefault="000C6746" w:rsidP="00F7602B">
            <w:pPr>
              <w:cnfStyle w:val="000000010000" w:firstRow="0" w:lastRow="0" w:firstColumn="0" w:lastColumn="0" w:oddVBand="0" w:evenVBand="0" w:oddHBand="0" w:evenHBand="1" w:firstRowFirstColumn="0" w:firstRowLastColumn="0" w:lastRowFirstColumn="0" w:lastRowLastColumn="0"/>
              <w:rPr>
                <w:rFonts w:ascii="VIC" w:hAnsi="VIC"/>
                <w:color w:val="auto"/>
              </w:rPr>
            </w:pPr>
            <w:r w:rsidRPr="007CFEC9">
              <w:rPr>
                <w:rFonts w:ascii="VIC" w:hAnsi="VIC"/>
                <w:color w:val="auto"/>
              </w:rPr>
              <w:t>They</w:t>
            </w:r>
            <w:r w:rsidRPr="007CFEC9">
              <w:rPr>
                <w:rFonts w:ascii="VIC" w:hAnsi="VIC" w:hint="eastAsia"/>
                <w:color w:val="auto"/>
              </w:rPr>
              <w:t xml:space="preserve"> set</w:t>
            </w:r>
            <w:r w:rsidR="001C5FD9" w:rsidRPr="007CFEC9">
              <w:rPr>
                <w:rFonts w:ascii="VIC" w:hAnsi="VIC" w:hint="eastAsia"/>
                <w:color w:val="auto"/>
              </w:rPr>
              <w:t xml:space="preserve"> out requirements that agencies must address when acquiring assets, including complying with relevant </w:t>
            </w:r>
            <w:r w:rsidR="001C5FD9" w:rsidRPr="03977C1A">
              <w:rPr>
                <w:rFonts w:ascii="VIC" w:hAnsi="VIC"/>
                <w:color w:val="auto"/>
              </w:rPr>
              <w:t>legislation</w:t>
            </w:r>
            <w:r w:rsidR="001C5FD9" w:rsidRPr="007CFEC9">
              <w:rPr>
                <w:rFonts w:ascii="VIC" w:hAnsi="VIC" w:hint="eastAsia"/>
                <w:color w:val="auto"/>
              </w:rPr>
              <w:t xml:space="preserve">, standards, policies and funding arrangements, achieving </w:t>
            </w:r>
            <w:r w:rsidR="003E5A0E" w:rsidRPr="3928404E">
              <w:rPr>
                <w:rFonts w:ascii="VIC" w:hAnsi="VIC"/>
                <w:color w:val="auto"/>
              </w:rPr>
              <w:t>VfM</w:t>
            </w:r>
            <w:r w:rsidR="001C5FD9" w:rsidRPr="007CFEC9">
              <w:rPr>
                <w:rFonts w:ascii="VIC" w:hAnsi="VIC" w:hint="eastAsia"/>
                <w:color w:val="auto"/>
              </w:rPr>
              <w:t>, understanding and engaging the market, encouraging open and fair competition, supporting probity, transparency and accountability</w:t>
            </w:r>
            <w:r w:rsidR="00925987">
              <w:rPr>
                <w:rFonts w:ascii="VIC" w:hAnsi="VIC"/>
                <w:color w:val="auto"/>
              </w:rPr>
              <w:t>, and</w:t>
            </w:r>
            <w:r w:rsidR="00AD5BC8" w:rsidRPr="007CFEC9">
              <w:rPr>
                <w:rFonts w:ascii="VIC" w:hAnsi="VIC"/>
                <w:color w:val="auto"/>
              </w:rPr>
              <w:t xml:space="preserve"> </w:t>
            </w:r>
            <w:r w:rsidR="001C5FD9" w:rsidRPr="007CFEC9">
              <w:rPr>
                <w:rFonts w:ascii="VIC" w:hAnsi="VIC" w:hint="eastAsia"/>
                <w:color w:val="auto"/>
              </w:rPr>
              <w:t>managing risks appropriately.</w:t>
            </w:r>
          </w:p>
          <w:p w14:paraId="74E5C849" w14:textId="05656657" w:rsidR="001C5FD9" w:rsidRPr="009E7AC7" w:rsidRDefault="003E5A0E" w:rsidP="00F7602B">
            <w:pPr>
              <w:cnfStyle w:val="000000010000" w:firstRow="0" w:lastRow="0" w:firstColumn="0" w:lastColumn="0" w:oddVBand="0" w:evenVBand="0" w:oddHBand="0" w:evenHBand="1" w:firstRowFirstColumn="0" w:firstRowLastColumn="0" w:lastRowFirstColumn="0" w:lastRowLastColumn="0"/>
              <w:rPr>
                <w:rFonts w:ascii="VIC" w:hAnsi="VIC"/>
                <w:color w:val="auto"/>
              </w:rPr>
            </w:pPr>
            <w:r w:rsidRPr="3928404E">
              <w:rPr>
                <w:rFonts w:ascii="VIC" w:hAnsi="VIC"/>
                <w:color w:val="auto"/>
              </w:rPr>
              <w:t>They</w:t>
            </w:r>
            <w:r w:rsidR="001C5FD9" w:rsidRPr="3928404E">
              <w:rPr>
                <w:rFonts w:ascii="VIC" w:hAnsi="VIC"/>
                <w:color w:val="auto"/>
              </w:rPr>
              <w:t xml:space="preserve"> set</w:t>
            </w:r>
            <w:r w:rsidR="001C5FD9" w:rsidRPr="3928404E">
              <w:rPr>
                <w:rFonts w:ascii="VIC" w:hAnsi="VIC" w:hint="eastAsia"/>
                <w:color w:val="auto"/>
              </w:rPr>
              <w:t xml:space="preserve"> out requirements for contract management and performance.</w:t>
            </w:r>
            <w:r w:rsidR="001C5FD9" w:rsidRPr="3928404E">
              <w:rPr>
                <w:rFonts w:ascii="VIC" w:hAnsi="VIC"/>
                <w:color w:val="auto"/>
              </w:rPr>
              <w:t xml:space="preserve"> </w:t>
            </w:r>
            <w:r w:rsidRPr="3928404E">
              <w:rPr>
                <w:rFonts w:ascii="VIC" w:hAnsi="VIC" w:hint="eastAsia"/>
                <w:color w:val="auto"/>
              </w:rPr>
              <w:t>They</w:t>
            </w:r>
            <w:r w:rsidR="001C5FD9" w:rsidRPr="3928404E">
              <w:rPr>
                <w:rFonts w:ascii="VIC" w:hAnsi="VIC" w:hint="eastAsia"/>
                <w:color w:val="auto"/>
              </w:rPr>
              <w:t xml:space="preserve"> also </w:t>
            </w:r>
            <w:r w:rsidR="001C5FD9" w:rsidRPr="3928404E">
              <w:rPr>
                <w:rFonts w:ascii="VIC" w:hAnsi="VIC"/>
                <w:color w:val="auto"/>
              </w:rPr>
              <w:t>require</w:t>
            </w:r>
            <w:r w:rsidR="001C5FD9" w:rsidRPr="3928404E">
              <w:rPr>
                <w:rFonts w:ascii="VIC" w:hAnsi="VIC" w:hint="eastAsia"/>
                <w:color w:val="auto"/>
              </w:rPr>
              <w:t xml:space="preserve"> agencies to comply with Victorian Government Purchasing Board requirements when procuring goods and services in relation to the delivery of infrastructure.</w:t>
            </w:r>
          </w:p>
          <w:p w14:paraId="2E419534" w14:textId="3830F78C" w:rsidR="001C5FD9" w:rsidRPr="009E7AC7" w:rsidRDefault="001C5FD9" w:rsidP="005C167D">
            <w:pPr>
              <w:pStyle w:val="Tabletext"/>
              <w:cnfStyle w:val="000000010000" w:firstRow="0" w:lastRow="0" w:firstColumn="0" w:lastColumn="0" w:oddVBand="0" w:evenVBand="0" w:oddHBand="0" w:evenHBand="1" w:firstRowFirstColumn="0" w:firstRowLastColumn="0" w:lastRowFirstColumn="0" w:lastRowLastColumn="0"/>
            </w:pPr>
            <w:r w:rsidRPr="4658FA08">
              <w:rPr>
                <w:rFonts w:hint="eastAsia"/>
              </w:rPr>
              <w:t>Section</w:t>
            </w:r>
            <w:r w:rsidR="003E5A0E" w:rsidRPr="4658FA08">
              <w:rPr>
                <w:rFonts w:ascii="Calibri" w:hAnsi="Calibri" w:cs="Calibri" w:hint="eastAsia"/>
              </w:rPr>
              <w:t> </w:t>
            </w:r>
            <w:r w:rsidRPr="4658FA08">
              <w:rPr>
                <w:rFonts w:hint="eastAsia"/>
              </w:rPr>
              <w:t>4.2.3 requires agencies to apply the Victorian Government</w:t>
            </w:r>
            <w:r w:rsidR="00344D3F">
              <w:t>’</w:t>
            </w:r>
            <w:r w:rsidRPr="4658FA08">
              <w:rPr>
                <w:rFonts w:hint="eastAsia"/>
              </w:rPr>
              <w:t>s Asset Management Accountability Framework, which also includes requirements for asset acquisition.</w:t>
            </w:r>
          </w:p>
          <w:p w14:paraId="2505A8F6" w14:textId="70AFF096"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rPr>
            </w:pPr>
            <w:r w:rsidRPr="3928404E">
              <w:rPr>
                <w:rFonts w:ascii="VIC" w:hAnsi="VIC" w:hint="eastAsia"/>
              </w:rPr>
              <w:t>Section</w:t>
            </w:r>
            <w:r w:rsidR="003E5A0E" w:rsidRPr="3928404E">
              <w:rPr>
                <w:rFonts w:ascii="Calibri" w:hAnsi="Calibri" w:cs="Calibri" w:hint="eastAsia"/>
              </w:rPr>
              <w:t> </w:t>
            </w:r>
            <w:r w:rsidRPr="3928404E">
              <w:rPr>
                <w:rFonts w:ascii="VIC" w:hAnsi="VIC" w:hint="eastAsia"/>
              </w:rPr>
              <w:t>4.2.4 requires agencies to apply the Ministerial Directions</w:t>
            </w:r>
            <w:r w:rsidR="00E71542">
              <w:rPr>
                <w:rFonts w:ascii="VIC" w:hAnsi="VIC"/>
              </w:rPr>
              <w:t xml:space="preserve"> and Instructions</w:t>
            </w:r>
            <w:r w:rsidRPr="3928404E">
              <w:rPr>
                <w:rFonts w:ascii="VIC" w:hAnsi="VIC" w:hint="eastAsia"/>
              </w:rPr>
              <w:t xml:space="preserve"> for Public Construction Procurement in Victoria, issued under the </w:t>
            </w:r>
            <w:r w:rsidRPr="3928404E">
              <w:rPr>
                <w:rFonts w:ascii="VIC" w:hAnsi="VIC" w:hint="eastAsia"/>
                <w:i/>
              </w:rPr>
              <w:t>Project Development and Construction Management Act</w:t>
            </w:r>
            <w:r w:rsidRPr="3928404E">
              <w:rPr>
                <w:rFonts w:ascii="VIC" w:hAnsi="VIC" w:hint="eastAsia"/>
              </w:rPr>
              <w:t xml:space="preserve"> </w:t>
            </w:r>
            <w:r w:rsidRPr="3928404E">
              <w:rPr>
                <w:rFonts w:ascii="VIC" w:hAnsi="VIC" w:hint="eastAsia"/>
                <w:i/>
              </w:rPr>
              <w:t>1994</w:t>
            </w:r>
            <w:r w:rsidR="003E5A0E" w:rsidRPr="3928404E">
              <w:rPr>
                <w:rFonts w:ascii="VIC" w:hAnsi="VIC" w:hint="eastAsia"/>
                <w:i/>
              </w:rPr>
              <w:t xml:space="preserve"> </w:t>
            </w:r>
            <w:r w:rsidR="003E5A0E" w:rsidRPr="3928404E">
              <w:rPr>
                <w:rFonts w:ascii="VIC" w:hAnsi="VIC"/>
              </w:rPr>
              <w:t>(Vic)</w:t>
            </w:r>
            <w:r w:rsidRPr="3928404E">
              <w:rPr>
                <w:rFonts w:ascii="VIC" w:hAnsi="VIC" w:hint="eastAsia"/>
              </w:rPr>
              <w:t>.</w:t>
            </w:r>
          </w:p>
          <w:p w14:paraId="652F9A44" w14:textId="34F7007D"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rPr>
            </w:pPr>
            <w:r w:rsidRPr="362B7449">
              <w:rPr>
                <w:rFonts w:ascii="VIC" w:hAnsi="VIC" w:hint="eastAsia"/>
              </w:rPr>
              <w:t>Section</w:t>
            </w:r>
            <w:r w:rsidR="00B7250C" w:rsidRPr="362B7449">
              <w:rPr>
                <w:rFonts w:ascii="Calibri" w:hAnsi="Calibri" w:cs="Calibri" w:hint="eastAsia"/>
              </w:rPr>
              <w:t> </w:t>
            </w:r>
            <w:r w:rsidRPr="362B7449">
              <w:rPr>
                <w:rFonts w:ascii="VIC" w:hAnsi="VIC" w:hint="eastAsia"/>
              </w:rPr>
              <w:t>4.3 requires agencies to apply the Resource Management Framework</w:t>
            </w:r>
            <w:r w:rsidR="00925987">
              <w:rPr>
                <w:rFonts w:ascii="VIC" w:hAnsi="VIC"/>
              </w:rPr>
              <w:t xml:space="preserve"> </w:t>
            </w:r>
            <w:r w:rsidR="00925987" w:rsidRPr="362B7449">
              <w:rPr>
                <w:rFonts w:ascii="VIC" w:hAnsi="VIC" w:hint="eastAsia"/>
              </w:rPr>
              <w:t xml:space="preserve">issued by </w:t>
            </w:r>
            <w:r w:rsidR="00925987" w:rsidRPr="362B7449">
              <w:rPr>
                <w:rFonts w:ascii="VIC" w:hAnsi="VIC"/>
              </w:rPr>
              <w:t>DTF</w:t>
            </w:r>
            <w:r w:rsidRPr="362B7449">
              <w:rPr>
                <w:rFonts w:ascii="VIC" w:hAnsi="VIC" w:hint="eastAsia"/>
              </w:rPr>
              <w:t>, which outlines government and public sector planning, budgeting, service delivery, accountability and review expectations.</w:t>
            </w:r>
          </w:p>
          <w:p w14:paraId="6E3E05AE" w14:textId="55056002" w:rsidR="001C5FD9" w:rsidRPr="009E7AC7" w:rsidRDefault="00894832" w:rsidP="00F7602B">
            <w:pPr>
              <w:cnfStyle w:val="000000010000" w:firstRow="0" w:lastRow="0" w:firstColumn="0" w:lastColumn="0" w:oddVBand="0" w:evenVBand="0" w:oddHBand="0" w:evenHBand="1" w:firstRowFirstColumn="0" w:firstRowLastColumn="0" w:lastRowFirstColumn="0" w:lastRowLastColumn="0"/>
              <w:rPr>
                <w:rFonts w:ascii="VIC" w:hAnsi="VIC" w:cstheme="minorHAnsi"/>
                <w:szCs w:val="17"/>
              </w:rPr>
            </w:pPr>
            <w:hyperlink r:id="rId201" w:history="1">
              <w:r w:rsidR="001C5FD9" w:rsidRPr="00504DD2">
                <w:rPr>
                  <w:rFonts w:ascii="VIC" w:hAnsi="VIC" w:cstheme="minorHAnsi" w:hint="eastAsia"/>
                  <w:color w:val="53565A" w:themeColor="hyperlink"/>
                  <w:szCs w:val="17"/>
                  <w:u w:val="single"/>
                </w:rPr>
                <w:t>https://www.dtf.vic.gov.au/financial-management-government/standing-directions-2018-under-financial-management-act-1994</w:t>
              </w:r>
            </w:hyperlink>
          </w:p>
          <w:p w14:paraId="5C6CE264" w14:textId="1E29EA1E" w:rsidR="001C5FD9" w:rsidRPr="009E7AC7" w:rsidRDefault="00894832" w:rsidP="00F7602B">
            <w:pPr>
              <w:cnfStyle w:val="000000010000" w:firstRow="0" w:lastRow="0" w:firstColumn="0" w:lastColumn="0" w:oddVBand="0" w:evenVBand="0" w:oddHBand="0" w:evenHBand="1" w:firstRowFirstColumn="0" w:firstRowLastColumn="0" w:lastRowFirstColumn="0" w:lastRowLastColumn="0"/>
              <w:rPr>
                <w:rFonts w:ascii="VIC" w:hAnsi="VIC"/>
                <w:color w:val="auto"/>
                <w:szCs w:val="17"/>
              </w:rPr>
            </w:pPr>
            <w:hyperlink r:id="rId202" w:history="1">
              <w:r w:rsidR="001C5FD9" w:rsidRPr="00504DD2">
                <w:rPr>
                  <w:rFonts w:ascii="VIC" w:hAnsi="VIC" w:cstheme="minorHAnsi" w:hint="eastAsia"/>
                  <w:color w:val="53565A" w:themeColor="hyperlink"/>
                  <w:szCs w:val="17"/>
                  <w:u w:val="single"/>
                </w:rPr>
                <w:t>https://www.dtf.vic.gov.au/sites/default/files/document/Standing-Directions-2018-Instructions-Updated-Dec2019.pdf</w:t>
              </w:r>
            </w:hyperlink>
          </w:p>
        </w:tc>
        <w:tc>
          <w:tcPr>
            <w:tcW w:w="2430" w:type="dxa"/>
          </w:tcPr>
          <w:p w14:paraId="5835EBAC" w14:textId="77777777"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504DD2">
              <w:rPr>
                <w:rFonts w:ascii="VIC" w:hAnsi="VIC" w:hint="eastAsia"/>
                <w:szCs w:val="17"/>
              </w:rPr>
              <w:t>Whole of investment lifecycle</w:t>
            </w:r>
          </w:p>
        </w:tc>
      </w:tr>
      <w:tr w:rsidR="001C5FD9" w:rsidRPr="004B5A4E" w14:paraId="45550F61"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19120C33" w14:textId="77777777" w:rsidR="001C5FD9" w:rsidRPr="00D21F77" w:rsidRDefault="001C5FD9" w:rsidP="00F7602B">
            <w:pPr>
              <w:rPr>
                <w:rFonts w:ascii="VIC" w:hAnsi="VIC"/>
                <w:szCs w:val="20"/>
              </w:rPr>
            </w:pPr>
            <w:r w:rsidRPr="00D21F77">
              <w:rPr>
                <w:rFonts w:ascii="VIC" w:hAnsi="VIC"/>
                <w:szCs w:val="20"/>
              </w:rPr>
              <w:t>Annual Appropriations Bill</w:t>
            </w:r>
          </w:p>
          <w:p w14:paraId="646AB846" w14:textId="5BF9E58C" w:rsidR="001C5FD9" w:rsidRPr="00D21F77" w:rsidRDefault="00FA33F5" w:rsidP="00F7602B">
            <w:pPr>
              <w:rPr>
                <w:rFonts w:ascii="VIC" w:hAnsi="VIC"/>
                <w:szCs w:val="20"/>
              </w:rPr>
            </w:pPr>
            <w:r w:rsidRPr="000E73BE">
              <w:rPr>
                <w:rFonts w:ascii="VIC SemiBold" w:hAnsi="VIC SemiBold"/>
                <w:noProof/>
                <w:color w:val="C00000"/>
              </w:rPr>
              <w:drawing>
                <wp:inline distT="0" distB="0" distL="0" distR="0" wp14:anchorId="1CE81091" wp14:editId="0DD042F3">
                  <wp:extent cx="411480" cy="411480"/>
                  <wp:effectExtent l="0" t="0" r="0" b="7620"/>
                  <wp:docPr id="95" name="Graphic 95"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6D2C34A9" w14:textId="674E4FEF"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zCs w:val="17"/>
              </w:rPr>
            </w:pPr>
            <w:r w:rsidRPr="00504DD2">
              <w:rPr>
                <w:rFonts w:ascii="VIC" w:hAnsi="VIC" w:hint="eastAsia"/>
                <w:szCs w:val="17"/>
              </w:rPr>
              <w:t xml:space="preserve">Enacted each year to allow the appropriation of money out of the Consolidated Fund for the ordinary annual services of the </w:t>
            </w:r>
            <w:r w:rsidR="000C75DD">
              <w:rPr>
                <w:rFonts w:ascii="VIC" w:hAnsi="VIC"/>
                <w:szCs w:val="17"/>
              </w:rPr>
              <w:t>G</w:t>
            </w:r>
            <w:r w:rsidR="1B998234" w:rsidRPr="00504DD2">
              <w:rPr>
                <w:rFonts w:ascii="VIC" w:hAnsi="VIC" w:hint="eastAsia"/>
                <w:szCs w:val="17"/>
              </w:rPr>
              <w:t>overnment</w:t>
            </w:r>
            <w:r w:rsidRPr="00504DD2">
              <w:rPr>
                <w:rFonts w:ascii="VIC" w:hAnsi="VIC" w:hint="eastAsia"/>
                <w:szCs w:val="17"/>
              </w:rPr>
              <w:t xml:space="preserve"> for the financial year</w:t>
            </w:r>
          </w:p>
        </w:tc>
        <w:tc>
          <w:tcPr>
            <w:tcW w:w="7020" w:type="dxa"/>
          </w:tcPr>
          <w:p w14:paraId="53ED326D" w14:textId="485A9C2F" w:rsidR="001C5FD9" w:rsidRPr="009E7AC7" w:rsidRDefault="00B7250C" w:rsidP="00F7602B">
            <w:pPr>
              <w:cnfStyle w:val="000000000000" w:firstRow="0" w:lastRow="0" w:firstColumn="0" w:lastColumn="0" w:oddVBand="0" w:evenVBand="0" w:oddHBand="0" w:evenHBand="0" w:firstRowFirstColumn="0" w:firstRowLastColumn="0" w:lastRowFirstColumn="0" w:lastRowLastColumn="0"/>
              <w:rPr>
                <w:rFonts w:ascii="VIC" w:hAnsi="VIC"/>
              </w:rPr>
            </w:pPr>
            <w:bookmarkStart w:id="478" w:name="_Hlk141707405"/>
            <w:r w:rsidRPr="362B7449">
              <w:rPr>
                <w:rFonts w:ascii="VIC" w:hAnsi="VIC" w:hint="eastAsia"/>
              </w:rPr>
              <w:t>This</w:t>
            </w:r>
            <w:r w:rsidR="00BD3E4D">
              <w:rPr>
                <w:rFonts w:ascii="VIC" w:hAnsi="VIC"/>
              </w:rPr>
              <w:t xml:space="preserve"> annual Bill</w:t>
            </w:r>
            <w:r w:rsidRPr="362B7449">
              <w:rPr>
                <w:rFonts w:ascii="VIC" w:hAnsi="VIC" w:hint="eastAsia"/>
              </w:rPr>
              <w:t xml:space="preserve"> </w:t>
            </w:r>
            <w:r w:rsidR="00BD3E4D">
              <w:rPr>
                <w:rFonts w:ascii="VIC" w:hAnsi="VIC"/>
              </w:rPr>
              <w:t>facilitates</w:t>
            </w:r>
            <w:r w:rsidR="00BD3E4D" w:rsidRPr="362B7449">
              <w:rPr>
                <w:rFonts w:ascii="VIC" w:hAnsi="VIC" w:hint="eastAsia"/>
              </w:rPr>
              <w:t xml:space="preserve"> </w:t>
            </w:r>
            <w:r w:rsidR="00BD3E4D">
              <w:rPr>
                <w:rFonts w:ascii="VIC" w:hAnsi="VIC"/>
              </w:rPr>
              <w:t xml:space="preserve">a specified amount of </w:t>
            </w:r>
            <w:r w:rsidR="001C5FD9" w:rsidRPr="362B7449">
              <w:rPr>
                <w:rFonts w:ascii="VIC" w:hAnsi="VIC" w:hint="eastAsia"/>
              </w:rPr>
              <w:t xml:space="preserve">public money </w:t>
            </w:r>
            <w:r w:rsidR="00BD3E4D">
              <w:rPr>
                <w:rFonts w:ascii="VIC" w:hAnsi="VIC"/>
              </w:rPr>
              <w:t xml:space="preserve">being </w:t>
            </w:r>
            <w:r w:rsidR="001C5FD9" w:rsidRPr="362B7449">
              <w:rPr>
                <w:rFonts w:ascii="VIC" w:hAnsi="VIC" w:hint="eastAsia"/>
              </w:rPr>
              <w:t xml:space="preserve">appropriated to each </w:t>
            </w:r>
            <w:r w:rsidR="00925987">
              <w:rPr>
                <w:rFonts w:ascii="VIC" w:hAnsi="VIC"/>
              </w:rPr>
              <w:t>d</w:t>
            </w:r>
            <w:r w:rsidR="001C5FD9" w:rsidRPr="362B7449">
              <w:rPr>
                <w:rFonts w:ascii="VIC" w:hAnsi="VIC" w:hint="eastAsia"/>
              </w:rPr>
              <w:t xml:space="preserve">epartment, including funding for any asset proposals approved in the annual </w:t>
            </w:r>
            <w:r w:rsidR="00170FE6">
              <w:rPr>
                <w:rFonts w:ascii="VIC" w:hAnsi="VIC"/>
              </w:rPr>
              <w:t>s</w:t>
            </w:r>
            <w:r w:rsidR="001C5FD9" w:rsidRPr="362B7449">
              <w:rPr>
                <w:rFonts w:ascii="VIC" w:hAnsi="VIC" w:hint="eastAsia"/>
              </w:rPr>
              <w:t xml:space="preserve">tate </w:t>
            </w:r>
            <w:r w:rsidR="00170FE6">
              <w:rPr>
                <w:rFonts w:ascii="VIC" w:hAnsi="VIC"/>
              </w:rPr>
              <w:t>b</w:t>
            </w:r>
            <w:r w:rsidR="001C5FD9" w:rsidRPr="362B7449">
              <w:rPr>
                <w:rFonts w:ascii="VIC" w:hAnsi="VIC" w:hint="eastAsia"/>
              </w:rPr>
              <w:t>udget.</w:t>
            </w:r>
          </w:p>
          <w:bookmarkEnd w:id="478"/>
          <w:p w14:paraId="11941E04" w14:textId="43870F33" w:rsidR="00B7250C"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cstheme="minorHAnsi"/>
                <w:szCs w:val="17"/>
              </w:rPr>
            </w:pPr>
            <w:r w:rsidRPr="00504DD2">
              <w:rPr>
                <w:rFonts w:ascii="VIC" w:hAnsi="VIC" w:cstheme="minorHAnsi" w:hint="eastAsia"/>
                <w:szCs w:val="17"/>
              </w:rPr>
              <w:t xml:space="preserve">The Bill is supported by annual publication of </w:t>
            </w:r>
            <w:r w:rsidR="00170FE6">
              <w:rPr>
                <w:rFonts w:ascii="VIC" w:hAnsi="VIC" w:cstheme="minorHAnsi"/>
                <w:szCs w:val="17"/>
              </w:rPr>
              <w:t>b</w:t>
            </w:r>
            <w:r w:rsidRPr="00504DD2">
              <w:rPr>
                <w:rFonts w:ascii="VIC" w:hAnsi="VIC" w:cstheme="minorHAnsi" w:hint="eastAsia"/>
                <w:szCs w:val="17"/>
              </w:rPr>
              <w:t xml:space="preserve">udget </w:t>
            </w:r>
            <w:r w:rsidR="00170FE6">
              <w:rPr>
                <w:rFonts w:ascii="VIC" w:hAnsi="VIC" w:cstheme="minorHAnsi"/>
                <w:szCs w:val="17"/>
              </w:rPr>
              <w:t>p</w:t>
            </w:r>
            <w:r w:rsidR="00170FE6" w:rsidRPr="00504DD2">
              <w:rPr>
                <w:rFonts w:ascii="VIC" w:hAnsi="VIC" w:cstheme="minorHAnsi" w:hint="eastAsia"/>
                <w:szCs w:val="17"/>
              </w:rPr>
              <w:t xml:space="preserve">apers </w:t>
            </w:r>
            <w:r w:rsidRPr="00504DD2">
              <w:rPr>
                <w:rFonts w:ascii="VIC" w:hAnsi="VIC" w:cstheme="minorHAnsi" w:hint="eastAsia"/>
                <w:szCs w:val="17"/>
              </w:rPr>
              <w:t>that detail the goods and services that are to be delivered with the appropriation.</w:t>
            </w:r>
          </w:p>
          <w:p w14:paraId="4DB46354" w14:textId="54432F20" w:rsidR="001C5FD9" w:rsidRPr="009E7AC7" w:rsidRDefault="00894832" w:rsidP="00F7602B">
            <w:pPr>
              <w:cnfStyle w:val="000000000000" w:firstRow="0" w:lastRow="0" w:firstColumn="0" w:lastColumn="0" w:oddVBand="0" w:evenVBand="0" w:oddHBand="0" w:evenHBand="0" w:firstRowFirstColumn="0" w:firstRowLastColumn="0" w:lastRowFirstColumn="0" w:lastRowLastColumn="0"/>
              <w:rPr>
                <w:rFonts w:ascii="VIC" w:hAnsi="VIC" w:cstheme="minorHAnsi"/>
                <w:szCs w:val="17"/>
              </w:rPr>
            </w:pPr>
            <w:hyperlink r:id="rId203" w:history="1">
              <w:r w:rsidR="001C5FD9" w:rsidRPr="00504DD2">
                <w:rPr>
                  <w:rFonts w:ascii="VIC" w:hAnsi="VIC" w:cstheme="minorHAnsi" w:hint="eastAsia"/>
                  <w:color w:val="53565A" w:themeColor="hyperlink"/>
                  <w:szCs w:val="17"/>
                  <w:u w:val="single"/>
                </w:rPr>
                <w:t>https://www.dtf.vic.gov.au/sites/default/files/2018-01/Budget%20Operations%20Framework%20-%20February%202017.pdf</w:t>
              </w:r>
            </w:hyperlink>
          </w:p>
        </w:tc>
        <w:tc>
          <w:tcPr>
            <w:tcW w:w="2430" w:type="dxa"/>
          </w:tcPr>
          <w:p w14:paraId="1C535E4A" w14:textId="77777777"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zCs w:val="17"/>
              </w:rPr>
            </w:pPr>
            <w:r w:rsidRPr="00504DD2">
              <w:rPr>
                <w:rFonts w:ascii="VIC" w:hAnsi="VIC" w:hint="eastAsia"/>
                <w:szCs w:val="17"/>
              </w:rPr>
              <w:t>Whole of investment lifecycle</w:t>
            </w:r>
          </w:p>
        </w:tc>
      </w:tr>
      <w:tr w:rsidR="001C5FD9" w:rsidRPr="004B5A4E" w14:paraId="1FB140EE"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6B3BD58D" w14:textId="3721C5F1" w:rsidR="001C5FD9" w:rsidRPr="00D21F77" w:rsidRDefault="001C5FD9" w:rsidP="00F7602B">
            <w:pPr>
              <w:rPr>
                <w:rFonts w:ascii="VIC" w:hAnsi="VIC"/>
                <w:i/>
                <w:szCs w:val="20"/>
              </w:rPr>
            </w:pPr>
            <w:r w:rsidRPr="00171CF8">
              <w:rPr>
                <w:rFonts w:ascii="VIC" w:hAnsi="VIC"/>
                <w:i/>
              </w:rPr>
              <w:t>Public Administration Act 2004</w:t>
            </w:r>
            <w:r w:rsidR="008A58A8" w:rsidRPr="362B7449">
              <w:rPr>
                <w:rFonts w:ascii="VIC" w:hAnsi="VIC"/>
                <w:i/>
              </w:rPr>
              <w:t xml:space="preserve"> </w:t>
            </w:r>
            <w:r w:rsidR="008A58A8" w:rsidRPr="00D21F77">
              <w:rPr>
                <w:rFonts w:ascii="VIC" w:hAnsi="VIC"/>
                <w:szCs w:val="20"/>
              </w:rPr>
              <w:t>(Vic)</w:t>
            </w:r>
          </w:p>
          <w:p w14:paraId="717C6FD7" w14:textId="25CD4EAE" w:rsidR="001C5FD9" w:rsidRPr="00D21F77" w:rsidRDefault="00FA33F5" w:rsidP="00F7602B">
            <w:pPr>
              <w:rPr>
                <w:rFonts w:ascii="VIC" w:hAnsi="VIC"/>
                <w:szCs w:val="20"/>
              </w:rPr>
            </w:pPr>
            <w:r w:rsidRPr="000E73BE">
              <w:rPr>
                <w:rFonts w:ascii="VIC SemiBold" w:hAnsi="VIC SemiBold"/>
                <w:noProof/>
                <w:color w:val="C00000"/>
              </w:rPr>
              <w:drawing>
                <wp:inline distT="0" distB="0" distL="0" distR="0" wp14:anchorId="50503BDB" wp14:editId="311527D0">
                  <wp:extent cx="411480" cy="411480"/>
                  <wp:effectExtent l="0" t="0" r="0" b="7620"/>
                  <wp:docPr id="96" name="Graphic 96"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4DDB816B" w14:textId="49A2929F"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cstheme="minorHAnsi"/>
                <w:szCs w:val="17"/>
              </w:rPr>
            </w:pPr>
            <w:r w:rsidRPr="00504DD2">
              <w:rPr>
                <w:rFonts w:ascii="VIC" w:hAnsi="VIC" w:hint="eastAsia"/>
                <w:szCs w:val="17"/>
              </w:rPr>
              <w:t>Provides a framework for good governance in the Victorian public sector to ensure the public service serve</w:t>
            </w:r>
            <w:r w:rsidR="00170FE6">
              <w:rPr>
                <w:rFonts w:ascii="VIC" w:hAnsi="VIC"/>
                <w:szCs w:val="17"/>
              </w:rPr>
              <w:t>s</w:t>
            </w:r>
            <w:r w:rsidRPr="00504DD2">
              <w:rPr>
                <w:rFonts w:ascii="VIC" w:hAnsi="VIC" w:hint="eastAsia"/>
                <w:szCs w:val="17"/>
              </w:rPr>
              <w:t xml:space="preserve"> the public interest</w:t>
            </w:r>
          </w:p>
        </w:tc>
        <w:tc>
          <w:tcPr>
            <w:tcW w:w="7020" w:type="dxa"/>
          </w:tcPr>
          <w:p w14:paraId="7900B884" w14:textId="78BE91B7" w:rsidR="001C5FD9" w:rsidRPr="009E7AC7" w:rsidRDefault="00B7250C" w:rsidP="00F7602B">
            <w:pPr>
              <w:cnfStyle w:val="000000010000" w:firstRow="0" w:lastRow="0" w:firstColumn="0" w:lastColumn="0" w:oddVBand="0" w:evenVBand="0" w:oddHBand="0" w:evenHBand="1" w:firstRowFirstColumn="0" w:firstRowLastColumn="0" w:lastRowFirstColumn="0" w:lastRowLastColumn="0"/>
              <w:rPr>
                <w:rFonts w:ascii="VIC" w:hAnsi="VIC"/>
              </w:rPr>
            </w:pPr>
            <w:r w:rsidRPr="362B7449">
              <w:rPr>
                <w:rFonts w:ascii="VIC" w:hAnsi="VIC" w:hint="eastAsia"/>
              </w:rPr>
              <w:t xml:space="preserve">This legislation </w:t>
            </w:r>
            <w:r w:rsidR="4002A2AA" w:rsidRPr="362B7449">
              <w:rPr>
                <w:rFonts w:ascii="VIC" w:hAnsi="VIC"/>
              </w:rPr>
              <w:t>r</w:t>
            </w:r>
            <w:r w:rsidR="301956F6" w:rsidRPr="362B7449">
              <w:rPr>
                <w:rFonts w:ascii="VIC" w:hAnsi="VIC"/>
              </w:rPr>
              <w:t>equires</w:t>
            </w:r>
            <w:r w:rsidR="001C5FD9" w:rsidRPr="362B7449">
              <w:rPr>
                <w:rFonts w:ascii="VIC" w:hAnsi="VIC" w:hint="eastAsia"/>
              </w:rPr>
              <w:t xml:space="preserve"> agencies undertaking procurement activities to:</w:t>
            </w:r>
          </w:p>
          <w:p w14:paraId="2BB38735" w14:textId="77777777" w:rsidR="001C5FD9" w:rsidRPr="00171CF8" w:rsidRDefault="001C5FD9" w:rsidP="001D2615">
            <w:pPr>
              <w:pStyle w:val="Tablebullet"/>
              <w:cnfStyle w:val="000000010000" w:firstRow="0" w:lastRow="0" w:firstColumn="0" w:lastColumn="0" w:oddVBand="0" w:evenVBand="0" w:oddHBand="0" w:evenHBand="1" w:firstRowFirstColumn="0" w:firstRowLastColumn="0" w:lastRowFirstColumn="0" w:lastRowLastColumn="0"/>
              <w:rPr>
                <w:szCs w:val="17"/>
              </w:rPr>
            </w:pPr>
            <w:r w:rsidRPr="00171CF8">
              <w:rPr>
                <w:szCs w:val="17"/>
              </w:rPr>
              <w:t>uphold the highest standards of public service conduct and integrity</w:t>
            </w:r>
          </w:p>
          <w:p w14:paraId="2156BB6C" w14:textId="61A6A857" w:rsidR="001C5FD9" w:rsidRPr="00171CF8" w:rsidRDefault="001C5FD9" w:rsidP="001D2615">
            <w:pPr>
              <w:pStyle w:val="Tablebullet"/>
              <w:cnfStyle w:val="000000010000" w:firstRow="0" w:lastRow="0" w:firstColumn="0" w:lastColumn="0" w:oddVBand="0" w:evenVBand="0" w:oddHBand="0" w:evenHBand="1" w:firstRowFirstColumn="0" w:firstRowLastColumn="0" w:lastRowFirstColumn="0" w:lastRowLastColumn="0"/>
              <w:rPr>
                <w:szCs w:val="17"/>
              </w:rPr>
            </w:pPr>
            <w:r w:rsidRPr="00171CF8">
              <w:rPr>
                <w:szCs w:val="17"/>
              </w:rPr>
              <w:t>ensure the public service is effective and impartial in making procurement decisions</w:t>
            </w:r>
          </w:p>
          <w:p w14:paraId="1760D66F" w14:textId="77777777" w:rsidR="001C5FD9" w:rsidRPr="00171CF8" w:rsidRDefault="001C5FD9" w:rsidP="001D2615">
            <w:pPr>
              <w:pStyle w:val="Tablebullet"/>
              <w:cnfStyle w:val="000000010000" w:firstRow="0" w:lastRow="0" w:firstColumn="0" w:lastColumn="0" w:oddVBand="0" w:evenVBand="0" w:oddHBand="0" w:evenHBand="1" w:firstRowFirstColumn="0" w:firstRowLastColumn="0" w:lastRowFirstColumn="0" w:lastRowLastColumn="0"/>
              <w:rPr>
                <w:szCs w:val="17"/>
              </w:rPr>
            </w:pPr>
            <w:r w:rsidRPr="00171CF8">
              <w:rPr>
                <w:szCs w:val="17"/>
              </w:rPr>
              <w:t>ensure procurement decisions serve the public interest.</w:t>
            </w:r>
          </w:p>
          <w:p w14:paraId="790F1CA3" w14:textId="349396FF" w:rsidR="001C5FD9" w:rsidRPr="009E7AC7" w:rsidRDefault="00894832" w:rsidP="00F7602B">
            <w:pPr>
              <w:cnfStyle w:val="000000010000" w:firstRow="0" w:lastRow="0" w:firstColumn="0" w:lastColumn="0" w:oddVBand="0" w:evenVBand="0" w:oddHBand="0" w:evenHBand="1" w:firstRowFirstColumn="0" w:firstRowLastColumn="0" w:lastRowFirstColumn="0" w:lastRowLastColumn="0"/>
              <w:rPr>
                <w:rFonts w:ascii="VIC" w:hAnsi="VIC" w:cstheme="minorHAnsi"/>
                <w:szCs w:val="17"/>
              </w:rPr>
            </w:pPr>
            <w:hyperlink r:id="rId204" w:history="1">
              <w:r w:rsidR="001C5FD9" w:rsidRPr="00504DD2">
                <w:rPr>
                  <w:rFonts w:ascii="VIC" w:hAnsi="VIC" w:cstheme="minorHAnsi" w:hint="eastAsia"/>
                  <w:color w:val="53565A" w:themeColor="hyperlink"/>
                  <w:szCs w:val="17"/>
                  <w:u w:val="single"/>
                </w:rPr>
                <w:t>https://www.legislation.vic.gov.au/in-force/acts/public-administration-act-2004/083</w:t>
              </w:r>
            </w:hyperlink>
          </w:p>
        </w:tc>
        <w:tc>
          <w:tcPr>
            <w:tcW w:w="2430" w:type="dxa"/>
          </w:tcPr>
          <w:p w14:paraId="53CAA1E2" w14:textId="77777777"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504DD2">
              <w:rPr>
                <w:rFonts w:ascii="VIC" w:hAnsi="VIC" w:hint="eastAsia"/>
                <w:szCs w:val="17"/>
              </w:rPr>
              <w:t>Whole of investment lifecycle</w:t>
            </w:r>
          </w:p>
        </w:tc>
      </w:tr>
      <w:tr w:rsidR="001C5FD9" w:rsidRPr="004B5A4E" w14:paraId="67A3D292"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6E14BE87" w14:textId="6E353736" w:rsidR="001C5FD9" w:rsidRPr="00D21F77" w:rsidRDefault="001C5FD9" w:rsidP="00F7602B">
            <w:pPr>
              <w:rPr>
                <w:rFonts w:ascii="VIC" w:hAnsi="VIC"/>
                <w:szCs w:val="20"/>
              </w:rPr>
            </w:pPr>
            <w:r w:rsidRPr="00171CF8">
              <w:rPr>
                <w:rFonts w:ascii="VIC" w:hAnsi="VIC"/>
                <w:i/>
              </w:rPr>
              <w:t>Project Development and Construction Managemen</w:t>
            </w:r>
            <w:r w:rsidRPr="4D40244A">
              <w:rPr>
                <w:rFonts w:ascii="VIC" w:hAnsi="VIC"/>
                <w:i/>
              </w:rPr>
              <w:t>t Act 1994</w:t>
            </w:r>
            <w:r w:rsidR="008A58A8" w:rsidRPr="4D40244A">
              <w:rPr>
                <w:rFonts w:ascii="VIC" w:hAnsi="VIC"/>
                <w:i/>
              </w:rPr>
              <w:t xml:space="preserve"> </w:t>
            </w:r>
            <w:r w:rsidR="008A58A8" w:rsidRPr="00D21F77">
              <w:rPr>
                <w:rFonts w:ascii="VIC" w:hAnsi="VIC"/>
                <w:szCs w:val="20"/>
              </w:rPr>
              <w:t>(Vic)</w:t>
            </w:r>
          </w:p>
          <w:p w14:paraId="2CDE399B" w14:textId="5A20A5E6" w:rsidR="001C5FD9" w:rsidRPr="00D21F77" w:rsidRDefault="00FA33F5" w:rsidP="00F7602B">
            <w:pPr>
              <w:rPr>
                <w:rFonts w:ascii="VIC" w:hAnsi="VIC"/>
                <w:szCs w:val="20"/>
              </w:rPr>
            </w:pPr>
            <w:r w:rsidRPr="000E73BE">
              <w:rPr>
                <w:rFonts w:ascii="VIC SemiBold" w:hAnsi="VIC SemiBold"/>
                <w:noProof/>
                <w:color w:val="C00000"/>
              </w:rPr>
              <w:drawing>
                <wp:inline distT="0" distB="0" distL="0" distR="0" wp14:anchorId="7F37D0A8" wp14:editId="1B4CC554">
                  <wp:extent cx="411480" cy="411480"/>
                  <wp:effectExtent l="0" t="0" r="0" b="7620"/>
                  <wp:docPr id="97" name="Graphic 97"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001C5FD9" w:rsidRPr="00D21F77">
              <w:rPr>
                <w:rFonts w:ascii="VIC" w:hAnsi="VIC"/>
                <w:szCs w:val="20"/>
              </w:rPr>
              <w:t xml:space="preserve"> </w:t>
            </w:r>
            <w:r w:rsidR="00367DC9" w:rsidRPr="000E73BE">
              <w:rPr>
                <w:rFonts w:ascii="VIC SemiBold" w:hAnsi="VIC SemiBold"/>
                <w:noProof/>
                <w:color w:val="C00000"/>
              </w:rPr>
              <w:drawing>
                <wp:inline distT="0" distB="0" distL="0" distR="0" wp14:anchorId="318940BF" wp14:editId="7985B135">
                  <wp:extent cx="364557" cy="411480"/>
                  <wp:effectExtent l="0" t="0" r="0" b="7620"/>
                  <wp:docPr id="431" name="Graphic 431" descr="Prob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robity icon"/>
                          <pic:cNvPicPr/>
                        </pic:nvPicPr>
                        <pic:blipFill>
                          <a:blip r:embed="rId45" cstate="screen">
                            <a:extLst>
                              <a:ext uri="{28A0092B-C50C-407E-A947-70E740481C1C}">
                                <a14:useLocalDpi xmlns:a14="http://schemas.microsoft.com/office/drawing/2010/main"/>
                              </a:ext>
                              <a:ext uri="{96DAC541-7B7A-43D3-8B79-37D633B846F1}">
                                <asvg:svgBlip xmlns:asvg="http://schemas.microsoft.com/office/drawing/2016/SVG/main" r:embed="rId46"/>
                              </a:ext>
                            </a:extLst>
                          </a:blip>
                          <a:stretch>
                            <a:fillRect/>
                          </a:stretch>
                        </pic:blipFill>
                        <pic:spPr>
                          <a:xfrm>
                            <a:off x="0" y="0"/>
                            <a:ext cx="364557" cy="411480"/>
                          </a:xfrm>
                          <a:prstGeom prst="rect">
                            <a:avLst/>
                          </a:prstGeom>
                        </pic:spPr>
                      </pic:pic>
                    </a:graphicData>
                  </a:graphic>
                </wp:inline>
              </w:drawing>
            </w:r>
            <w:r w:rsidR="001C5FD9" w:rsidRPr="00D21F77">
              <w:rPr>
                <w:rFonts w:ascii="VIC" w:hAnsi="VIC"/>
                <w:szCs w:val="20"/>
              </w:rPr>
              <w:t xml:space="preserve"> </w:t>
            </w:r>
            <w:r w:rsidRPr="000E73BE">
              <w:rPr>
                <w:rFonts w:ascii="VIC SemiBold" w:hAnsi="VIC SemiBold"/>
                <w:noProof/>
                <w:color w:val="C00000"/>
              </w:rPr>
              <w:drawing>
                <wp:inline distT="0" distB="0" distL="0" distR="0" wp14:anchorId="259D9C7D" wp14:editId="2A893364">
                  <wp:extent cx="422306" cy="411480"/>
                  <wp:effectExtent l="0" t="0" r="0" b="7620"/>
                  <wp:docPr id="423" name="Graphic 423" descr="Transparency and competi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ransparency and competition icon"/>
                          <pic:cNvPicPr/>
                        </pic:nvPicPr>
                        <pic:blipFill rotWithShape="1">
                          <a:blip r:embed="rId43" cstate="screen">
                            <a:extLst>
                              <a:ext uri="{28A0092B-C50C-407E-A947-70E740481C1C}">
                                <a14:useLocalDpi xmlns:a14="http://schemas.microsoft.com/office/drawing/2010/main"/>
                              </a:ext>
                              <a:ext uri="{96DAC541-7B7A-43D3-8B79-37D633B846F1}">
                                <asvg:svgBlip xmlns:asvg="http://schemas.microsoft.com/office/drawing/2016/SVG/main" r:embed="rId44"/>
                              </a:ext>
                            </a:extLst>
                          </a:blip>
                          <a:srcRect l="10264" t="11299" r="6530" b="7627"/>
                          <a:stretch/>
                        </pic:blipFill>
                        <pic:spPr bwMode="auto">
                          <a:xfrm>
                            <a:off x="0" y="0"/>
                            <a:ext cx="422306" cy="411480"/>
                          </a:xfrm>
                          <a:prstGeom prst="rect">
                            <a:avLst/>
                          </a:prstGeom>
                          <a:ln>
                            <a:noFill/>
                          </a:ln>
                          <a:extLst>
                            <a:ext uri="{53640926-AAD7-44D8-BBD7-CCE9431645EC}">
                              <a14:shadowObscured xmlns:a14="http://schemas.microsoft.com/office/drawing/2010/main"/>
                            </a:ext>
                          </a:extLst>
                        </pic:spPr>
                      </pic:pic>
                    </a:graphicData>
                  </a:graphic>
                </wp:inline>
              </w:drawing>
            </w:r>
          </w:p>
          <w:p w14:paraId="6454ACD3" w14:textId="72760DE4" w:rsidR="001C5FD9" w:rsidRPr="00D21F77" w:rsidRDefault="00367DC9" w:rsidP="00F7602B">
            <w:pPr>
              <w:rPr>
                <w:rFonts w:ascii="VIC" w:hAnsi="VIC"/>
                <w:szCs w:val="20"/>
              </w:rPr>
            </w:pPr>
            <w:r w:rsidRPr="000E73BE">
              <w:rPr>
                <w:rFonts w:ascii="VIC SemiBold" w:hAnsi="VIC SemiBold"/>
                <w:noProof/>
                <w:color w:val="C00000"/>
              </w:rPr>
              <w:drawing>
                <wp:inline distT="0" distB="0" distL="0" distR="0" wp14:anchorId="35FFD6B2" wp14:editId="32DC2FAD">
                  <wp:extent cx="405727" cy="411480"/>
                  <wp:effectExtent l="0" t="0" r="0" b="7620"/>
                  <wp:docPr id="432" name="Graphic 432" descr="Scalability and effici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calability and efficiency icon"/>
                          <pic:cNvPicPr/>
                        </pic:nvPicPr>
                        <pic:blipFill>
                          <a:blip r:embed="rId48" cstate="screen">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05727" cy="411480"/>
                          </a:xfrm>
                          <a:prstGeom prst="rect">
                            <a:avLst/>
                          </a:prstGeom>
                        </pic:spPr>
                      </pic:pic>
                    </a:graphicData>
                  </a:graphic>
                </wp:inline>
              </w:drawing>
            </w:r>
          </w:p>
        </w:tc>
        <w:tc>
          <w:tcPr>
            <w:tcW w:w="2700" w:type="dxa"/>
          </w:tcPr>
          <w:p w14:paraId="1F76F95D" w14:textId="6957158E"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4D40244A">
              <w:rPr>
                <w:rFonts w:ascii="VIC" w:hAnsi="VIC" w:hint="eastAsia"/>
              </w:rPr>
              <w:t>Facilitates project development and governs public construction in Victoria</w:t>
            </w:r>
          </w:p>
        </w:tc>
        <w:tc>
          <w:tcPr>
            <w:tcW w:w="7020" w:type="dxa"/>
          </w:tcPr>
          <w:p w14:paraId="4F678932" w14:textId="73EC0DEF" w:rsidR="00355C69" w:rsidRPr="009E7AC7" w:rsidRDefault="00170FE6" w:rsidP="00F7602B">
            <w:pPr>
              <w:cnfStyle w:val="000000000000" w:firstRow="0" w:lastRow="0" w:firstColumn="0" w:lastColumn="0" w:oddVBand="0" w:evenVBand="0" w:oddHBand="0" w:evenHBand="0" w:firstRowFirstColumn="0" w:firstRowLastColumn="0" w:lastRowFirstColumn="0" w:lastRowLastColumn="0"/>
              <w:rPr>
                <w:rFonts w:ascii="VIC" w:hAnsi="VIC"/>
              </w:rPr>
            </w:pPr>
            <w:r>
              <w:rPr>
                <w:rFonts w:ascii="VIC" w:hAnsi="VIC"/>
              </w:rPr>
              <w:t>Under t</w:t>
            </w:r>
            <w:r w:rsidRPr="4D40244A">
              <w:rPr>
                <w:rFonts w:ascii="VIC" w:hAnsi="VIC" w:hint="eastAsia"/>
              </w:rPr>
              <w:t xml:space="preserve">his </w:t>
            </w:r>
            <w:r w:rsidR="00355C69" w:rsidRPr="4D40244A">
              <w:rPr>
                <w:rFonts w:ascii="VIC" w:hAnsi="VIC" w:hint="eastAsia"/>
              </w:rPr>
              <w:t xml:space="preserve">legislation </w:t>
            </w:r>
            <w:r w:rsidR="001C5FD9" w:rsidRPr="4D40244A">
              <w:rPr>
                <w:rFonts w:ascii="VIC" w:hAnsi="VIC" w:hint="eastAsia"/>
              </w:rPr>
              <w:t>the Assistant Treasurer set</w:t>
            </w:r>
            <w:r>
              <w:rPr>
                <w:rFonts w:ascii="VIC" w:hAnsi="VIC"/>
              </w:rPr>
              <w:t>s</w:t>
            </w:r>
            <w:r w:rsidR="001C5FD9" w:rsidRPr="4D40244A">
              <w:rPr>
                <w:rFonts w:ascii="VIC" w:hAnsi="VIC" w:hint="eastAsia"/>
              </w:rPr>
              <w:t xml:space="preserve"> standards and issue</w:t>
            </w:r>
            <w:r>
              <w:rPr>
                <w:rFonts w:ascii="VIC" w:hAnsi="VIC"/>
              </w:rPr>
              <w:t>s</w:t>
            </w:r>
            <w:r w:rsidR="001C5FD9" w:rsidRPr="4D40244A">
              <w:rPr>
                <w:rFonts w:ascii="VIC" w:hAnsi="VIC" w:hint="eastAsia"/>
              </w:rPr>
              <w:t xml:space="preserve"> directions for public construction. It provides the legislative framework for procurement, tendering and contracting procedures and practices for public construction in Victoria.</w:t>
            </w:r>
          </w:p>
          <w:p w14:paraId="32492F0A" w14:textId="51950B4A" w:rsidR="001C5FD9" w:rsidRPr="009E7AC7" w:rsidRDefault="00894832" w:rsidP="00F7602B">
            <w:pPr>
              <w:cnfStyle w:val="000000000000" w:firstRow="0" w:lastRow="0" w:firstColumn="0" w:lastColumn="0" w:oddVBand="0" w:evenVBand="0" w:oddHBand="0" w:evenHBand="0" w:firstRowFirstColumn="0" w:firstRowLastColumn="0" w:lastRowFirstColumn="0" w:lastRowLastColumn="0"/>
              <w:rPr>
                <w:rFonts w:ascii="VIC" w:hAnsi="VIC" w:cstheme="minorHAnsi"/>
                <w:color w:val="53565A" w:themeColor="hyperlink"/>
                <w:szCs w:val="17"/>
                <w:u w:val="single"/>
              </w:rPr>
            </w:pPr>
            <w:hyperlink r:id="rId205">
              <w:r w:rsidR="001C5FD9" w:rsidRPr="00504DD2">
                <w:rPr>
                  <w:rFonts w:ascii="VIC" w:hAnsi="VIC" w:cstheme="minorHAnsi" w:hint="eastAsia"/>
                  <w:color w:val="53565A" w:themeColor="hyperlink"/>
                  <w:szCs w:val="17"/>
                  <w:u w:val="single"/>
                </w:rPr>
                <w:t>https://www.legislation.vic.gov.au/in-force/acts/project-development-and-construction-management-act-1994/046</w:t>
              </w:r>
            </w:hyperlink>
          </w:p>
          <w:p w14:paraId="3C9E6CB2" w14:textId="00CCFFAF" w:rsidR="001C5FD9" w:rsidRPr="004F0C3E"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00504DD2">
              <w:rPr>
                <w:rFonts w:ascii="VIC" w:hAnsi="VIC" w:hint="eastAsia"/>
                <w:szCs w:val="17"/>
              </w:rPr>
              <w:t>The</w:t>
            </w:r>
            <w:r w:rsidRPr="00504DD2">
              <w:rPr>
                <w:rFonts w:ascii="VIC" w:hAnsi="VIC" w:hint="eastAsia"/>
                <w:i/>
                <w:iCs/>
                <w:szCs w:val="17"/>
              </w:rPr>
              <w:t xml:space="preserve"> </w:t>
            </w:r>
            <w:r w:rsidRPr="00504DD2">
              <w:rPr>
                <w:rFonts w:ascii="VIC" w:hAnsi="VIC" w:hint="eastAsia"/>
                <w:szCs w:val="17"/>
              </w:rPr>
              <w:t>MTPF</w:t>
            </w:r>
            <w:r w:rsidR="005630C3" w:rsidRPr="00504DD2">
              <w:rPr>
                <w:rFonts w:ascii="VIC" w:hAnsi="VIC" w:hint="eastAsia"/>
                <w:szCs w:val="17"/>
              </w:rPr>
              <w:t xml:space="preserve"> </w:t>
            </w:r>
            <w:r w:rsidRPr="00504DD2">
              <w:rPr>
                <w:rFonts w:ascii="VIC" w:hAnsi="VIC" w:hint="eastAsia"/>
                <w:szCs w:val="17"/>
              </w:rPr>
              <w:t>A</w:t>
            </w:r>
            <w:r w:rsidR="005630C3" w:rsidRPr="00504DD2">
              <w:rPr>
                <w:rFonts w:ascii="VIC" w:hAnsi="VIC" w:hint="eastAsia"/>
                <w:szCs w:val="17"/>
              </w:rPr>
              <w:t>ct</w:t>
            </w:r>
            <w:r w:rsidRPr="00504DD2">
              <w:rPr>
                <w:rFonts w:ascii="VIC" w:hAnsi="VIC" w:hint="eastAsia"/>
                <w:szCs w:val="17"/>
              </w:rPr>
              <w:t xml:space="preserve"> and the </w:t>
            </w:r>
            <w:r w:rsidRPr="00504DD2">
              <w:rPr>
                <w:rFonts w:ascii="VIC" w:hAnsi="VIC" w:hint="eastAsia"/>
                <w:i/>
                <w:iCs/>
                <w:szCs w:val="17"/>
              </w:rPr>
              <w:t>Development Victoria Act 2003</w:t>
            </w:r>
            <w:r w:rsidRPr="00504DD2">
              <w:rPr>
                <w:rFonts w:ascii="VIC" w:hAnsi="VIC" w:hint="eastAsia"/>
                <w:i/>
                <w:szCs w:val="17"/>
              </w:rPr>
              <w:t xml:space="preserve"> </w:t>
            </w:r>
            <w:r w:rsidR="005630C3" w:rsidRPr="00504DD2">
              <w:rPr>
                <w:rFonts w:ascii="VIC" w:hAnsi="VIC" w:hint="eastAsia"/>
                <w:i/>
                <w:iCs/>
                <w:szCs w:val="17"/>
              </w:rPr>
              <w:t>(Vic)</w:t>
            </w:r>
            <w:r w:rsidRPr="00504DD2">
              <w:rPr>
                <w:rFonts w:ascii="VIC" w:hAnsi="VIC" w:hint="eastAsia"/>
                <w:b/>
                <w:bCs/>
                <w:szCs w:val="17"/>
              </w:rPr>
              <w:t xml:space="preserve"> </w:t>
            </w:r>
            <w:r w:rsidRPr="00504DD2">
              <w:rPr>
                <w:rFonts w:ascii="VIC" w:hAnsi="VIC" w:hint="eastAsia"/>
                <w:szCs w:val="17"/>
              </w:rPr>
              <w:t>represent alternative enabling legislation for certain projects</w:t>
            </w:r>
            <w:r w:rsidR="0011092E" w:rsidRPr="00504DD2">
              <w:rPr>
                <w:rFonts w:ascii="VIC" w:hAnsi="VIC" w:hint="eastAsia"/>
                <w:szCs w:val="17"/>
              </w:rPr>
              <w:t>. They</w:t>
            </w:r>
            <w:r w:rsidRPr="00504DD2">
              <w:rPr>
                <w:rFonts w:ascii="VIC" w:hAnsi="VIC" w:hint="eastAsia"/>
                <w:szCs w:val="17"/>
              </w:rPr>
              <w:t xml:space="preserve"> build on </w:t>
            </w:r>
            <w:r w:rsidR="00A5395D" w:rsidRPr="4D40244A">
              <w:rPr>
                <w:rFonts w:ascii="VIC" w:hAnsi="VIC"/>
              </w:rPr>
              <w:t>this</w:t>
            </w:r>
            <w:r w:rsidR="0011092E" w:rsidRPr="00504DD2">
              <w:rPr>
                <w:rFonts w:ascii="VIC" w:hAnsi="VIC" w:hint="eastAsia"/>
                <w:szCs w:val="17"/>
              </w:rPr>
              <w:t xml:space="preserve"> legislation</w:t>
            </w:r>
            <w:r w:rsidRPr="00504DD2">
              <w:rPr>
                <w:rFonts w:ascii="VIC" w:hAnsi="VIC" w:hint="eastAsia"/>
                <w:szCs w:val="17"/>
              </w:rPr>
              <w:t xml:space="preserve"> by providing </w:t>
            </w:r>
            <w:r w:rsidR="0011092E" w:rsidRPr="00504DD2">
              <w:rPr>
                <w:rFonts w:ascii="VIC" w:hAnsi="VIC" w:hint="eastAsia"/>
                <w:szCs w:val="17"/>
              </w:rPr>
              <w:t xml:space="preserve">a </w:t>
            </w:r>
            <w:r w:rsidRPr="00504DD2">
              <w:rPr>
                <w:rFonts w:ascii="VIC" w:hAnsi="VIC" w:hint="eastAsia"/>
                <w:szCs w:val="17"/>
              </w:rPr>
              <w:t>streamlined approach to seeking planning and environmental assessments and approvals</w:t>
            </w:r>
          </w:p>
          <w:p w14:paraId="24BCCF3E" w14:textId="77777777"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zCs w:val="17"/>
              </w:rPr>
            </w:pPr>
          </w:p>
        </w:tc>
        <w:tc>
          <w:tcPr>
            <w:tcW w:w="2430" w:type="dxa"/>
          </w:tcPr>
          <w:p w14:paraId="7A674A8C" w14:textId="77777777"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zCs w:val="17"/>
              </w:rPr>
            </w:pPr>
            <w:r w:rsidRPr="00504DD2">
              <w:rPr>
                <w:rFonts w:ascii="VIC" w:hAnsi="VIC" w:hint="eastAsia"/>
                <w:szCs w:val="17"/>
              </w:rPr>
              <w:t>Tendering, tender evaluation, contracting and contract management</w:t>
            </w:r>
          </w:p>
        </w:tc>
      </w:tr>
      <w:tr w:rsidR="001C5FD9" w:rsidRPr="004B5A4E" w14:paraId="7A3896D0"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12D212AB" w14:textId="1942D714" w:rsidR="001C5FD9" w:rsidRPr="00D21F77" w:rsidRDefault="001C5FD9" w:rsidP="00F7602B">
            <w:pPr>
              <w:rPr>
                <w:rFonts w:ascii="VIC" w:hAnsi="VIC"/>
                <w:szCs w:val="20"/>
              </w:rPr>
            </w:pPr>
            <w:r w:rsidRPr="00D21F77">
              <w:rPr>
                <w:rFonts w:ascii="VIC" w:hAnsi="VIC"/>
                <w:szCs w:val="20"/>
              </w:rPr>
              <w:t xml:space="preserve">Ministerial </w:t>
            </w:r>
            <w:r w:rsidR="000D63A8" w:rsidRPr="00D21F77">
              <w:rPr>
                <w:rFonts w:ascii="VIC" w:hAnsi="VIC"/>
                <w:szCs w:val="20"/>
              </w:rPr>
              <w:t>D</w:t>
            </w:r>
            <w:r w:rsidRPr="00D21F77">
              <w:rPr>
                <w:rFonts w:ascii="VIC" w:hAnsi="VIC"/>
                <w:szCs w:val="20"/>
              </w:rPr>
              <w:t>irections and Instructions for Public Construction Procurement in Victoria</w:t>
            </w:r>
          </w:p>
          <w:p w14:paraId="2022E59E" w14:textId="1A47DA3D" w:rsidR="001C5FD9" w:rsidRPr="00D21F77" w:rsidRDefault="00FA33F5" w:rsidP="00F7602B">
            <w:pPr>
              <w:rPr>
                <w:rFonts w:ascii="VIC" w:hAnsi="VIC"/>
                <w:szCs w:val="20"/>
              </w:rPr>
            </w:pPr>
            <w:r w:rsidRPr="000E73BE">
              <w:rPr>
                <w:rFonts w:ascii="VIC SemiBold" w:hAnsi="VIC SemiBold"/>
                <w:noProof/>
                <w:color w:val="C00000"/>
              </w:rPr>
              <w:drawing>
                <wp:inline distT="0" distB="0" distL="0" distR="0" wp14:anchorId="57CD6078" wp14:editId="7CFAC371">
                  <wp:extent cx="411480" cy="411480"/>
                  <wp:effectExtent l="0" t="0" r="0" b="7620"/>
                  <wp:docPr id="98" name="Graphic 98"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001C5FD9" w:rsidRPr="00D21F77">
              <w:rPr>
                <w:rFonts w:ascii="VIC" w:hAnsi="VIC"/>
                <w:szCs w:val="20"/>
              </w:rPr>
              <w:t xml:space="preserve"> </w:t>
            </w:r>
            <w:r w:rsidRPr="000E73BE">
              <w:rPr>
                <w:rFonts w:ascii="VIC SemiBold" w:hAnsi="VIC SemiBold"/>
                <w:noProof/>
                <w:color w:val="C00000"/>
              </w:rPr>
              <w:drawing>
                <wp:inline distT="0" distB="0" distL="0" distR="0" wp14:anchorId="4B7A6B51" wp14:editId="3273DA51">
                  <wp:extent cx="422306" cy="411480"/>
                  <wp:effectExtent l="0" t="0" r="0" b="7620"/>
                  <wp:docPr id="424" name="Graphic 424" descr="Transparency and competi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ransparency and competition icon"/>
                          <pic:cNvPicPr/>
                        </pic:nvPicPr>
                        <pic:blipFill rotWithShape="1">
                          <a:blip r:embed="rId43" cstate="screen">
                            <a:extLst>
                              <a:ext uri="{28A0092B-C50C-407E-A947-70E740481C1C}">
                                <a14:useLocalDpi xmlns:a14="http://schemas.microsoft.com/office/drawing/2010/main"/>
                              </a:ext>
                              <a:ext uri="{96DAC541-7B7A-43D3-8B79-37D633B846F1}">
                                <asvg:svgBlip xmlns:asvg="http://schemas.microsoft.com/office/drawing/2016/SVG/main" r:embed="rId44"/>
                              </a:ext>
                            </a:extLst>
                          </a:blip>
                          <a:srcRect l="10264" t="11299" r="6530" b="7627"/>
                          <a:stretch/>
                        </pic:blipFill>
                        <pic:spPr bwMode="auto">
                          <a:xfrm>
                            <a:off x="0" y="0"/>
                            <a:ext cx="422306" cy="411480"/>
                          </a:xfrm>
                          <a:prstGeom prst="rect">
                            <a:avLst/>
                          </a:prstGeom>
                          <a:ln>
                            <a:noFill/>
                          </a:ln>
                          <a:extLst>
                            <a:ext uri="{53640926-AAD7-44D8-BBD7-CCE9431645EC}">
                              <a14:shadowObscured xmlns:a14="http://schemas.microsoft.com/office/drawing/2010/main"/>
                            </a:ext>
                          </a:extLst>
                        </pic:spPr>
                      </pic:pic>
                    </a:graphicData>
                  </a:graphic>
                </wp:inline>
              </w:drawing>
            </w:r>
            <w:r w:rsidR="00367DC9" w:rsidRPr="000E73BE">
              <w:rPr>
                <w:rFonts w:ascii="VIC SemiBold" w:hAnsi="VIC SemiBold"/>
                <w:noProof/>
                <w:color w:val="C00000"/>
              </w:rPr>
              <w:drawing>
                <wp:inline distT="0" distB="0" distL="0" distR="0" wp14:anchorId="518C1912" wp14:editId="06AAA940">
                  <wp:extent cx="364557" cy="411480"/>
                  <wp:effectExtent l="0" t="0" r="0" b="7620"/>
                  <wp:docPr id="430" name="Graphic 430" descr="Prob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robity icon"/>
                          <pic:cNvPicPr/>
                        </pic:nvPicPr>
                        <pic:blipFill>
                          <a:blip r:embed="rId45" cstate="screen">
                            <a:extLst>
                              <a:ext uri="{28A0092B-C50C-407E-A947-70E740481C1C}">
                                <a14:useLocalDpi xmlns:a14="http://schemas.microsoft.com/office/drawing/2010/main"/>
                              </a:ext>
                              <a:ext uri="{96DAC541-7B7A-43D3-8B79-37D633B846F1}">
                                <asvg:svgBlip xmlns:asvg="http://schemas.microsoft.com/office/drawing/2016/SVG/main" r:embed="rId46"/>
                              </a:ext>
                            </a:extLst>
                          </a:blip>
                          <a:stretch>
                            <a:fillRect/>
                          </a:stretch>
                        </pic:blipFill>
                        <pic:spPr>
                          <a:xfrm>
                            <a:off x="0" y="0"/>
                            <a:ext cx="364557" cy="411480"/>
                          </a:xfrm>
                          <a:prstGeom prst="rect">
                            <a:avLst/>
                          </a:prstGeom>
                        </pic:spPr>
                      </pic:pic>
                    </a:graphicData>
                  </a:graphic>
                </wp:inline>
              </w:drawing>
            </w:r>
          </w:p>
          <w:p w14:paraId="75CF9A6A" w14:textId="0E6775FE" w:rsidR="001C5FD9" w:rsidRPr="00D21F77" w:rsidRDefault="00367DC9" w:rsidP="00F7602B">
            <w:pPr>
              <w:rPr>
                <w:rFonts w:ascii="VIC" w:hAnsi="VIC"/>
                <w:szCs w:val="20"/>
              </w:rPr>
            </w:pPr>
            <w:r w:rsidRPr="000E73BE">
              <w:rPr>
                <w:rFonts w:ascii="VIC SemiBold" w:hAnsi="VIC SemiBold"/>
                <w:noProof/>
                <w:color w:val="C00000"/>
              </w:rPr>
              <w:drawing>
                <wp:inline distT="0" distB="0" distL="0" distR="0" wp14:anchorId="32264068" wp14:editId="008192ED">
                  <wp:extent cx="405727" cy="411480"/>
                  <wp:effectExtent l="0" t="0" r="0" b="7620"/>
                  <wp:docPr id="433" name="Graphic 433" descr="Scalability and effici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calability and efficiency icon"/>
                          <pic:cNvPicPr/>
                        </pic:nvPicPr>
                        <pic:blipFill>
                          <a:blip r:embed="rId48" cstate="screen">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05727" cy="411480"/>
                          </a:xfrm>
                          <a:prstGeom prst="rect">
                            <a:avLst/>
                          </a:prstGeom>
                        </pic:spPr>
                      </pic:pic>
                    </a:graphicData>
                  </a:graphic>
                </wp:inline>
              </w:drawing>
            </w:r>
          </w:p>
        </w:tc>
        <w:tc>
          <w:tcPr>
            <w:tcW w:w="2700" w:type="dxa"/>
          </w:tcPr>
          <w:p w14:paraId="3863C14E" w14:textId="5DDEEF1F"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rPr>
            </w:pPr>
            <w:r w:rsidRPr="70A7A30D">
              <w:rPr>
                <w:rFonts w:ascii="VIC" w:hAnsi="VIC" w:hint="eastAsia"/>
              </w:rPr>
              <w:t>Prescribes detailed principles and procedures that agencies must comply with when procuring public construction works and services</w:t>
            </w:r>
            <w:r w:rsidR="005A4992" w:rsidRPr="70A7A30D">
              <w:rPr>
                <w:rFonts w:ascii="VIC" w:hAnsi="VIC" w:hint="eastAsia"/>
              </w:rPr>
              <w:t>, including</w:t>
            </w:r>
            <w:r w:rsidRPr="70A7A30D">
              <w:rPr>
                <w:rFonts w:ascii="VIC" w:hAnsi="VIC" w:hint="eastAsia"/>
              </w:rPr>
              <w:t xml:space="preserve"> requirements for tendering and contracting practices</w:t>
            </w:r>
          </w:p>
        </w:tc>
        <w:tc>
          <w:tcPr>
            <w:tcW w:w="7020" w:type="dxa"/>
          </w:tcPr>
          <w:p w14:paraId="65FB9D48" w14:textId="2C8808A3" w:rsidR="001C5FD9" w:rsidRPr="009E7AC7" w:rsidRDefault="0011092E" w:rsidP="00F7602B">
            <w:pPr>
              <w:cnfStyle w:val="000000010000" w:firstRow="0" w:lastRow="0" w:firstColumn="0" w:lastColumn="0" w:oddVBand="0" w:evenVBand="0" w:oddHBand="0" w:evenHBand="1" w:firstRowFirstColumn="0" w:firstRowLastColumn="0" w:lastRowFirstColumn="0" w:lastRowLastColumn="0"/>
              <w:rPr>
                <w:rFonts w:ascii="VIC" w:hAnsi="VIC"/>
              </w:rPr>
            </w:pPr>
            <w:r w:rsidRPr="70A7A30D">
              <w:rPr>
                <w:rFonts w:ascii="VIC" w:hAnsi="VIC" w:hint="eastAsia"/>
              </w:rPr>
              <w:t xml:space="preserve">These </w:t>
            </w:r>
            <w:r w:rsidR="00170FE6">
              <w:rPr>
                <w:rFonts w:ascii="VIC" w:hAnsi="VIC"/>
              </w:rPr>
              <w:t xml:space="preserve">directions and instructions </w:t>
            </w:r>
            <w:r w:rsidRPr="70A7A30D">
              <w:rPr>
                <w:rFonts w:ascii="VIC" w:hAnsi="VIC" w:hint="eastAsia"/>
              </w:rPr>
              <w:t xml:space="preserve">require </w:t>
            </w:r>
            <w:r w:rsidR="001C5FD9" w:rsidRPr="70A7A30D">
              <w:rPr>
                <w:rFonts w:ascii="VIC" w:hAnsi="VIC" w:hint="eastAsia"/>
              </w:rPr>
              <w:t xml:space="preserve">practitioners undertaking </w:t>
            </w:r>
            <w:r w:rsidR="00170FE6">
              <w:rPr>
                <w:rFonts w:ascii="VIC" w:hAnsi="VIC"/>
              </w:rPr>
              <w:t>c</w:t>
            </w:r>
            <w:r w:rsidR="00170FE6" w:rsidRPr="70A7A30D">
              <w:rPr>
                <w:rFonts w:ascii="VIC" w:hAnsi="VIC" w:hint="eastAsia"/>
              </w:rPr>
              <w:t xml:space="preserve">onstruction </w:t>
            </w:r>
            <w:r w:rsidR="00170FE6">
              <w:rPr>
                <w:rFonts w:ascii="VIC" w:hAnsi="VIC"/>
              </w:rPr>
              <w:t>p</w:t>
            </w:r>
            <w:r w:rsidR="00170FE6" w:rsidRPr="70A7A30D">
              <w:rPr>
                <w:rFonts w:ascii="VIC" w:hAnsi="VIC" w:hint="eastAsia"/>
              </w:rPr>
              <w:t xml:space="preserve">rocurement </w:t>
            </w:r>
            <w:r w:rsidR="001C5FD9" w:rsidRPr="70A7A30D">
              <w:rPr>
                <w:rFonts w:ascii="VIC" w:hAnsi="VIC" w:hint="eastAsia"/>
              </w:rPr>
              <w:t>to:</w:t>
            </w:r>
          </w:p>
          <w:p w14:paraId="00CDCC18" w14:textId="10ED453A" w:rsidR="001C5FD9" w:rsidRPr="004F0C3E" w:rsidRDefault="0011092E"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e</w:t>
            </w:r>
            <w:r w:rsidR="001C5FD9">
              <w:t>mbed principles for public construction procurement in all procurement processes (</w:t>
            </w:r>
            <w:r w:rsidR="00155062">
              <w:t>see</w:t>
            </w:r>
            <w:r w:rsidR="000A3506">
              <w:t xml:space="preserve"> Section</w:t>
            </w:r>
            <w:r w:rsidR="00155062">
              <w:t xml:space="preserve"> </w:t>
            </w:r>
            <w:r w:rsidR="000A3506">
              <w:fldChar w:fldCharType="begin"/>
            </w:r>
            <w:r w:rsidR="000A3506">
              <w:instrText xml:space="preserve"> REF _Ref147432203 \r \h </w:instrText>
            </w:r>
            <w:r w:rsidR="000A3506">
              <w:fldChar w:fldCharType="separate"/>
            </w:r>
            <w:r w:rsidR="008A4B3E">
              <w:t>1.2</w:t>
            </w:r>
            <w:r w:rsidR="000A3506">
              <w:fldChar w:fldCharType="end"/>
            </w:r>
            <w:r w:rsidR="000A3506">
              <w:t xml:space="preserve"> </w:t>
            </w:r>
            <w:r w:rsidR="000A3506">
              <w:fldChar w:fldCharType="begin"/>
            </w:r>
            <w:r w:rsidR="000A3506">
              <w:instrText xml:space="preserve"> REF _Ref147432296 \h </w:instrText>
            </w:r>
            <w:r w:rsidR="000A3506">
              <w:fldChar w:fldCharType="separate"/>
            </w:r>
            <w:r w:rsidR="008A4B3E" w:rsidRPr="009F64F6">
              <w:t>Principles for government procurement</w:t>
            </w:r>
            <w:r w:rsidR="000A3506">
              <w:fldChar w:fldCharType="end"/>
            </w:r>
            <w:r w:rsidR="001C5FD9">
              <w:t>)</w:t>
            </w:r>
          </w:p>
          <w:p w14:paraId="721B6EA3" w14:textId="75277D1C" w:rsidR="001C5FD9" w:rsidRPr="004F0C3E" w:rsidRDefault="0011092E"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c</w:t>
            </w:r>
            <w:r w:rsidR="001C5FD9">
              <w:t>omply with International agreements where applicable</w:t>
            </w:r>
          </w:p>
          <w:p w14:paraId="21704CB8" w14:textId="113367AD" w:rsidR="001C5FD9" w:rsidRPr="004F0C3E" w:rsidRDefault="0011092E"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u</w:t>
            </w:r>
            <w:r w:rsidR="001C5FD9">
              <w:t>ndertake appropriate planning and preparation prior to conducting a procurement</w:t>
            </w:r>
          </w:p>
          <w:p w14:paraId="6C3BE444" w14:textId="6A22240D" w:rsidR="001C5FD9" w:rsidRPr="004F0C3E" w:rsidRDefault="0011092E"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p</w:t>
            </w:r>
            <w:r w:rsidR="001C5FD9">
              <w:t>romote competition and contestability in procurements by setting thresholds and requirements for open, selective or limited tendering</w:t>
            </w:r>
          </w:p>
          <w:p w14:paraId="50B0F219" w14:textId="5973E050" w:rsidR="001C5FD9" w:rsidRPr="004F0C3E" w:rsidRDefault="0011092E"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p</w:t>
            </w:r>
            <w:r w:rsidR="001C5FD9">
              <w:t xml:space="preserve">romote efficiency in the tender process and reduce the time and cost of tendering for both industry and </w:t>
            </w:r>
            <w:r w:rsidR="00694FC5">
              <w:t>G</w:t>
            </w:r>
            <w:r w:rsidR="001C5FD9">
              <w:t>overnment</w:t>
            </w:r>
          </w:p>
          <w:p w14:paraId="2F448A6A" w14:textId="1D46DB63" w:rsidR="001C5FD9" w:rsidRPr="004F0C3E" w:rsidRDefault="00694FC5"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e</w:t>
            </w:r>
            <w:r w:rsidR="001C5FD9">
              <w:t xml:space="preserve">nsure open and fair competition by issuing the market with tender notices </w:t>
            </w:r>
            <w:r w:rsidR="00170FE6">
              <w:t>before</w:t>
            </w:r>
            <w:r w:rsidR="001C5FD9">
              <w:t xml:space="preserve"> and at commencement of a tender process</w:t>
            </w:r>
          </w:p>
          <w:p w14:paraId="737EDC79" w14:textId="26D15D83" w:rsidR="001C5FD9" w:rsidRPr="004F0C3E" w:rsidRDefault="00694FC5"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p</w:t>
            </w:r>
            <w:r w:rsidR="001C5FD9">
              <w:t>rovide sufficient time for the market to respond to tenders</w:t>
            </w:r>
          </w:p>
          <w:p w14:paraId="64DCF13C" w14:textId="57680EF3" w:rsidR="001C5FD9" w:rsidRPr="004F0C3E" w:rsidRDefault="00694FC5"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u</w:t>
            </w:r>
            <w:r w:rsidR="001C5FD9">
              <w:t>se model tender documentation designed for use with a Victorian Public Construction Contract where appropriate</w:t>
            </w:r>
          </w:p>
          <w:p w14:paraId="0B1F7E91" w14:textId="6C7FF274" w:rsidR="001C5FD9" w:rsidRPr="004F0C3E" w:rsidRDefault="00694FC5"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e</w:t>
            </w:r>
            <w:r w:rsidR="001C5FD9">
              <w:t>nsure tender documentation clearly sets out tender terms and conditions</w:t>
            </w:r>
          </w:p>
          <w:p w14:paraId="52472624" w14:textId="36AD1F28" w:rsidR="001C5FD9" w:rsidRPr="004F0C3E" w:rsidRDefault="00694FC5"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d</w:t>
            </w:r>
            <w:r w:rsidR="001C5FD9">
              <w:t>isclose tender evaluation criteria</w:t>
            </w:r>
          </w:p>
          <w:p w14:paraId="0E8F0607" w14:textId="0007076C" w:rsidR="001C5FD9" w:rsidRPr="004F0C3E" w:rsidRDefault="00694FC5"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p</w:t>
            </w:r>
            <w:r w:rsidR="001C5FD9">
              <w:t>repare a tender evaluation plan outlining processes and resources for assessing tenders</w:t>
            </w:r>
          </w:p>
          <w:p w14:paraId="1FE6F0F1" w14:textId="1CC76952" w:rsidR="001C5FD9" w:rsidRPr="004F0C3E" w:rsidRDefault="00694FC5"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a</w:t>
            </w:r>
            <w:r w:rsidR="001C5FD9">
              <w:t>pply appropriate probity and public sector values throughout the procurement</w:t>
            </w:r>
          </w:p>
          <w:p w14:paraId="79B62271" w14:textId="425B28ED" w:rsidR="001C5FD9" w:rsidRPr="004F0C3E" w:rsidRDefault="00694FC5"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p</w:t>
            </w:r>
            <w:r w:rsidR="001C5FD9">
              <w:t>ublish details of procurements and contracts</w:t>
            </w:r>
          </w:p>
          <w:p w14:paraId="5B544189" w14:textId="4D4D290A" w:rsidR="001C5FD9" w:rsidRPr="004F0C3E" w:rsidRDefault="00694FC5"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u</w:t>
            </w:r>
            <w:r w:rsidR="001C5FD9">
              <w:t xml:space="preserve">se Victorian Public Construction </w:t>
            </w:r>
            <w:r w:rsidR="00D11FC5">
              <w:t>Contracts</w:t>
            </w:r>
            <w:r w:rsidR="001C5FD9">
              <w:t xml:space="preserve"> where appropriate</w:t>
            </w:r>
          </w:p>
          <w:p w14:paraId="4A63019B" w14:textId="2394D3D9" w:rsidR="001C5FD9" w:rsidRPr="004F0C3E" w:rsidRDefault="00694FC5"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d</w:t>
            </w:r>
            <w:r w:rsidR="001C5FD9">
              <w:t>ebrief tender participants</w:t>
            </w:r>
          </w:p>
          <w:p w14:paraId="5341732B" w14:textId="46D9D2C5" w:rsidR="001C5FD9" w:rsidRPr="004F0C3E" w:rsidRDefault="00694FC5" w:rsidP="001D2615">
            <w:pPr>
              <w:pStyle w:val="Tablebullet"/>
              <w:spacing w:before="40" w:after="40"/>
              <w:cnfStyle w:val="000000010000" w:firstRow="0" w:lastRow="0" w:firstColumn="0" w:lastColumn="0" w:oddVBand="0" w:evenVBand="0" w:oddHBand="0" w:evenHBand="1" w:firstRowFirstColumn="0" w:firstRowLastColumn="0" w:lastRowFirstColumn="0" w:lastRowLastColumn="0"/>
            </w:pPr>
            <w:r>
              <w:t>a</w:t>
            </w:r>
            <w:r w:rsidR="001C5FD9">
              <w:t>ssess supplier performance.</w:t>
            </w:r>
          </w:p>
          <w:p w14:paraId="10EC2CFD" w14:textId="36F003E9" w:rsidR="001C5FD9" w:rsidRPr="009E7AC7" w:rsidRDefault="00894832" w:rsidP="00F7602B">
            <w:pPr>
              <w:cnfStyle w:val="000000010000" w:firstRow="0" w:lastRow="0" w:firstColumn="0" w:lastColumn="0" w:oddVBand="0" w:evenVBand="0" w:oddHBand="0" w:evenHBand="1" w:firstRowFirstColumn="0" w:firstRowLastColumn="0" w:lastRowFirstColumn="0" w:lastRowLastColumn="0"/>
              <w:rPr>
                <w:rFonts w:ascii="VIC" w:hAnsi="VIC" w:cstheme="minorHAnsi"/>
                <w:szCs w:val="17"/>
              </w:rPr>
            </w:pPr>
            <w:hyperlink r:id="rId206" w:history="1">
              <w:r w:rsidR="001C5FD9" w:rsidRPr="00504DD2">
                <w:rPr>
                  <w:rFonts w:ascii="VIC" w:hAnsi="VIC" w:cstheme="minorHAnsi" w:hint="eastAsia"/>
                  <w:color w:val="53565A" w:themeColor="hyperlink"/>
                  <w:szCs w:val="17"/>
                  <w:u w:val="single"/>
                </w:rPr>
                <w:t>https://www.dtf.vic.gov.au/public-construction-policy-and-resources/ministerial-directions-and-instructions-public-construction-procurement</w:t>
              </w:r>
            </w:hyperlink>
            <w:r w:rsidR="001C5FD9" w:rsidRPr="00504DD2">
              <w:rPr>
                <w:rFonts w:ascii="VIC" w:hAnsi="VIC" w:cstheme="minorHAnsi" w:hint="eastAsia"/>
                <w:color w:val="auto"/>
                <w:szCs w:val="17"/>
              </w:rPr>
              <w:t xml:space="preserve"> </w:t>
            </w:r>
          </w:p>
        </w:tc>
        <w:tc>
          <w:tcPr>
            <w:tcW w:w="2430" w:type="dxa"/>
          </w:tcPr>
          <w:p w14:paraId="4F869CC2" w14:textId="77777777"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b/>
                <w:szCs w:val="17"/>
              </w:rPr>
            </w:pPr>
            <w:r w:rsidRPr="00504DD2">
              <w:rPr>
                <w:rFonts w:ascii="VIC" w:hAnsi="VIC" w:hint="eastAsia"/>
                <w:szCs w:val="17"/>
              </w:rPr>
              <w:t>Tendering, tender evaluation, contracting and contract management</w:t>
            </w:r>
          </w:p>
        </w:tc>
      </w:tr>
      <w:tr w:rsidR="001C5FD9" w:rsidRPr="004B5A4E" w14:paraId="2E3D7E89"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67FEAFAF" w14:textId="77777777" w:rsidR="001C5FD9" w:rsidRPr="00D21F77" w:rsidRDefault="001C5FD9" w:rsidP="00F7602B">
            <w:pPr>
              <w:rPr>
                <w:rFonts w:ascii="VIC" w:hAnsi="VIC"/>
                <w:szCs w:val="20"/>
              </w:rPr>
            </w:pPr>
            <w:r w:rsidRPr="00D21F77">
              <w:rPr>
                <w:rFonts w:ascii="VIC" w:hAnsi="VIC"/>
                <w:szCs w:val="20"/>
              </w:rPr>
              <w:t>International trade agreements</w:t>
            </w:r>
          </w:p>
          <w:p w14:paraId="30A6ABCF" w14:textId="4B04D626" w:rsidR="001C5FD9" w:rsidRPr="00D21F77" w:rsidRDefault="00FA33F5" w:rsidP="00F7602B">
            <w:pPr>
              <w:rPr>
                <w:rFonts w:ascii="VIC" w:hAnsi="VIC"/>
                <w:szCs w:val="20"/>
              </w:rPr>
            </w:pPr>
            <w:r w:rsidRPr="000E73BE">
              <w:rPr>
                <w:rFonts w:ascii="VIC SemiBold" w:hAnsi="VIC SemiBold"/>
                <w:noProof/>
                <w:color w:val="C00000"/>
              </w:rPr>
              <w:drawing>
                <wp:inline distT="0" distB="0" distL="0" distR="0" wp14:anchorId="13984108" wp14:editId="53037F7C">
                  <wp:extent cx="422306" cy="411480"/>
                  <wp:effectExtent l="0" t="0" r="0" b="7620"/>
                  <wp:docPr id="425" name="Graphic 425" descr="Transparency and competi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ransparency and competition icon"/>
                          <pic:cNvPicPr/>
                        </pic:nvPicPr>
                        <pic:blipFill rotWithShape="1">
                          <a:blip r:embed="rId43" cstate="screen">
                            <a:extLst>
                              <a:ext uri="{28A0092B-C50C-407E-A947-70E740481C1C}">
                                <a14:useLocalDpi xmlns:a14="http://schemas.microsoft.com/office/drawing/2010/main"/>
                              </a:ext>
                              <a:ext uri="{96DAC541-7B7A-43D3-8B79-37D633B846F1}">
                                <asvg:svgBlip xmlns:asvg="http://schemas.microsoft.com/office/drawing/2016/SVG/main" r:embed="rId44"/>
                              </a:ext>
                            </a:extLst>
                          </a:blip>
                          <a:srcRect l="10264" t="11299" r="6530" b="7627"/>
                          <a:stretch/>
                        </pic:blipFill>
                        <pic:spPr bwMode="auto">
                          <a:xfrm>
                            <a:off x="0" y="0"/>
                            <a:ext cx="422306" cy="411480"/>
                          </a:xfrm>
                          <a:prstGeom prst="rect">
                            <a:avLst/>
                          </a:prstGeom>
                          <a:ln>
                            <a:noFill/>
                          </a:ln>
                          <a:extLst>
                            <a:ext uri="{53640926-AAD7-44D8-BBD7-CCE9431645EC}">
                              <a14:shadowObscured xmlns:a14="http://schemas.microsoft.com/office/drawing/2010/main"/>
                            </a:ext>
                          </a:extLst>
                        </pic:spPr>
                      </pic:pic>
                    </a:graphicData>
                  </a:graphic>
                </wp:inline>
              </w:drawing>
            </w:r>
          </w:p>
        </w:tc>
        <w:tc>
          <w:tcPr>
            <w:tcW w:w="2700" w:type="dxa"/>
          </w:tcPr>
          <w:p w14:paraId="0519F8DF" w14:textId="3DD4F527"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70A7A30D">
              <w:rPr>
                <w:rFonts w:ascii="VIC" w:hAnsi="VIC" w:hint="eastAsia"/>
              </w:rPr>
              <w:t>Reduces or eliminates barriers to trade between Australia and other economies, including providing businesses in other economies with non</w:t>
            </w:r>
            <w:r w:rsidR="00E72394">
              <w:rPr>
                <w:rFonts w:ascii="VIC" w:hAnsi="VIC"/>
              </w:rPr>
              <w:noBreakHyphen/>
            </w:r>
            <w:r w:rsidRPr="70A7A30D">
              <w:rPr>
                <w:rFonts w:ascii="VIC" w:hAnsi="VIC" w:hint="eastAsia"/>
              </w:rPr>
              <w:t>discriminatory access to government procurement activities</w:t>
            </w:r>
          </w:p>
        </w:tc>
        <w:tc>
          <w:tcPr>
            <w:tcW w:w="7020" w:type="dxa"/>
          </w:tcPr>
          <w:p w14:paraId="506D403A" w14:textId="08654E02" w:rsidR="001C5FD9" w:rsidRPr="004F0C3E" w:rsidRDefault="00694FC5"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70A7A30D">
              <w:rPr>
                <w:rFonts w:ascii="VIC" w:hAnsi="VIC" w:hint="eastAsia"/>
              </w:rPr>
              <w:t xml:space="preserve">These require </w:t>
            </w:r>
            <w:r w:rsidR="001C5FD9" w:rsidRPr="70A7A30D">
              <w:rPr>
                <w:rFonts w:ascii="VIC" w:hAnsi="VIC" w:hint="eastAsia"/>
              </w:rPr>
              <w:t xml:space="preserve">agencies to comply with rules, procedures and transparency requirements for </w:t>
            </w:r>
            <w:r w:rsidR="00F36657" w:rsidRPr="70A7A30D">
              <w:rPr>
                <w:rFonts w:ascii="VIC" w:hAnsi="VIC"/>
              </w:rPr>
              <w:t>government</w:t>
            </w:r>
            <w:r w:rsidR="001C5FD9" w:rsidRPr="70A7A30D">
              <w:rPr>
                <w:rFonts w:ascii="VIC" w:hAnsi="VIC" w:hint="eastAsia"/>
              </w:rPr>
              <w:t xml:space="preserve"> purchasing.</w:t>
            </w:r>
          </w:p>
          <w:p w14:paraId="0A45DA46" w14:textId="4B13FA5E" w:rsidR="001C5FD9" w:rsidRPr="004F0C3E" w:rsidRDefault="00694FC5"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70A7A30D">
              <w:rPr>
                <w:rFonts w:ascii="VIC" w:hAnsi="VIC"/>
              </w:rPr>
              <w:t>The</w:t>
            </w:r>
            <w:r w:rsidRPr="70A7A30D">
              <w:rPr>
                <w:rFonts w:ascii="VIC" w:hAnsi="VIC" w:hint="eastAsia"/>
              </w:rPr>
              <w:t xml:space="preserve"> i</w:t>
            </w:r>
            <w:r w:rsidR="001C5FD9" w:rsidRPr="70A7A30D">
              <w:rPr>
                <w:rFonts w:ascii="VIC" w:hAnsi="VIC" w:hint="eastAsia"/>
              </w:rPr>
              <w:t>mpact</w:t>
            </w:r>
            <w:r w:rsidRPr="70A7A30D">
              <w:rPr>
                <w:rFonts w:ascii="VIC" w:hAnsi="VIC" w:hint="eastAsia"/>
              </w:rPr>
              <w:t>s</w:t>
            </w:r>
            <w:r w:rsidR="001C5FD9" w:rsidRPr="70A7A30D">
              <w:rPr>
                <w:rFonts w:ascii="VIC" w:hAnsi="VIC" w:hint="eastAsia"/>
              </w:rPr>
              <w:t xml:space="preserve"> on tendering conditions</w:t>
            </w:r>
            <w:r w:rsidRPr="70A7A30D">
              <w:rPr>
                <w:rFonts w:ascii="VIC" w:hAnsi="VIC" w:hint="eastAsia"/>
              </w:rPr>
              <w:t xml:space="preserve"> may</w:t>
            </w:r>
            <w:r w:rsidR="001C5FD9" w:rsidRPr="70A7A30D">
              <w:rPr>
                <w:rFonts w:ascii="VIC" w:hAnsi="VIC"/>
              </w:rPr>
              <w:t xml:space="preserve"> includ</w:t>
            </w:r>
            <w:r w:rsidRPr="70A7A30D">
              <w:rPr>
                <w:rFonts w:ascii="VIC" w:hAnsi="VIC"/>
              </w:rPr>
              <w:t>e</w:t>
            </w:r>
            <w:r w:rsidR="001C5FD9" w:rsidRPr="70A7A30D">
              <w:rPr>
                <w:rFonts w:ascii="VIC" w:hAnsi="VIC" w:hint="eastAsia"/>
              </w:rPr>
              <w:t>:</w:t>
            </w:r>
          </w:p>
          <w:p w14:paraId="34D363CE" w14:textId="7421E147" w:rsidR="001C5FD9" w:rsidRPr="004F0C3E" w:rsidRDefault="001C5FD9" w:rsidP="001D2615">
            <w:pPr>
              <w:pStyle w:val="Tablebullet"/>
              <w:cnfStyle w:val="000000000000" w:firstRow="0" w:lastRow="0" w:firstColumn="0" w:lastColumn="0" w:oddVBand="0" w:evenVBand="0" w:oddHBand="0" w:evenHBand="0" w:firstRowFirstColumn="0" w:firstRowLastColumn="0" w:lastRowFirstColumn="0" w:lastRowLastColumn="0"/>
            </w:pPr>
            <w:r>
              <w:t>requiring tenders to be accessible to the open market, restricting use of select tendering processes</w:t>
            </w:r>
          </w:p>
          <w:p w14:paraId="2CA8AE67" w14:textId="520EA42E" w:rsidR="001C5FD9" w:rsidRPr="004F0C3E" w:rsidRDefault="001C5FD9" w:rsidP="001D2615">
            <w:pPr>
              <w:pStyle w:val="Tablebullet"/>
              <w:cnfStyle w:val="000000000000" w:firstRow="0" w:lastRow="0" w:firstColumn="0" w:lastColumn="0" w:oddVBand="0" w:evenVBand="0" w:oddHBand="0" w:evenHBand="0" w:firstRowFirstColumn="0" w:firstRowLastColumn="0" w:lastRowFirstColumn="0" w:lastRowLastColumn="0"/>
            </w:pPr>
            <w:r>
              <w:t>prescribing the length of time tenders must remain open.</w:t>
            </w:r>
          </w:p>
          <w:p w14:paraId="5E3773B7" w14:textId="30D2C981" w:rsidR="001C5FD9" w:rsidRPr="009E7AC7" w:rsidRDefault="00894832" w:rsidP="00F7602B">
            <w:pPr>
              <w:cnfStyle w:val="000000000000" w:firstRow="0" w:lastRow="0" w:firstColumn="0" w:lastColumn="0" w:oddVBand="0" w:evenVBand="0" w:oddHBand="0" w:evenHBand="0" w:firstRowFirstColumn="0" w:firstRowLastColumn="0" w:lastRowFirstColumn="0" w:lastRowLastColumn="0"/>
              <w:rPr>
                <w:rFonts w:ascii="VIC" w:hAnsi="VIC" w:cstheme="minorHAnsi"/>
                <w:szCs w:val="17"/>
              </w:rPr>
            </w:pPr>
            <w:hyperlink r:id="rId207" w:history="1">
              <w:r w:rsidR="001C5FD9" w:rsidRPr="00504DD2">
                <w:rPr>
                  <w:rFonts w:ascii="VIC" w:hAnsi="VIC" w:cstheme="minorHAnsi" w:hint="eastAsia"/>
                  <w:color w:val="53565A" w:themeColor="hyperlink"/>
                  <w:szCs w:val="17"/>
                  <w:u w:val="single"/>
                </w:rPr>
                <w:t>https://www.dfat.gov.au/trade/about-ftas/about-free-trade-agreements</w:t>
              </w:r>
            </w:hyperlink>
            <w:r w:rsidR="001C5FD9" w:rsidRPr="00504DD2">
              <w:rPr>
                <w:rFonts w:ascii="VIC" w:hAnsi="VIC" w:cstheme="minorHAnsi" w:hint="eastAsia"/>
                <w:szCs w:val="17"/>
              </w:rPr>
              <w:t xml:space="preserve"> </w:t>
            </w:r>
          </w:p>
        </w:tc>
        <w:tc>
          <w:tcPr>
            <w:tcW w:w="2430" w:type="dxa"/>
          </w:tcPr>
          <w:p w14:paraId="105F2C91" w14:textId="77777777"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cstheme="minorHAnsi"/>
                <w:szCs w:val="17"/>
              </w:rPr>
            </w:pPr>
            <w:r w:rsidRPr="00504DD2">
              <w:rPr>
                <w:rFonts w:ascii="VIC" w:hAnsi="VIC" w:cstheme="minorHAnsi" w:hint="eastAsia"/>
                <w:szCs w:val="17"/>
              </w:rPr>
              <w:t>Tendering</w:t>
            </w:r>
          </w:p>
        </w:tc>
      </w:tr>
      <w:tr w:rsidR="001C5FD9" w:rsidRPr="004B5A4E" w14:paraId="2BE3A6B1"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082C08AB" w14:textId="00569633" w:rsidR="001C5FD9" w:rsidRPr="00D21F77" w:rsidRDefault="001C5FD9" w:rsidP="00F7602B">
            <w:pPr>
              <w:rPr>
                <w:rFonts w:ascii="VIC" w:hAnsi="VIC"/>
                <w:i/>
                <w:szCs w:val="20"/>
              </w:rPr>
            </w:pPr>
            <w:r w:rsidRPr="00171CF8">
              <w:rPr>
                <w:rFonts w:ascii="VIC" w:hAnsi="VIC"/>
                <w:i/>
              </w:rPr>
              <w:t>Audit Act 199</w:t>
            </w:r>
            <w:r w:rsidRPr="70A7A30D">
              <w:rPr>
                <w:rFonts w:ascii="VIC" w:hAnsi="VIC"/>
                <w:i/>
              </w:rPr>
              <w:t>4</w:t>
            </w:r>
            <w:r w:rsidR="000D63A8" w:rsidRPr="70A7A30D">
              <w:rPr>
                <w:rFonts w:ascii="VIC" w:hAnsi="VIC"/>
                <w:i/>
              </w:rPr>
              <w:t xml:space="preserve"> </w:t>
            </w:r>
            <w:r w:rsidR="000D63A8" w:rsidRPr="00D21F77">
              <w:rPr>
                <w:rFonts w:ascii="VIC" w:hAnsi="VIC"/>
                <w:szCs w:val="20"/>
              </w:rPr>
              <w:t>(Vic)</w:t>
            </w:r>
          </w:p>
          <w:p w14:paraId="1C5532C2" w14:textId="5BD11529" w:rsidR="001C5FD9" w:rsidRPr="00D21F77" w:rsidRDefault="00FA33F5" w:rsidP="00F7602B">
            <w:pPr>
              <w:rPr>
                <w:rFonts w:ascii="VIC" w:hAnsi="VIC"/>
                <w:szCs w:val="20"/>
              </w:rPr>
            </w:pPr>
            <w:r w:rsidRPr="000E73BE">
              <w:rPr>
                <w:rFonts w:ascii="VIC SemiBold" w:hAnsi="VIC SemiBold"/>
                <w:noProof/>
                <w:color w:val="C00000"/>
              </w:rPr>
              <w:drawing>
                <wp:inline distT="0" distB="0" distL="0" distR="0" wp14:anchorId="7F25B0AA" wp14:editId="63F763BD">
                  <wp:extent cx="411480" cy="411480"/>
                  <wp:effectExtent l="0" t="0" r="0" b="7620"/>
                  <wp:docPr id="100" name="Graphic 100"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0B88FD85" w14:textId="4C885EEA"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504DD2">
              <w:rPr>
                <w:rFonts w:ascii="VIC" w:hAnsi="VIC" w:hint="eastAsia"/>
                <w:szCs w:val="17"/>
              </w:rPr>
              <w:t>Enables the Victorian Auditor-General to conduct and report on financial and performance audits in the Victorian public sector</w:t>
            </w:r>
          </w:p>
        </w:tc>
        <w:tc>
          <w:tcPr>
            <w:tcW w:w="7020" w:type="dxa"/>
          </w:tcPr>
          <w:p w14:paraId="3586C2EA" w14:textId="2662263C" w:rsidR="00AD5122" w:rsidRDefault="00027D79" w:rsidP="00F7602B">
            <w:pPr>
              <w:contextualSpacing/>
              <w:cnfStyle w:val="000000010000" w:firstRow="0" w:lastRow="0" w:firstColumn="0" w:lastColumn="0" w:oddVBand="0" w:evenVBand="0" w:oddHBand="0" w:evenHBand="1" w:firstRowFirstColumn="0" w:firstRowLastColumn="0" w:lastRowFirstColumn="0" w:lastRowLastColumn="0"/>
              <w:rPr>
                <w:rFonts w:ascii="VIC" w:hAnsi="VIC"/>
              </w:rPr>
            </w:pPr>
            <w:r>
              <w:rPr>
                <w:rFonts w:ascii="VIC" w:hAnsi="VIC"/>
              </w:rPr>
              <w:t>Under this legislation, i</w:t>
            </w:r>
            <w:r w:rsidRPr="70A7A30D">
              <w:rPr>
                <w:rFonts w:ascii="VIC" w:hAnsi="VIC" w:hint="eastAsia"/>
              </w:rPr>
              <w:t xml:space="preserve">nfrastructure </w:t>
            </w:r>
            <w:r w:rsidR="001C5FD9" w:rsidRPr="70A7A30D">
              <w:rPr>
                <w:rFonts w:ascii="VIC" w:hAnsi="VIC" w:hint="eastAsia"/>
              </w:rPr>
              <w:t>programs, projects or procurements may be subject to performance audits by the Victorian Auditor-</w:t>
            </w:r>
            <w:r w:rsidR="001C5FD9" w:rsidRPr="70A7A30D">
              <w:rPr>
                <w:rFonts w:ascii="VIC" w:hAnsi="VIC"/>
              </w:rPr>
              <w:t>General</w:t>
            </w:r>
            <w:r w:rsidR="00344D3F">
              <w:rPr>
                <w:rFonts w:ascii="VIC" w:hAnsi="VIC"/>
              </w:rPr>
              <w:t>’</w:t>
            </w:r>
            <w:r w:rsidR="001C5FD9" w:rsidRPr="70A7A30D">
              <w:rPr>
                <w:rFonts w:ascii="VIC" w:hAnsi="VIC"/>
              </w:rPr>
              <w:t>s</w:t>
            </w:r>
            <w:r w:rsidR="001C5FD9" w:rsidRPr="70A7A30D">
              <w:rPr>
                <w:rFonts w:ascii="VIC" w:hAnsi="VIC" w:hint="eastAsia"/>
              </w:rPr>
              <w:t xml:space="preserve"> Office</w:t>
            </w:r>
            <w:r w:rsidR="00DF6E1F" w:rsidRPr="70A7A30D">
              <w:rPr>
                <w:rFonts w:ascii="VIC" w:hAnsi="VIC"/>
              </w:rPr>
              <w:t>.</w:t>
            </w:r>
          </w:p>
          <w:p w14:paraId="21727DE8" w14:textId="1E1D0970" w:rsidR="001C5FD9" w:rsidRPr="009E7AC7" w:rsidRDefault="00DF6E1F" w:rsidP="00F7602B">
            <w:pPr>
              <w:contextualSpacing/>
              <w:cnfStyle w:val="000000010000" w:firstRow="0" w:lastRow="0" w:firstColumn="0" w:lastColumn="0" w:oddVBand="0" w:evenVBand="0" w:oddHBand="0" w:evenHBand="1" w:firstRowFirstColumn="0" w:firstRowLastColumn="0" w:lastRowFirstColumn="0" w:lastRowLastColumn="0"/>
              <w:rPr>
                <w:rFonts w:ascii="VIC" w:hAnsi="VIC"/>
              </w:rPr>
            </w:pPr>
            <w:r w:rsidRPr="70A7A30D">
              <w:rPr>
                <w:rFonts w:ascii="VIC" w:hAnsi="VIC"/>
              </w:rPr>
              <w:t xml:space="preserve"> </w:t>
            </w:r>
            <w:hyperlink r:id="rId208">
              <w:r w:rsidR="00E72394">
                <w:rPr>
                  <w:rFonts w:ascii="VIC" w:hAnsi="VIC"/>
                  <w:color w:val="53565A"/>
                  <w:u w:val="single"/>
                </w:rPr>
                <w:t>https://www.legislation.vic.gov.au/in-force/acts/audit-act-1994</w:t>
              </w:r>
            </w:hyperlink>
          </w:p>
          <w:p w14:paraId="4054F5AA" w14:textId="77777777"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p>
        </w:tc>
        <w:tc>
          <w:tcPr>
            <w:tcW w:w="2430" w:type="dxa"/>
          </w:tcPr>
          <w:p w14:paraId="16614012" w14:textId="77777777"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504DD2">
              <w:rPr>
                <w:rFonts w:ascii="VIC" w:hAnsi="VIC" w:hint="eastAsia"/>
                <w:szCs w:val="17"/>
              </w:rPr>
              <w:t>Whole of investment lifecycle</w:t>
            </w:r>
          </w:p>
        </w:tc>
      </w:tr>
      <w:tr w:rsidR="001C5FD9" w:rsidRPr="004B5A4E" w14:paraId="496A06C6"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577E97F6" w14:textId="29159930" w:rsidR="001C5FD9" w:rsidRPr="00D21F77" w:rsidRDefault="001C5FD9" w:rsidP="00F7602B">
            <w:pPr>
              <w:rPr>
                <w:rFonts w:ascii="VIC" w:hAnsi="VIC"/>
                <w:szCs w:val="20"/>
              </w:rPr>
            </w:pPr>
            <w:r w:rsidRPr="00171CF8">
              <w:rPr>
                <w:rFonts w:ascii="VIC" w:hAnsi="VIC"/>
                <w:i/>
              </w:rPr>
              <w:t>Major Transport Projects Facilitation A</w:t>
            </w:r>
            <w:r w:rsidRPr="70A7A30D">
              <w:rPr>
                <w:rFonts w:ascii="VIC" w:hAnsi="VIC"/>
                <w:i/>
              </w:rPr>
              <w:t>ct</w:t>
            </w:r>
            <w:r w:rsidR="000D63A8" w:rsidRPr="70A7A30D">
              <w:rPr>
                <w:rFonts w:ascii="VIC" w:hAnsi="VIC"/>
                <w:i/>
              </w:rPr>
              <w:t xml:space="preserve"> 2009 </w:t>
            </w:r>
            <w:r w:rsidR="000D63A8" w:rsidRPr="00D21F77">
              <w:rPr>
                <w:rFonts w:ascii="VIC" w:hAnsi="VIC"/>
                <w:szCs w:val="20"/>
              </w:rPr>
              <w:t>(Vic)</w:t>
            </w:r>
            <w:r w:rsidR="007A2B43" w:rsidRPr="00D21F77">
              <w:rPr>
                <w:rFonts w:ascii="VIC" w:hAnsi="VIC"/>
                <w:i/>
                <w:szCs w:val="20"/>
              </w:rPr>
              <w:t xml:space="preserve"> </w:t>
            </w:r>
            <w:r w:rsidR="007A2B43" w:rsidRPr="00D21F77">
              <w:rPr>
                <w:rFonts w:ascii="VIC" w:hAnsi="VIC"/>
                <w:szCs w:val="20"/>
              </w:rPr>
              <w:t>(MTPF Act)</w:t>
            </w:r>
          </w:p>
          <w:p w14:paraId="2E989308" w14:textId="44DF553C" w:rsidR="001C5FD9" w:rsidRPr="00D21F77" w:rsidRDefault="00FA33F5" w:rsidP="00F7602B">
            <w:pPr>
              <w:rPr>
                <w:rFonts w:ascii="VIC" w:hAnsi="VIC"/>
                <w:szCs w:val="20"/>
              </w:rPr>
            </w:pPr>
            <w:r w:rsidRPr="000E73BE">
              <w:rPr>
                <w:rFonts w:ascii="VIC SemiBold" w:hAnsi="VIC SemiBold"/>
                <w:noProof/>
                <w:color w:val="C00000"/>
              </w:rPr>
              <w:drawing>
                <wp:inline distT="0" distB="0" distL="0" distR="0" wp14:anchorId="29CD323F" wp14:editId="400D6C42">
                  <wp:extent cx="411480" cy="411480"/>
                  <wp:effectExtent l="0" t="0" r="0" b="7620"/>
                  <wp:docPr id="101" name="Graphic 101"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001C5FD9" w:rsidRPr="00D21F77">
              <w:rPr>
                <w:rFonts w:ascii="VIC" w:hAnsi="VIC"/>
                <w:szCs w:val="20"/>
              </w:rPr>
              <w:t xml:space="preserve"> </w:t>
            </w:r>
            <w:r w:rsidR="00367DC9" w:rsidRPr="000E73BE">
              <w:rPr>
                <w:rFonts w:ascii="VIC SemiBold" w:hAnsi="VIC SemiBold"/>
                <w:noProof/>
                <w:color w:val="C00000"/>
              </w:rPr>
              <w:drawing>
                <wp:inline distT="0" distB="0" distL="0" distR="0" wp14:anchorId="46D5AF92" wp14:editId="0EBD468A">
                  <wp:extent cx="405727" cy="411480"/>
                  <wp:effectExtent l="0" t="0" r="0" b="7620"/>
                  <wp:docPr id="434" name="Graphic 434" descr="Scalability and effici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calability and efficiency icon"/>
                          <pic:cNvPicPr/>
                        </pic:nvPicPr>
                        <pic:blipFill>
                          <a:blip r:embed="rId48" cstate="screen">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05727" cy="411480"/>
                          </a:xfrm>
                          <a:prstGeom prst="rect">
                            <a:avLst/>
                          </a:prstGeom>
                        </pic:spPr>
                      </pic:pic>
                    </a:graphicData>
                  </a:graphic>
                </wp:inline>
              </w:drawing>
            </w:r>
          </w:p>
        </w:tc>
        <w:tc>
          <w:tcPr>
            <w:tcW w:w="2700" w:type="dxa"/>
          </w:tcPr>
          <w:p w14:paraId="2E4D6B81" w14:textId="77777777"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zCs w:val="17"/>
              </w:rPr>
            </w:pPr>
            <w:r w:rsidRPr="00504DD2">
              <w:rPr>
                <w:rFonts w:ascii="VIC" w:hAnsi="VIC" w:hint="eastAsia"/>
                <w:szCs w:val="17"/>
              </w:rPr>
              <w:t>Facilitates the development and procurement of major transport projects</w:t>
            </w:r>
          </w:p>
        </w:tc>
        <w:tc>
          <w:tcPr>
            <w:tcW w:w="7020" w:type="dxa"/>
          </w:tcPr>
          <w:p w14:paraId="6B220648" w14:textId="4C34038F" w:rsidR="001C5FD9" w:rsidRPr="004F0C3E" w:rsidRDefault="007A2B43"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70A7A30D">
              <w:rPr>
                <w:rFonts w:ascii="VIC" w:hAnsi="VIC" w:hint="eastAsia"/>
              </w:rPr>
              <w:t xml:space="preserve">This legislation facilitates </w:t>
            </w:r>
            <w:r w:rsidR="001C5FD9" w:rsidRPr="70A7A30D">
              <w:rPr>
                <w:rFonts w:ascii="VIC" w:hAnsi="VIC" w:hint="eastAsia"/>
              </w:rPr>
              <w:t xml:space="preserve">the development of major transport projects and drives efficiencies in </w:t>
            </w:r>
            <w:r w:rsidR="00C56F3D" w:rsidRPr="70A7A30D">
              <w:rPr>
                <w:rFonts w:ascii="VIC" w:hAnsi="VIC"/>
              </w:rPr>
              <w:t>PDDD</w:t>
            </w:r>
            <w:r w:rsidR="001C5FD9" w:rsidRPr="70A7A30D">
              <w:rPr>
                <w:rFonts w:ascii="VIC" w:hAnsi="VIC" w:hint="eastAsia"/>
              </w:rPr>
              <w:t xml:space="preserve"> activities</w:t>
            </w:r>
            <w:r w:rsidRPr="70A7A30D">
              <w:rPr>
                <w:rFonts w:ascii="VIC" w:hAnsi="VIC" w:hint="eastAsia"/>
              </w:rPr>
              <w:t>.</w:t>
            </w:r>
          </w:p>
          <w:p w14:paraId="1357F0DE" w14:textId="72213FDE" w:rsidR="001C5FD9" w:rsidRPr="004F0C3E"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70A7A30D">
              <w:rPr>
                <w:rFonts w:ascii="VIC" w:hAnsi="VIC" w:hint="eastAsia"/>
              </w:rPr>
              <w:t>The Premier of Victoria is responsible for declaring transport projects under the MTPF</w:t>
            </w:r>
            <w:r w:rsidR="007A2B43" w:rsidRPr="70A7A30D">
              <w:rPr>
                <w:rFonts w:ascii="VIC" w:hAnsi="VIC" w:hint="eastAsia"/>
              </w:rPr>
              <w:t xml:space="preserve"> </w:t>
            </w:r>
            <w:r w:rsidRPr="70A7A30D">
              <w:rPr>
                <w:rFonts w:ascii="VIC" w:hAnsi="VIC" w:hint="eastAsia"/>
              </w:rPr>
              <w:t>A</w:t>
            </w:r>
            <w:r w:rsidR="007A2B43" w:rsidRPr="70A7A30D">
              <w:rPr>
                <w:rFonts w:ascii="VIC" w:hAnsi="VIC" w:hint="eastAsia"/>
              </w:rPr>
              <w:t>ct</w:t>
            </w:r>
            <w:r w:rsidRPr="70A7A30D">
              <w:rPr>
                <w:rFonts w:ascii="VIC" w:hAnsi="VIC" w:hint="eastAsia"/>
              </w:rPr>
              <w:t>.</w:t>
            </w:r>
          </w:p>
          <w:p w14:paraId="2FC0401A" w14:textId="5742F0A8" w:rsidR="001C5FD9" w:rsidRPr="004F0C3E" w:rsidRDefault="001C5FD9" w:rsidP="00F7602B">
            <w:pPr>
              <w:spacing w:line="276" w:lineRule="auto"/>
              <w:cnfStyle w:val="000000000000" w:firstRow="0" w:lastRow="0" w:firstColumn="0" w:lastColumn="0" w:oddVBand="0" w:evenVBand="0" w:oddHBand="0" w:evenHBand="0" w:firstRowFirstColumn="0" w:firstRowLastColumn="0" w:lastRowFirstColumn="0" w:lastRowLastColumn="0"/>
              <w:rPr>
                <w:rFonts w:ascii="VIC" w:eastAsia="VIC" w:hAnsi="VIC"/>
              </w:rPr>
            </w:pPr>
            <w:r w:rsidRPr="70A7A30D">
              <w:rPr>
                <w:rFonts w:ascii="VIC" w:eastAsia="VIC" w:hAnsi="VIC"/>
              </w:rPr>
              <w:t>The MTPF</w:t>
            </w:r>
            <w:r w:rsidR="007A2B43" w:rsidRPr="70A7A30D">
              <w:rPr>
                <w:rFonts w:ascii="VIC" w:eastAsia="VIC" w:hAnsi="VIC"/>
              </w:rPr>
              <w:t xml:space="preserve"> </w:t>
            </w:r>
            <w:r w:rsidRPr="70A7A30D">
              <w:rPr>
                <w:rFonts w:ascii="VIC" w:eastAsia="VIC" w:hAnsi="VIC"/>
              </w:rPr>
              <w:t>A</w:t>
            </w:r>
            <w:r w:rsidR="007A2B43" w:rsidRPr="70A7A30D">
              <w:rPr>
                <w:rFonts w:ascii="VIC" w:eastAsia="VIC" w:hAnsi="VIC"/>
              </w:rPr>
              <w:t>ct</w:t>
            </w:r>
            <w:r w:rsidR="00344D3F">
              <w:rPr>
                <w:rFonts w:ascii="VIC" w:eastAsia="VIC" w:hAnsi="VIC"/>
              </w:rPr>
              <w:t>’</w:t>
            </w:r>
            <w:r w:rsidRPr="70A7A30D">
              <w:rPr>
                <w:rFonts w:ascii="VIC" w:eastAsia="VIC" w:hAnsi="VIC"/>
              </w:rPr>
              <w:t>s planning assessment and approval provisions seek to streamline the assessment and approvals processes and provide a range of planning and environmental approvals for a project in a single approval decision (see Parts</w:t>
            </w:r>
            <w:r w:rsidR="007A2B43" w:rsidRPr="70A7A30D">
              <w:rPr>
                <w:rFonts w:ascii="Calibri" w:eastAsia="VIC" w:hAnsi="Calibri" w:cs="Calibri"/>
              </w:rPr>
              <w:t> </w:t>
            </w:r>
            <w:r w:rsidRPr="70A7A30D">
              <w:rPr>
                <w:rFonts w:ascii="VIC" w:eastAsia="VIC" w:hAnsi="VIC"/>
              </w:rPr>
              <w:t>3 and 8 of the MTPF</w:t>
            </w:r>
            <w:r w:rsidR="007A2B43" w:rsidRPr="70A7A30D">
              <w:rPr>
                <w:rFonts w:ascii="VIC" w:eastAsia="VIC" w:hAnsi="VIC"/>
              </w:rPr>
              <w:t xml:space="preserve"> </w:t>
            </w:r>
            <w:r w:rsidRPr="70A7A30D">
              <w:rPr>
                <w:rFonts w:ascii="VIC" w:eastAsia="VIC" w:hAnsi="VIC"/>
              </w:rPr>
              <w:t>A</w:t>
            </w:r>
            <w:r w:rsidR="007A2B43" w:rsidRPr="70A7A30D">
              <w:rPr>
                <w:rFonts w:ascii="VIC" w:eastAsia="VIC" w:hAnsi="VIC"/>
              </w:rPr>
              <w:t>ct</w:t>
            </w:r>
            <w:r w:rsidRPr="70A7A30D">
              <w:rPr>
                <w:rFonts w:ascii="VIC" w:eastAsia="VIC" w:hAnsi="VIC"/>
              </w:rPr>
              <w:t>).</w:t>
            </w:r>
          </w:p>
          <w:p w14:paraId="7D67FBE9" w14:textId="1EA8F7C5" w:rsidR="001C5FD9" w:rsidRPr="004F0C3E" w:rsidRDefault="001C5FD9" w:rsidP="00F7602B">
            <w:pPr>
              <w:spacing w:line="276" w:lineRule="auto"/>
              <w:cnfStyle w:val="000000000000" w:firstRow="0" w:lastRow="0" w:firstColumn="0" w:lastColumn="0" w:oddVBand="0" w:evenVBand="0" w:oddHBand="0" w:evenHBand="0" w:firstRowFirstColumn="0" w:firstRowLastColumn="0" w:lastRowFirstColumn="0" w:lastRowLastColumn="0"/>
              <w:rPr>
                <w:rFonts w:ascii="VIC" w:eastAsia="VIC" w:hAnsi="VIC"/>
              </w:rPr>
            </w:pPr>
            <w:r w:rsidRPr="70A7A30D">
              <w:rPr>
                <w:rFonts w:ascii="VIC" w:eastAsia="VIC" w:hAnsi="VIC"/>
              </w:rPr>
              <w:t>The MTPF</w:t>
            </w:r>
            <w:r w:rsidR="007A2B43" w:rsidRPr="70A7A30D">
              <w:rPr>
                <w:rFonts w:ascii="VIC" w:eastAsia="VIC" w:hAnsi="VIC"/>
              </w:rPr>
              <w:t xml:space="preserve"> </w:t>
            </w:r>
            <w:r w:rsidRPr="70A7A30D">
              <w:rPr>
                <w:rFonts w:ascii="VIC" w:eastAsia="VIC" w:hAnsi="VIC"/>
              </w:rPr>
              <w:t>A</w:t>
            </w:r>
            <w:r w:rsidR="007A2B43" w:rsidRPr="70A7A30D">
              <w:rPr>
                <w:rFonts w:ascii="VIC" w:eastAsia="VIC" w:hAnsi="VIC"/>
              </w:rPr>
              <w:t>ct</w:t>
            </w:r>
            <w:r w:rsidR="00344D3F">
              <w:rPr>
                <w:rFonts w:ascii="VIC" w:eastAsia="VIC" w:hAnsi="VIC"/>
              </w:rPr>
              <w:t>’</w:t>
            </w:r>
            <w:r w:rsidRPr="70A7A30D">
              <w:rPr>
                <w:rFonts w:ascii="VIC" w:eastAsia="VIC" w:hAnsi="VIC"/>
              </w:rPr>
              <w:t>s project delivery provisions provide a range of project delivery powers governing land acquisition and assembly, land management, road management, utilities and a range of other facilitating provisions.</w:t>
            </w:r>
          </w:p>
          <w:p w14:paraId="19380B04" w14:textId="5080A5A7" w:rsidR="001C5FD9" w:rsidRPr="009E7AC7" w:rsidRDefault="00894832" w:rsidP="00F7602B">
            <w:pPr>
              <w:cnfStyle w:val="000000000000" w:firstRow="0" w:lastRow="0" w:firstColumn="0" w:lastColumn="0" w:oddVBand="0" w:evenVBand="0" w:oddHBand="0" w:evenHBand="0" w:firstRowFirstColumn="0" w:firstRowLastColumn="0" w:lastRowFirstColumn="0" w:lastRowLastColumn="0"/>
              <w:rPr>
                <w:rStyle w:val="Hyperlink"/>
                <w:szCs w:val="17"/>
                <w:highlight w:val="yellow"/>
              </w:rPr>
            </w:pPr>
            <w:hyperlink r:id="rId209">
              <w:r w:rsidR="000202B2">
                <w:rPr>
                  <w:rStyle w:val="Hyperlink"/>
                  <w:szCs w:val="17"/>
                </w:rPr>
                <w:t>https://www.legislation.vic.gov.au/in-force/acts/major-transport-projects-facilitation-act-2009</w:t>
              </w:r>
            </w:hyperlink>
          </w:p>
        </w:tc>
        <w:tc>
          <w:tcPr>
            <w:tcW w:w="2430" w:type="dxa"/>
          </w:tcPr>
          <w:p w14:paraId="160B4530" w14:textId="77777777"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zCs w:val="17"/>
                <w:highlight w:val="yellow"/>
              </w:rPr>
            </w:pPr>
            <w:r w:rsidRPr="00504DD2">
              <w:rPr>
                <w:rFonts w:ascii="VIC" w:hAnsi="VIC" w:hint="eastAsia"/>
                <w:szCs w:val="17"/>
              </w:rPr>
              <w:t>Whole of investment lifecycle</w:t>
            </w:r>
          </w:p>
        </w:tc>
      </w:tr>
      <w:tr w:rsidR="001C5FD9" w:rsidRPr="004B5A4E" w14:paraId="7A4B8B4C"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0392A696" w14:textId="7901A15C" w:rsidR="001C5FD9" w:rsidRPr="00D21F77" w:rsidRDefault="001C5FD9" w:rsidP="00F7602B">
            <w:pPr>
              <w:rPr>
                <w:rFonts w:ascii="VIC" w:hAnsi="VIC"/>
                <w:i/>
                <w:szCs w:val="20"/>
              </w:rPr>
            </w:pPr>
            <w:r w:rsidRPr="00171CF8">
              <w:rPr>
                <w:rFonts w:ascii="VIC" w:hAnsi="VIC"/>
                <w:i/>
              </w:rPr>
              <w:t>Development Victoria Act 200</w:t>
            </w:r>
            <w:r w:rsidRPr="3FFFEB89">
              <w:rPr>
                <w:rFonts w:ascii="VIC" w:hAnsi="VIC"/>
                <w:i/>
              </w:rPr>
              <w:t>3</w:t>
            </w:r>
            <w:r w:rsidR="000D63A8" w:rsidRPr="3FFFEB89">
              <w:rPr>
                <w:rFonts w:ascii="VIC" w:hAnsi="VIC"/>
                <w:i/>
              </w:rPr>
              <w:t xml:space="preserve"> </w:t>
            </w:r>
            <w:r w:rsidR="000D63A8" w:rsidRPr="00D21F77">
              <w:rPr>
                <w:rFonts w:ascii="VIC" w:hAnsi="VIC"/>
                <w:szCs w:val="20"/>
              </w:rPr>
              <w:t>(Vic)</w:t>
            </w:r>
          </w:p>
          <w:p w14:paraId="2C0D7500" w14:textId="1E9282C7" w:rsidR="001C5FD9" w:rsidRPr="00D21F77" w:rsidRDefault="00FA33F5" w:rsidP="00F7602B">
            <w:pPr>
              <w:rPr>
                <w:rFonts w:ascii="VIC" w:hAnsi="VIC"/>
                <w:szCs w:val="20"/>
              </w:rPr>
            </w:pPr>
            <w:r w:rsidRPr="000E73BE">
              <w:rPr>
                <w:rFonts w:ascii="VIC SemiBold" w:hAnsi="VIC SemiBold"/>
                <w:noProof/>
                <w:color w:val="C00000"/>
              </w:rPr>
              <w:drawing>
                <wp:inline distT="0" distB="0" distL="0" distR="0" wp14:anchorId="23CCD1FA" wp14:editId="03A03246">
                  <wp:extent cx="411480" cy="411480"/>
                  <wp:effectExtent l="0" t="0" r="0" b="7620"/>
                  <wp:docPr id="102" name="Graphic 102"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001C5FD9" w:rsidRPr="00D21F77">
              <w:rPr>
                <w:rFonts w:ascii="VIC" w:hAnsi="VIC"/>
                <w:szCs w:val="20"/>
              </w:rPr>
              <w:t xml:space="preserve"> </w:t>
            </w:r>
            <w:r w:rsidR="00367DC9" w:rsidRPr="000E73BE">
              <w:rPr>
                <w:rFonts w:ascii="VIC SemiBold" w:hAnsi="VIC SemiBold"/>
                <w:noProof/>
                <w:color w:val="C00000"/>
              </w:rPr>
              <w:drawing>
                <wp:inline distT="0" distB="0" distL="0" distR="0" wp14:anchorId="75AFD92B" wp14:editId="762B2E65">
                  <wp:extent cx="405727" cy="411480"/>
                  <wp:effectExtent l="0" t="0" r="0" b="7620"/>
                  <wp:docPr id="435" name="Graphic 435" descr="Scalability and effici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calability and efficiency icon"/>
                          <pic:cNvPicPr/>
                        </pic:nvPicPr>
                        <pic:blipFill>
                          <a:blip r:embed="rId48" cstate="screen">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05727" cy="411480"/>
                          </a:xfrm>
                          <a:prstGeom prst="rect">
                            <a:avLst/>
                          </a:prstGeom>
                        </pic:spPr>
                      </pic:pic>
                    </a:graphicData>
                  </a:graphic>
                </wp:inline>
              </w:drawing>
            </w:r>
          </w:p>
        </w:tc>
        <w:tc>
          <w:tcPr>
            <w:tcW w:w="2700" w:type="dxa"/>
          </w:tcPr>
          <w:p w14:paraId="1B4E56CC" w14:textId="731FA1ED" w:rsidR="001C5FD9" w:rsidRPr="009E7AC7" w:rsidRDefault="005A4992" w:rsidP="00F7602B">
            <w:pPr>
              <w:cnfStyle w:val="000000010000" w:firstRow="0" w:lastRow="0" w:firstColumn="0" w:lastColumn="0" w:oddVBand="0" w:evenVBand="0" w:oddHBand="0" w:evenHBand="1" w:firstRowFirstColumn="0" w:firstRowLastColumn="0" w:lastRowFirstColumn="0" w:lastRowLastColumn="0"/>
              <w:rPr>
                <w:rFonts w:ascii="VIC" w:hAnsi="VIC"/>
              </w:rPr>
            </w:pPr>
            <w:r w:rsidRPr="5A027F05">
              <w:rPr>
                <w:rFonts w:ascii="VIC" w:hAnsi="VIC"/>
              </w:rPr>
              <w:t>F</w:t>
            </w:r>
            <w:r w:rsidR="001C5FD9" w:rsidRPr="5A027F05">
              <w:rPr>
                <w:rFonts w:ascii="VIC" w:hAnsi="VIC"/>
              </w:rPr>
              <w:t>acilitate</w:t>
            </w:r>
            <w:r w:rsidRPr="5A027F05">
              <w:rPr>
                <w:rFonts w:ascii="VIC" w:hAnsi="VIC"/>
              </w:rPr>
              <w:t>s</w:t>
            </w:r>
            <w:r w:rsidR="001C5FD9" w:rsidRPr="3FFFEB89">
              <w:rPr>
                <w:rFonts w:ascii="VIC" w:hAnsi="VIC" w:hint="eastAsia"/>
              </w:rPr>
              <w:t xml:space="preserve"> the development and procurement of major projects</w:t>
            </w:r>
          </w:p>
        </w:tc>
        <w:tc>
          <w:tcPr>
            <w:tcW w:w="7020" w:type="dxa"/>
          </w:tcPr>
          <w:p w14:paraId="276482C3" w14:textId="17D8A006" w:rsidR="001C5FD9" w:rsidRPr="009E7AC7" w:rsidRDefault="00FF3868" w:rsidP="00F7602B">
            <w:pPr>
              <w:cnfStyle w:val="000000010000" w:firstRow="0" w:lastRow="0" w:firstColumn="0" w:lastColumn="0" w:oddVBand="0" w:evenVBand="0" w:oddHBand="0" w:evenHBand="1" w:firstRowFirstColumn="0" w:firstRowLastColumn="0" w:lastRowFirstColumn="0" w:lastRowLastColumn="0"/>
              <w:rPr>
                <w:rFonts w:ascii="VIC" w:hAnsi="VIC"/>
              </w:rPr>
            </w:pPr>
            <w:r w:rsidRPr="70A7A30D">
              <w:rPr>
                <w:rFonts w:ascii="VIC" w:hAnsi="VIC" w:hint="eastAsia"/>
              </w:rPr>
              <w:t>This legislation establishes</w:t>
            </w:r>
            <w:r w:rsidR="001C5FD9" w:rsidRPr="70A7A30D">
              <w:rPr>
                <w:rFonts w:ascii="VIC" w:hAnsi="VIC" w:hint="eastAsia"/>
              </w:rPr>
              <w:t xml:space="preserve"> Development Victoria for the purpose of carrying out, managing or coordinating property development and social and economic capital works projects, particularly those that seek to optimise the social and economic value of surplus and underutilised Crown land.</w:t>
            </w:r>
          </w:p>
          <w:p w14:paraId="55F94496" w14:textId="55664783" w:rsidR="001C5FD9" w:rsidRPr="004F0C3E" w:rsidRDefault="00FF3868" w:rsidP="00F7602B">
            <w:pPr>
              <w:cnfStyle w:val="000000010000" w:firstRow="0" w:lastRow="0" w:firstColumn="0" w:lastColumn="0" w:oddVBand="0" w:evenVBand="0" w:oddHBand="0" w:evenHBand="1" w:firstRowFirstColumn="0" w:firstRowLastColumn="0" w:lastRowFirstColumn="0" w:lastRowLastColumn="0"/>
              <w:rPr>
                <w:rFonts w:ascii="VIC" w:hAnsi="VIC"/>
              </w:rPr>
            </w:pPr>
            <w:r w:rsidRPr="3FFFEB89">
              <w:rPr>
                <w:rFonts w:ascii="VIC" w:hAnsi="VIC" w:hint="eastAsia"/>
              </w:rPr>
              <w:t xml:space="preserve">It </w:t>
            </w:r>
            <w:r w:rsidRPr="3FFFEB89">
              <w:rPr>
                <w:rFonts w:ascii="VIC" w:hAnsi="VIC"/>
              </w:rPr>
              <w:t>e</w:t>
            </w:r>
            <w:r w:rsidR="001C5FD9" w:rsidRPr="3FFFEB89">
              <w:rPr>
                <w:rFonts w:ascii="VIC" w:hAnsi="VIC"/>
              </w:rPr>
              <w:t>nables</w:t>
            </w:r>
            <w:r w:rsidR="001C5FD9" w:rsidRPr="3FFFEB89">
              <w:rPr>
                <w:rFonts w:ascii="VIC" w:hAnsi="VIC" w:hint="eastAsia"/>
              </w:rPr>
              <w:t xml:space="preserve"> Development Victoria to provide technical and commercial advice </w:t>
            </w:r>
            <w:r w:rsidRPr="3FFFEB89">
              <w:rPr>
                <w:rFonts w:ascii="VIC" w:hAnsi="VIC" w:hint="eastAsia"/>
              </w:rPr>
              <w:t>to other agencies</w:t>
            </w:r>
            <w:r w:rsidR="001C5FD9" w:rsidRPr="3FFFEB89">
              <w:rPr>
                <w:rFonts w:ascii="VIC" w:hAnsi="VIC" w:hint="eastAsia"/>
              </w:rPr>
              <w:t xml:space="preserve"> in respect of property development and social and economic capital works projects.</w:t>
            </w:r>
          </w:p>
        </w:tc>
        <w:tc>
          <w:tcPr>
            <w:tcW w:w="2430" w:type="dxa"/>
          </w:tcPr>
          <w:p w14:paraId="56C90ED9" w14:textId="77777777"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highlight w:val="yellow"/>
              </w:rPr>
            </w:pPr>
          </w:p>
        </w:tc>
      </w:tr>
      <w:tr w:rsidR="001C5FD9" w:rsidRPr="005C167D" w14:paraId="4A978032"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14400" w:type="dxa"/>
            <w:gridSpan w:val="4"/>
            <w:shd w:val="clear" w:color="auto" w:fill="EEDEF1" w:themeFill="accent2" w:themeFillTint="33"/>
          </w:tcPr>
          <w:p w14:paraId="3F2BD51A" w14:textId="6C7FD0F5" w:rsidR="001C5FD9" w:rsidRPr="005C167D" w:rsidRDefault="001C5FD9" w:rsidP="00171CF8">
            <w:pPr>
              <w:pStyle w:val="Tableheader"/>
              <w:rPr>
                <w:color w:val="auto"/>
              </w:rPr>
            </w:pPr>
            <w:r w:rsidRPr="005C167D">
              <w:rPr>
                <w:color w:val="auto"/>
              </w:rPr>
              <w:t>Other legislation: Secondary legislation that can impact on aspects of infrastructure and construction procurement.</w:t>
            </w:r>
          </w:p>
          <w:p w14:paraId="0F9B0EE7" w14:textId="77777777" w:rsidR="001C5FD9" w:rsidRPr="005C167D" w:rsidRDefault="001C5FD9" w:rsidP="00171CF8">
            <w:pPr>
              <w:pStyle w:val="Tableheader"/>
              <w:rPr>
                <w:color w:val="auto"/>
              </w:rPr>
            </w:pPr>
            <w:r w:rsidRPr="005C167D">
              <w:rPr>
                <w:color w:val="auto"/>
              </w:rPr>
              <w:t>Procurement practitioners should consider what legislation will impact on their investment and ensure any requirements are captured in the procurement plan, due diligence and project, tender and contract documentation.</w:t>
            </w:r>
          </w:p>
        </w:tc>
      </w:tr>
      <w:tr w:rsidR="001C5FD9" w:rsidRPr="005C167D" w14:paraId="607035FC"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400" w:type="dxa"/>
            <w:gridSpan w:val="4"/>
          </w:tcPr>
          <w:p w14:paraId="311DD48F" w14:textId="77777777" w:rsidR="001C5FD9" w:rsidRPr="005C167D" w:rsidRDefault="001C5FD9" w:rsidP="00171CF8">
            <w:pPr>
              <w:pStyle w:val="Tableheader"/>
              <w:rPr>
                <w:rFonts w:asciiTheme="majorHAnsi" w:hAnsiTheme="majorHAnsi"/>
                <w:color w:val="auto"/>
              </w:rPr>
            </w:pPr>
            <w:r w:rsidRPr="005C167D">
              <w:rPr>
                <w:rFonts w:asciiTheme="majorHAnsi" w:hAnsiTheme="majorHAnsi"/>
                <w:color w:val="auto"/>
              </w:rPr>
              <w:t>Victorian</w:t>
            </w:r>
          </w:p>
        </w:tc>
      </w:tr>
      <w:tr w:rsidR="001C5FD9" w:rsidRPr="004B5A4E" w14:paraId="723DA74B"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4BD3DBB0" w14:textId="593E1DA4" w:rsidR="001C5FD9" w:rsidRPr="00EC6DEC" w:rsidRDefault="001C5FD9" w:rsidP="00F7602B">
            <w:pPr>
              <w:rPr>
                <w:rFonts w:ascii="VIC" w:hAnsi="VIC"/>
                <w:iCs/>
                <w:szCs w:val="17"/>
              </w:rPr>
            </w:pPr>
            <w:r w:rsidRPr="00F45635">
              <w:rPr>
                <w:rFonts w:ascii="VIC" w:hAnsi="VIC"/>
                <w:i/>
                <w:szCs w:val="17"/>
              </w:rPr>
              <w:t>Aboriginal Heritage Act 2006</w:t>
            </w:r>
            <w:r w:rsidR="009B4E97" w:rsidRPr="008A367F">
              <w:rPr>
                <w:rFonts w:ascii="VIC" w:hAnsi="VIC"/>
                <w:iCs/>
              </w:rPr>
              <w:t xml:space="preserve"> (Vic)</w:t>
            </w:r>
          </w:p>
          <w:p w14:paraId="199FD24C" w14:textId="406D56F8"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3DAE398B" wp14:editId="5FE24DFB">
                  <wp:extent cx="411480" cy="411480"/>
                  <wp:effectExtent l="0" t="0" r="0" b="7620"/>
                  <wp:docPr id="127" name="Graphic 127"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23535B8B" w14:textId="1F764049" w:rsidR="001C5FD9" w:rsidRPr="004F0C3E" w:rsidRDefault="00027D79" w:rsidP="00171CF8">
            <w:pPr>
              <w:pStyle w:val="Tabletext"/>
              <w:cnfStyle w:val="000000000000" w:firstRow="0" w:lastRow="0" w:firstColumn="0" w:lastColumn="0" w:oddVBand="0" w:evenVBand="0" w:oddHBand="0" w:evenHBand="0" w:firstRowFirstColumn="0" w:firstRowLastColumn="0" w:lastRowFirstColumn="0" w:lastRowLastColumn="0"/>
              <w:rPr>
                <w:szCs w:val="17"/>
              </w:rPr>
            </w:pPr>
            <w:r>
              <w:rPr>
                <w:szCs w:val="17"/>
                <w:shd w:val="clear" w:color="auto" w:fill="FFFFFF"/>
              </w:rPr>
              <w:t>E</w:t>
            </w:r>
            <w:r w:rsidR="001C5FD9" w:rsidRPr="004F0C3E">
              <w:rPr>
                <w:szCs w:val="17"/>
                <w:shd w:val="clear" w:color="auto" w:fill="FFFFFF"/>
              </w:rPr>
              <w:t>nsure</w:t>
            </w:r>
            <w:r>
              <w:rPr>
                <w:szCs w:val="17"/>
                <w:shd w:val="clear" w:color="auto" w:fill="FFFFFF"/>
              </w:rPr>
              <w:t>s that</w:t>
            </w:r>
            <w:r w:rsidR="001C5FD9" w:rsidRPr="004F0C3E">
              <w:rPr>
                <w:szCs w:val="17"/>
                <w:shd w:val="clear" w:color="auto" w:fill="FFFFFF"/>
              </w:rPr>
              <w:t xml:space="preserve"> Traditional Owners have the requisite regulatory support to protect their cultural heritage</w:t>
            </w:r>
          </w:p>
        </w:tc>
        <w:tc>
          <w:tcPr>
            <w:tcW w:w="7020" w:type="dxa"/>
          </w:tcPr>
          <w:p w14:paraId="4FEBA43C" w14:textId="79E468D3" w:rsidR="001C5FD9" w:rsidRPr="004F0C3E" w:rsidRDefault="00027D79" w:rsidP="00171CF8">
            <w:pPr>
              <w:pStyle w:val="Tabletext"/>
              <w:cnfStyle w:val="000000000000" w:firstRow="0" w:lastRow="0" w:firstColumn="0" w:lastColumn="0" w:oddVBand="0" w:evenVBand="0" w:oddHBand="0" w:evenHBand="0" w:firstRowFirstColumn="0" w:firstRowLastColumn="0" w:lastRowFirstColumn="0" w:lastRowLastColumn="0"/>
              <w:rPr>
                <w:szCs w:val="17"/>
              </w:rPr>
            </w:pPr>
            <w:r>
              <w:rPr>
                <w:szCs w:val="17"/>
              </w:rPr>
              <w:t>This legislation p</w:t>
            </w:r>
            <w:r w:rsidRPr="004F0C3E">
              <w:rPr>
                <w:szCs w:val="17"/>
              </w:rPr>
              <w:t xml:space="preserve">rovides </w:t>
            </w:r>
            <w:r w:rsidR="001C5FD9" w:rsidRPr="004F0C3E">
              <w:rPr>
                <w:szCs w:val="17"/>
              </w:rPr>
              <w:t xml:space="preserve">for the protection of Aboriginal </w:t>
            </w:r>
            <w:r>
              <w:rPr>
                <w:szCs w:val="17"/>
              </w:rPr>
              <w:t>c</w:t>
            </w:r>
            <w:r w:rsidR="001C5FD9" w:rsidRPr="004F0C3E">
              <w:rPr>
                <w:szCs w:val="17"/>
              </w:rPr>
              <w:t xml:space="preserve">ultural </w:t>
            </w:r>
            <w:r>
              <w:rPr>
                <w:szCs w:val="17"/>
              </w:rPr>
              <w:t>h</w:t>
            </w:r>
            <w:r w:rsidRPr="004F0C3E">
              <w:rPr>
                <w:szCs w:val="17"/>
              </w:rPr>
              <w:t xml:space="preserve">eritage </w:t>
            </w:r>
            <w:r w:rsidR="001C5FD9" w:rsidRPr="004F0C3E">
              <w:rPr>
                <w:szCs w:val="17"/>
              </w:rPr>
              <w:t xml:space="preserve">and Aboriginal </w:t>
            </w:r>
            <w:r>
              <w:rPr>
                <w:szCs w:val="17"/>
              </w:rPr>
              <w:t>i</w:t>
            </w:r>
            <w:r w:rsidR="001C5FD9" w:rsidRPr="004F0C3E">
              <w:rPr>
                <w:szCs w:val="17"/>
              </w:rPr>
              <w:t xml:space="preserve">ntangible </w:t>
            </w:r>
            <w:r>
              <w:rPr>
                <w:szCs w:val="17"/>
              </w:rPr>
              <w:t>h</w:t>
            </w:r>
            <w:r w:rsidRPr="004F0C3E">
              <w:rPr>
                <w:szCs w:val="17"/>
              </w:rPr>
              <w:t xml:space="preserve">eritage </w:t>
            </w:r>
            <w:r w:rsidR="001C5FD9" w:rsidRPr="004F0C3E">
              <w:rPr>
                <w:szCs w:val="17"/>
              </w:rPr>
              <w:t xml:space="preserve">in Victoria and empowers Traditional Owners as protectors of their </w:t>
            </w:r>
            <w:r>
              <w:rPr>
                <w:szCs w:val="17"/>
              </w:rPr>
              <w:t>c</w:t>
            </w:r>
            <w:r w:rsidRPr="004F0C3E">
              <w:rPr>
                <w:szCs w:val="17"/>
              </w:rPr>
              <w:t xml:space="preserve">ultural </w:t>
            </w:r>
            <w:r>
              <w:rPr>
                <w:szCs w:val="17"/>
              </w:rPr>
              <w:t>h</w:t>
            </w:r>
            <w:r w:rsidRPr="004F0C3E">
              <w:rPr>
                <w:szCs w:val="17"/>
              </w:rPr>
              <w:t>eritage</w:t>
            </w:r>
            <w:r w:rsidR="001C5FD9" w:rsidRPr="004F0C3E">
              <w:rPr>
                <w:szCs w:val="17"/>
              </w:rPr>
              <w:t>.</w:t>
            </w:r>
          </w:p>
          <w:p w14:paraId="1E08693E" w14:textId="4A9652B3" w:rsidR="001C5FD9" w:rsidRPr="004F0C3E" w:rsidRDefault="00027D79" w:rsidP="00171CF8">
            <w:pPr>
              <w:pStyle w:val="Tabletext"/>
              <w:cnfStyle w:val="000000000000" w:firstRow="0" w:lastRow="0" w:firstColumn="0" w:lastColumn="0" w:oddVBand="0" w:evenVBand="0" w:oddHBand="0" w:evenHBand="0" w:firstRowFirstColumn="0" w:firstRowLastColumn="0" w:lastRowFirstColumn="0" w:lastRowLastColumn="0"/>
              <w:rPr>
                <w:szCs w:val="17"/>
              </w:rPr>
            </w:pPr>
            <w:r>
              <w:rPr>
                <w:szCs w:val="17"/>
              </w:rPr>
              <w:t>It s</w:t>
            </w:r>
            <w:r w:rsidRPr="004F0C3E">
              <w:rPr>
                <w:szCs w:val="17"/>
              </w:rPr>
              <w:t xml:space="preserve">trengthens </w:t>
            </w:r>
            <w:r w:rsidR="001C5FD9" w:rsidRPr="004F0C3E">
              <w:rPr>
                <w:szCs w:val="17"/>
              </w:rPr>
              <w:t>the ongoing right to maintain the distinctive spiritual, cultural, material and economic relationship of Traditional Owners with the land and waters and other resources with which they have a connection under traditional laws and customs.</w:t>
            </w:r>
          </w:p>
          <w:p w14:paraId="7CF8F801" w14:textId="20CE752A" w:rsidR="004F0C3E" w:rsidRPr="00171CF8" w:rsidRDefault="00027D79" w:rsidP="00171CF8">
            <w:pPr>
              <w:pStyle w:val="Tabletext"/>
              <w:cnfStyle w:val="000000000000" w:firstRow="0" w:lastRow="0" w:firstColumn="0" w:lastColumn="0" w:oddVBand="0" w:evenVBand="0" w:oddHBand="0" w:evenHBand="0" w:firstRowFirstColumn="0" w:firstRowLastColumn="0" w:lastRowFirstColumn="0" w:lastRowLastColumn="0"/>
              <w:rPr>
                <w:rFonts w:eastAsia="Segoe UI"/>
                <w:szCs w:val="17"/>
              </w:rPr>
            </w:pPr>
            <w:r>
              <w:rPr>
                <w:rFonts w:eastAsia="Segoe UI"/>
                <w:szCs w:val="17"/>
              </w:rPr>
              <w:t>It r</w:t>
            </w:r>
            <w:r w:rsidR="001C5FD9" w:rsidRPr="004F0C3E">
              <w:rPr>
                <w:rFonts w:eastAsia="Segoe UI"/>
                <w:szCs w:val="17"/>
              </w:rPr>
              <w:t xml:space="preserve">equires the development and approval of a Cultural Heritage Management Plan for all components of the project </w:t>
            </w:r>
            <w:r w:rsidR="007334C6">
              <w:rPr>
                <w:rFonts w:eastAsia="Segoe UI"/>
                <w:szCs w:val="17"/>
              </w:rPr>
              <w:t>that</w:t>
            </w:r>
            <w:r w:rsidR="001C5FD9" w:rsidRPr="004F0C3E">
              <w:rPr>
                <w:rFonts w:eastAsia="Segoe UI"/>
                <w:szCs w:val="17"/>
              </w:rPr>
              <w:t xml:space="preserve"> require an Environmental Effects Statement to be prepared, or </w:t>
            </w:r>
            <w:r w:rsidR="007334C6">
              <w:rPr>
                <w:rFonts w:eastAsia="Segoe UI"/>
                <w:szCs w:val="17"/>
              </w:rPr>
              <w:t>that</w:t>
            </w:r>
            <w:r w:rsidR="001C5FD9" w:rsidRPr="004F0C3E">
              <w:rPr>
                <w:rFonts w:eastAsia="Segoe UI"/>
                <w:szCs w:val="17"/>
              </w:rPr>
              <w:t xml:space="preserve"> involve a high</w:t>
            </w:r>
            <w:r>
              <w:rPr>
                <w:rFonts w:eastAsia="Segoe UI"/>
                <w:szCs w:val="17"/>
              </w:rPr>
              <w:t>-</w:t>
            </w:r>
            <w:r w:rsidR="001C5FD9" w:rsidRPr="004F0C3E">
              <w:rPr>
                <w:rFonts w:eastAsia="Segoe UI"/>
                <w:szCs w:val="17"/>
              </w:rPr>
              <w:t>impact activity in an area of cultural heritage sensitivity.</w:t>
            </w:r>
          </w:p>
          <w:p w14:paraId="43BA2206" w14:textId="7E802B7B" w:rsidR="004F0C3E" w:rsidRPr="009E7AC7" w:rsidRDefault="00894832" w:rsidP="00F7602B">
            <w:pPr>
              <w:keepLines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VIC" w:eastAsia="Times New Roman" w:hAnsi="VIC" w:cs="Arial"/>
                <w:color w:val="011A3C"/>
                <w:szCs w:val="17"/>
              </w:rPr>
            </w:pPr>
            <w:hyperlink r:id="rId210" w:history="1">
              <w:r w:rsidR="004F0C3E" w:rsidRPr="00504DD2">
                <w:rPr>
                  <w:rStyle w:val="Hyperlink"/>
                  <w:rFonts w:ascii="VIC" w:eastAsia="Times New Roman" w:hAnsi="VIC" w:cs="Arial"/>
                  <w:szCs w:val="17"/>
                </w:rPr>
                <w:t>https://content.legislation.vic.gov.au/sites/default/files/2023-05/06-16aa027-authorised.pdf</w:t>
              </w:r>
            </w:hyperlink>
            <w:r w:rsidR="001C5FD9" w:rsidRPr="00504DD2">
              <w:rPr>
                <w:rFonts w:ascii="VIC" w:eastAsia="Times New Roman" w:hAnsi="VIC" w:cs="Arial"/>
                <w:color w:val="011A3C"/>
                <w:szCs w:val="17"/>
              </w:rPr>
              <w:t xml:space="preserve"> </w:t>
            </w:r>
          </w:p>
        </w:tc>
        <w:tc>
          <w:tcPr>
            <w:tcW w:w="2430" w:type="dxa"/>
          </w:tcPr>
          <w:p w14:paraId="56B82A5A" w14:textId="4FEB2C74" w:rsidR="001C5FD9" w:rsidRPr="000A03D9" w:rsidRDefault="001C5FD9" w:rsidP="6EFD278B">
            <w:pPr>
              <w:pStyle w:val="Tabletext"/>
              <w:cnfStyle w:val="000000000000" w:firstRow="0" w:lastRow="0" w:firstColumn="0" w:lastColumn="0" w:oddVBand="0" w:evenVBand="0" w:oddHBand="0" w:evenHBand="0" w:firstRowFirstColumn="0" w:firstRowLastColumn="0" w:lastRowFirstColumn="0" w:lastRowLastColumn="0"/>
            </w:pPr>
            <w:r>
              <w:t>P</w:t>
            </w:r>
            <w:r w:rsidR="00D82DBD">
              <w:t>DDD</w:t>
            </w:r>
            <w:r>
              <w:t xml:space="preserve"> and site acquisition</w:t>
            </w:r>
          </w:p>
        </w:tc>
      </w:tr>
      <w:tr w:rsidR="001C5FD9" w:rsidRPr="004B5A4E" w14:paraId="72EC29E7"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69F44AE3" w14:textId="4BE9F662" w:rsidR="000202B2" w:rsidRPr="009B4E97" w:rsidRDefault="001C5FD9" w:rsidP="00F7602B">
            <w:pPr>
              <w:rPr>
                <w:rFonts w:ascii="VIC" w:hAnsi="VIC"/>
                <w:iCs/>
                <w:szCs w:val="17"/>
              </w:rPr>
            </w:pPr>
            <w:r w:rsidRPr="00F45635">
              <w:rPr>
                <w:rFonts w:ascii="VIC" w:hAnsi="VIC"/>
                <w:i/>
                <w:szCs w:val="17"/>
              </w:rPr>
              <w:t>Building Act 1993</w:t>
            </w:r>
            <w:r w:rsidR="009B4E97" w:rsidRPr="008A367F">
              <w:rPr>
                <w:rFonts w:ascii="VIC" w:hAnsi="VIC"/>
                <w:iCs/>
              </w:rPr>
              <w:t xml:space="preserve"> (Vic)</w:t>
            </w:r>
          </w:p>
          <w:p w14:paraId="4247D7F7" w14:textId="6019979B" w:rsidR="001C5FD9" w:rsidRPr="00F45635" w:rsidRDefault="000202B2" w:rsidP="00F7602B">
            <w:pPr>
              <w:rPr>
                <w:rFonts w:ascii="VIC" w:hAnsi="VIC"/>
                <w:szCs w:val="17"/>
              </w:rPr>
            </w:pPr>
            <w:r>
              <w:rPr>
                <w:rFonts w:ascii="VIC" w:hAnsi="VIC"/>
                <w:szCs w:val="17"/>
              </w:rPr>
              <w:t>Building R</w:t>
            </w:r>
            <w:r w:rsidR="001C5FD9" w:rsidRPr="00F45635">
              <w:rPr>
                <w:rFonts w:ascii="VIC" w:hAnsi="VIC"/>
                <w:szCs w:val="17"/>
              </w:rPr>
              <w:t>egulations</w:t>
            </w:r>
            <w:r>
              <w:rPr>
                <w:rFonts w:ascii="VIC" w:hAnsi="VIC"/>
                <w:szCs w:val="17"/>
              </w:rPr>
              <w:t xml:space="preserve"> 2018</w:t>
            </w:r>
          </w:p>
          <w:p w14:paraId="5934F1F9" w14:textId="55AF6B91"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45BE7517" wp14:editId="369EBDE9">
                  <wp:extent cx="411480" cy="411480"/>
                  <wp:effectExtent l="0" t="0" r="0" b="7620"/>
                  <wp:docPr id="2091229760" name="Graphic 2091229760"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5F33D617" w14:textId="778475D8" w:rsidR="001C5FD9" w:rsidRPr="004F0C3E" w:rsidRDefault="000202B2"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Pr>
                <w:szCs w:val="17"/>
              </w:rPr>
              <w:t>R</w:t>
            </w:r>
            <w:r w:rsidR="001C5FD9" w:rsidRPr="004F0C3E">
              <w:rPr>
                <w:szCs w:val="17"/>
              </w:rPr>
              <w:t>egulat</w:t>
            </w:r>
            <w:r>
              <w:rPr>
                <w:szCs w:val="17"/>
              </w:rPr>
              <w:t>es</w:t>
            </w:r>
            <w:r w:rsidR="001C5FD9" w:rsidRPr="004F0C3E">
              <w:rPr>
                <w:szCs w:val="17"/>
              </w:rPr>
              <w:t xml:space="preserve"> building construction, building standards and maintenance of specific building safety features</w:t>
            </w:r>
          </w:p>
        </w:tc>
        <w:tc>
          <w:tcPr>
            <w:tcW w:w="7020" w:type="dxa"/>
          </w:tcPr>
          <w:p w14:paraId="62A91B20" w14:textId="6EC581FC" w:rsidR="001C5FD9" w:rsidRPr="004F0C3E" w:rsidRDefault="00027D79" w:rsidP="00171CF8">
            <w:pPr>
              <w:pStyle w:val="Tabletext"/>
              <w:cnfStyle w:val="000000010000" w:firstRow="0" w:lastRow="0" w:firstColumn="0" w:lastColumn="0" w:oddVBand="0" w:evenVBand="0" w:oddHBand="0" w:evenHBand="1" w:firstRowFirstColumn="0" w:firstRowLastColumn="0" w:lastRowFirstColumn="0" w:lastRowLastColumn="0"/>
              <w:rPr>
                <w:rFonts w:cstheme="minorHAnsi"/>
                <w:szCs w:val="17"/>
              </w:rPr>
            </w:pPr>
            <w:r>
              <w:rPr>
                <w:rFonts w:cstheme="minorHAnsi"/>
                <w:szCs w:val="17"/>
              </w:rPr>
              <w:t>This legislation r</w:t>
            </w:r>
            <w:r w:rsidRPr="004F0C3E">
              <w:rPr>
                <w:rFonts w:cstheme="minorHAnsi"/>
                <w:szCs w:val="17"/>
              </w:rPr>
              <w:t xml:space="preserve">equires </w:t>
            </w:r>
            <w:r w:rsidR="001C5FD9" w:rsidRPr="004F0C3E">
              <w:rPr>
                <w:rFonts w:cstheme="minorHAnsi"/>
                <w:szCs w:val="17"/>
              </w:rPr>
              <w:t>all building work in Victoria to comply with national building standards and technical requirements for the design and construction of buildings and other structures, including requirements for building permits, building inspections, occupancy permits and maintenance of buildings.</w:t>
            </w:r>
          </w:p>
          <w:p w14:paraId="0C82949D" w14:textId="384F1E1C"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5A027F05">
              <w:t>Agencies should ensure tender documents clearly outline any requirements under the Building Act that will be transferred to the contractor, for example, arranging building inspections and occupancy permits.</w:t>
            </w:r>
          </w:p>
          <w:p w14:paraId="088BF36D" w14:textId="0CF8A1A4"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5A027F05">
              <w:t>The Act also includes requirements when alterations to existing</w:t>
            </w:r>
            <w:r w:rsidRPr="5A027F05">
              <w:rPr>
                <w:rFonts w:ascii="Calibri" w:hAnsi="Calibri" w:cs="Calibri"/>
              </w:rPr>
              <w:t> </w:t>
            </w:r>
            <w:r w:rsidRPr="5A027F05">
              <w:t>buildings occur including in relation to building code compliance requirements (Regulations 233).</w:t>
            </w:r>
          </w:p>
          <w:p w14:paraId="7C064C66" w14:textId="1610FDDB"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szCs w:val="17"/>
              </w:rPr>
            </w:pPr>
            <w:hyperlink r:id="rId211" w:history="1">
              <w:r w:rsidR="001C5FD9" w:rsidRPr="00171CF8">
                <w:rPr>
                  <w:rStyle w:val="Hyperlink"/>
                  <w:szCs w:val="17"/>
                </w:rPr>
                <w:t>https://www.legislation.vic.gov.au/in-force/acts/building-act-1993/136</w:t>
              </w:r>
            </w:hyperlink>
          </w:p>
          <w:p w14:paraId="18ADE0EA" w14:textId="34297D42" w:rsidR="001C5FD9" w:rsidRPr="004F0C3E" w:rsidRDefault="00894832" w:rsidP="00171CF8">
            <w:pPr>
              <w:pStyle w:val="Tabletext"/>
              <w:cnfStyle w:val="000000010000" w:firstRow="0" w:lastRow="0" w:firstColumn="0" w:lastColumn="0" w:oddVBand="0" w:evenVBand="0" w:oddHBand="0" w:evenHBand="1" w:firstRowFirstColumn="0" w:firstRowLastColumn="0" w:lastRowFirstColumn="0" w:lastRowLastColumn="0"/>
              <w:rPr>
                <w:rFonts w:cstheme="minorHAnsi"/>
                <w:szCs w:val="17"/>
              </w:rPr>
            </w:pPr>
            <w:hyperlink r:id="rId212" w:history="1">
              <w:r w:rsidR="001C5FD9" w:rsidRPr="00171CF8">
                <w:rPr>
                  <w:rStyle w:val="Hyperlink"/>
                  <w:szCs w:val="17"/>
                </w:rPr>
                <w:t>https://www.vba.vic.gov.au/building/regulatory-framework</w:t>
              </w:r>
            </w:hyperlink>
          </w:p>
        </w:tc>
        <w:tc>
          <w:tcPr>
            <w:tcW w:w="2430" w:type="dxa"/>
          </w:tcPr>
          <w:p w14:paraId="619A2E39" w14:textId="77777777" w:rsidR="001C5FD9" w:rsidRPr="000A03D9"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0A03D9">
              <w:t>Tendering, tender evaluation, contracting and contract management</w:t>
            </w:r>
          </w:p>
        </w:tc>
      </w:tr>
      <w:tr w:rsidR="001C5FD9" w:rsidRPr="004B5A4E" w14:paraId="678B4CCB"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69108404" w14:textId="25788AF3" w:rsidR="001C5FD9" w:rsidRPr="008871AC" w:rsidRDefault="001C5FD9" w:rsidP="00171CF8">
            <w:pPr>
              <w:pStyle w:val="Tabletext"/>
              <w:rPr>
                <w:iCs/>
                <w:szCs w:val="17"/>
              </w:rPr>
            </w:pPr>
            <w:r w:rsidRPr="00F45635">
              <w:rPr>
                <w:i/>
                <w:szCs w:val="17"/>
              </w:rPr>
              <w:t>Building and Construction Industry Security of Payment Act 2002</w:t>
            </w:r>
            <w:r w:rsidR="009B4E97" w:rsidRPr="008A367F">
              <w:rPr>
                <w:rFonts w:ascii="VIC" w:hAnsi="VIC"/>
                <w:iCs/>
              </w:rPr>
              <w:t xml:space="preserve"> (Vic)</w:t>
            </w:r>
          </w:p>
          <w:p w14:paraId="39A58C75" w14:textId="648ACD00"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3BE75709" wp14:editId="3502CC89">
                  <wp:extent cx="411480" cy="411480"/>
                  <wp:effectExtent l="0" t="0" r="0" b="7620"/>
                  <wp:docPr id="2091229761" name="Graphic 2091229761"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39C73CA3" w14:textId="5D70A7EF" w:rsidR="001C5FD9" w:rsidRPr="004F0C3E" w:rsidRDefault="001C5FD9" w:rsidP="6EFD278B">
            <w:pPr>
              <w:pStyle w:val="Tabletext"/>
              <w:cnfStyle w:val="000000000000" w:firstRow="0" w:lastRow="0" w:firstColumn="0" w:lastColumn="0" w:oddVBand="0" w:evenVBand="0" w:oddHBand="0" w:evenHBand="0" w:firstRowFirstColumn="0" w:firstRowLastColumn="0" w:lastRowFirstColumn="0" w:lastRowLastColumn="0"/>
            </w:pPr>
            <w:r>
              <w:t>Entitles parties undertaking construction work, or providing related goods and services, to receive</w:t>
            </w:r>
            <w:r w:rsidR="00BD3E4D">
              <w:t xml:space="preserve"> </w:t>
            </w:r>
            <w:r>
              <w:t>fair payment, including identifying appropriate milestone payments</w:t>
            </w:r>
            <w:r w:rsidR="00BD3E4D">
              <w:t xml:space="preserve">, and </w:t>
            </w:r>
            <w:r>
              <w:t>prompt payment, with interest payable on late payments</w:t>
            </w:r>
          </w:p>
        </w:tc>
        <w:tc>
          <w:tcPr>
            <w:tcW w:w="7020" w:type="dxa"/>
          </w:tcPr>
          <w:p w14:paraId="2B6E16F4" w14:textId="05533462" w:rsidR="001C5FD9" w:rsidRPr="004F0C3E" w:rsidRDefault="00BD3E4D" w:rsidP="00171CF8">
            <w:pPr>
              <w:pStyle w:val="Tabletext"/>
              <w:cnfStyle w:val="000000000000" w:firstRow="0" w:lastRow="0" w:firstColumn="0" w:lastColumn="0" w:oddVBand="0" w:evenVBand="0" w:oddHBand="0" w:evenHBand="0" w:firstRowFirstColumn="0" w:firstRowLastColumn="0" w:lastRowFirstColumn="0" w:lastRowLastColumn="0"/>
              <w:rPr>
                <w:szCs w:val="17"/>
              </w:rPr>
            </w:pPr>
            <w:r>
              <w:rPr>
                <w:szCs w:val="17"/>
              </w:rPr>
              <w:t>This legislation r</w:t>
            </w:r>
            <w:r w:rsidRPr="004F0C3E">
              <w:rPr>
                <w:szCs w:val="17"/>
              </w:rPr>
              <w:t xml:space="preserve">equires </w:t>
            </w:r>
            <w:r w:rsidR="001C5FD9" w:rsidRPr="004F0C3E">
              <w:rPr>
                <w:szCs w:val="17"/>
              </w:rPr>
              <w:t xml:space="preserve">agencies to ensure construction contracts adequately and fairly address contractor payment terms, penalties and related dispute processes. </w:t>
            </w:r>
            <w:r>
              <w:rPr>
                <w:szCs w:val="17"/>
              </w:rPr>
              <w:t>T</w:t>
            </w:r>
            <w:r w:rsidR="001C5FD9" w:rsidRPr="004F0C3E">
              <w:rPr>
                <w:szCs w:val="17"/>
              </w:rPr>
              <w:t>he Act establishes default payment terms where a contract is silent.</w:t>
            </w:r>
          </w:p>
          <w:p w14:paraId="3640D56B" w14:textId="54AFB73D" w:rsidR="001C5FD9" w:rsidRPr="00171CF8" w:rsidRDefault="00BD3E4D" w:rsidP="00171CF8">
            <w:pPr>
              <w:pStyle w:val="Tabletext"/>
              <w:cnfStyle w:val="000000000000" w:firstRow="0" w:lastRow="0" w:firstColumn="0" w:lastColumn="0" w:oddVBand="0" w:evenVBand="0" w:oddHBand="0" w:evenHBand="0" w:firstRowFirstColumn="0" w:firstRowLastColumn="0" w:lastRowFirstColumn="0" w:lastRowLastColumn="0"/>
              <w:rPr>
                <w:szCs w:val="17"/>
              </w:rPr>
            </w:pPr>
            <w:r>
              <w:rPr>
                <w:szCs w:val="17"/>
              </w:rPr>
              <w:t>It r</w:t>
            </w:r>
            <w:r w:rsidR="001C5FD9" w:rsidRPr="004F0C3E">
              <w:rPr>
                <w:szCs w:val="17"/>
              </w:rPr>
              <w:t>equires that public construction contracts must not include</w:t>
            </w:r>
            <w:r>
              <w:rPr>
                <w:szCs w:val="17"/>
              </w:rPr>
              <w:t xml:space="preserve"> </w:t>
            </w:r>
            <w:r w:rsidR="00344D3F">
              <w:rPr>
                <w:szCs w:val="17"/>
              </w:rPr>
              <w:t>‘</w:t>
            </w:r>
            <w:r w:rsidR="001C5FD9" w:rsidRPr="00171CF8">
              <w:rPr>
                <w:szCs w:val="17"/>
              </w:rPr>
              <w:t>pay when paid</w:t>
            </w:r>
            <w:r w:rsidR="00344D3F">
              <w:rPr>
                <w:szCs w:val="17"/>
              </w:rPr>
              <w:t>’</w:t>
            </w:r>
            <w:r w:rsidR="001C5FD9" w:rsidRPr="00171CF8">
              <w:rPr>
                <w:szCs w:val="17"/>
              </w:rPr>
              <w:t xml:space="preserve"> or </w:t>
            </w:r>
            <w:r w:rsidR="00344D3F">
              <w:rPr>
                <w:szCs w:val="17"/>
              </w:rPr>
              <w:t>‘</w:t>
            </w:r>
            <w:r w:rsidR="001C5FD9" w:rsidRPr="00171CF8">
              <w:rPr>
                <w:szCs w:val="17"/>
              </w:rPr>
              <w:t>pay if paid</w:t>
            </w:r>
            <w:r w:rsidR="00344D3F">
              <w:rPr>
                <w:szCs w:val="17"/>
              </w:rPr>
              <w:t>’</w:t>
            </w:r>
            <w:r w:rsidR="001C5FD9" w:rsidRPr="00171CF8">
              <w:rPr>
                <w:szCs w:val="17"/>
              </w:rPr>
              <w:t xml:space="preserve"> clauses in subcontracts, or</w:t>
            </w:r>
            <w:r>
              <w:rPr>
                <w:szCs w:val="17"/>
              </w:rPr>
              <w:t xml:space="preserve"> </w:t>
            </w:r>
            <w:r w:rsidR="001C5FD9" w:rsidRPr="00171CF8">
              <w:rPr>
                <w:szCs w:val="17"/>
              </w:rPr>
              <w:t>amendment of clauses relating to payment timing in standard subcontracts.</w:t>
            </w:r>
          </w:p>
          <w:p w14:paraId="70483E50" w14:textId="36B71249" w:rsidR="001C5FD9" w:rsidRPr="00171CF8" w:rsidRDefault="00894832" w:rsidP="00171CF8">
            <w:pPr>
              <w:pStyle w:val="Tabletext"/>
              <w:cnfStyle w:val="000000000000" w:firstRow="0" w:lastRow="0" w:firstColumn="0" w:lastColumn="0" w:oddVBand="0" w:evenVBand="0" w:oddHBand="0" w:evenHBand="0" w:firstRowFirstColumn="0" w:firstRowLastColumn="0" w:lastRowFirstColumn="0" w:lastRowLastColumn="0"/>
              <w:rPr>
                <w:rStyle w:val="Hyperlink"/>
                <w:szCs w:val="17"/>
              </w:rPr>
            </w:pPr>
            <w:hyperlink r:id="rId213" w:history="1">
              <w:r w:rsidR="001C5FD9" w:rsidRPr="00171CF8">
                <w:rPr>
                  <w:rStyle w:val="Hyperlink"/>
                  <w:szCs w:val="17"/>
                </w:rPr>
                <w:t>https://www.legislation.vic.gov.au/in-force/acts/building-and-construction-industry-security-payment-act-2002/012</w:t>
              </w:r>
            </w:hyperlink>
          </w:p>
        </w:tc>
        <w:tc>
          <w:tcPr>
            <w:tcW w:w="2430" w:type="dxa"/>
          </w:tcPr>
          <w:p w14:paraId="1E8B781A" w14:textId="77777777" w:rsidR="001C5FD9" w:rsidRPr="000A03D9"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0A03D9">
              <w:t>Contract management</w:t>
            </w:r>
          </w:p>
        </w:tc>
      </w:tr>
      <w:tr w:rsidR="001C5FD9" w:rsidRPr="004B5A4E" w14:paraId="5B43192B" w14:textId="77777777" w:rsidTr="00742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60DEF4C" w14:textId="6775DF15" w:rsidR="001C5FD9" w:rsidRPr="00F45635" w:rsidRDefault="001C5FD9" w:rsidP="00171CF8">
            <w:pPr>
              <w:pStyle w:val="Tabletext"/>
              <w:rPr>
                <w:szCs w:val="17"/>
              </w:rPr>
            </w:pPr>
            <w:r w:rsidRPr="00F45635">
              <w:rPr>
                <w:i/>
                <w:szCs w:val="17"/>
              </w:rPr>
              <w:t>Climate Change Act 2017</w:t>
            </w:r>
            <w:r w:rsidR="009B4E97">
              <w:rPr>
                <w:rFonts w:ascii="VIC" w:hAnsi="VIC"/>
                <w:iCs/>
              </w:rPr>
              <w:t xml:space="preserve"> </w:t>
            </w:r>
            <w:r w:rsidR="009B4E97" w:rsidRPr="008A367F">
              <w:rPr>
                <w:rFonts w:ascii="VIC" w:hAnsi="VIC"/>
                <w:iCs/>
              </w:rPr>
              <w:t>(Vic)</w:t>
            </w:r>
            <w:r w:rsidRPr="00F45635">
              <w:rPr>
                <w:rFonts w:hint="eastAsia"/>
                <w:szCs w:val="17"/>
              </w:rPr>
              <w:t xml:space="preserve"> and related climate change initiatives</w:t>
            </w:r>
          </w:p>
          <w:p w14:paraId="47861BA3" w14:textId="33F8A8C1"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1C684B1E" wp14:editId="6816702C">
                  <wp:extent cx="411480" cy="411480"/>
                  <wp:effectExtent l="0" t="0" r="0" b="7620"/>
                  <wp:docPr id="2091229762" name="Graphic 2091229762"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000F012B">
              <w:rPr>
                <w:szCs w:val="17"/>
              </w:rPr>
              <w:t xml:space="preserve"> </w:t>
            </w:r>
            <w:r w:rsidR="00367DC9" w:rsidRPr="00F45635">
              <w:rPr>
                <w:rFonts w:ascii="VIC SemiBold" w:hAnsi="VIC SemiBold"/>
                <w:noProof/>
                <w:color w:val="C00000"/>
                <w:szCs w:val="17"/>
              </w:rPr>
              <w:drawing>
                <wp:inline distT="0" distB="0" distL="0" distR="0" wp14:anchorId="7AEA3732" wp14:editId="06547B8B">
                  <wp:extent cx="411480" cy="411480"/>
                  <wp:effectExtent l="0" t="0" r="7620" b="7620"/>
                  <wp:docPr id="514" name="Graphic 514" descr="Continuous improv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ontinuous improvement icon"/>
                          <pic:cNvPicPr/>
                        </pic:nvPicPr>
                        <pic:blipFill>
                          <a:blip r:embed="rId52" cstate="screen">
                            <a:extLst>
                              <a:ext uri="{28A0092B-C50C-407E-A947-70E740481C1C}">
                                <a14:useLocalDpi xmlns:a14="http://schemas.microsoft.com/office/drawing/2010/main"/>
                              </a:ext>
                              <a:ext uri="{96DAC541-7B7A-43D3-8B79-37D633B846F1}">
                                <asvg:svgBlip xmlns:asvg="http://schemas.microsoft.com/office/drawing/2016/SVG/main" r:embed="rId53"/>
                              </a:ext>
                            </a:extLst>
                          </a:blip>
                          <a:stretch>
                            <a:fillRect/>
                          </a:stretch>
                        </pic:blipFill>
                        <pic:spPr>
                          <a:xfrm>
                            <a:off x="0" y="0"/>
                            <a:ext cx="411480" cy="411480"/>
                          </a:xfrm>
                          <a:prstGeom prst="rect">
                            <a:avLst/>
                          </a:prstGeom>
                        </pic:spPr>
                      </pic:pic>
                    </a:graphicData>
                  </a:graphic>
                </wp:inline>
              </w:drawing>
            </w:r>
          </w:p>
        </w:tc>
        <w:tc>
          <w:tcPr>
            <w:tcW w:w="2700" w:type="dxa"/>
          </w:tcPr>
          <w:p w14:paraId="7EDF28A2" w14:textId="4C3FA209"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sidRPr="004F0C3E">
              <w:rPr>
                <w:szCs w:val="17"/>
              </w:rPr>
              <w:t>Introduces policy objectives and guiding principles to embed climate change in government decision</w:t>
            </w:r>
            <w:r w:rsidR="00194FA3">
              <w:rPr>
                <w:szCs w:val="17"/>
              </w:rPr>
              <w:t>-</w:t>
            </w:r>
            <w:r w:rsidRPr="004F0C3E">
              <w:rPr>
                <w:szCs w:val="17"/>
              </w:rPr>
              <w:t>making</w:t>
            </w:r>
          </w:p>
        </w:tc>
        <w:tc>
          <w:tcPr>
            <w:tcW w:w="7020" w:type="dxa"/>
          </w:tcPr>
          <w:p w14:paraId="5226C8AF" w14:textId="7D3BAC11" w:rsidR="001C5FD9" w:rsidRPr="004F0C3E" w:rsidRDefault="00027D79"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Pr>
                <w:szCs w:val="17"/>
              </w:rPr>
              <w:t>This legislation r</w:t>
            </w:r>
            <w:r w:rsidR="001C5FD9" w:rsidRPr="004F0C3E">
              <w:rPr>
                <w:szCs w:val="17"/>
              </w:rPr>
              <w:t>equires agencies to consider greenhouse gas emission reduction and climate change adaptation and resilience when designing and delivering infrastructure.</w:t>
            </w:r>
          </w:p>
          <w:p w14:paraId="34EDC8E7" w14:textId="243155AF"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szCs w:val="17"/>
              </w:rPr>
            </w:pPr>
            <w:hyperlink r:id="rId214" w:history="1">
              <w:r w:rsidR="001C5FD9" w:rsidRPr="00171CF8">
                <w:rPr>
                  <w:rStyle w:val="Hyperlink"/>
                  <w:szCs w:val="17"/>
                </w:rPr>
                <w:t>https://www.climatechange.vic.gov.au/legislation/climate-change-act-2017</w:t>
              </w:r>
            </w:hyperlink>
          </w:p>
          <w:p w14:paraId="21410BE7" w14:textId="13B0EC19" w:rsidR="001C5FD9" w:rsidRPr="00D2730C" w:rsidRDefault="00894832" w:rsidP="00171CF8">
            <w:pPr>
              <w:pStyle w:val="Tabletext"/>
              <w:cnfStyle w:val="000000010000" w:firstRow="0" w:lastRow="0" w:firstColumn="0" w:lastColumn="0" w:oddVBand="0" w:evenVBand="0" w:oddHBand="0" w:evenHBand="1" w:firstRowFirstColumn="0" w:firstRowLastColumn="0" w:lastRowFirstColumn="0" w:lastRowLastColumn="0"/>
              <w:rPr>
                <w:color w:val="4D4D4D"/>
                <w:szCs w:val="17"/>
                <w:u w:val="single"/>
              </w:rPr>
            </w:pPr>
            <w:hyperlink r:id="rId215" w:history="1">
              <w:r w:rsidR="001C5FD9" w:rsidRPr="00171CF8">
                <w:rPr>
                  <w:rStyle w:val="Hyperlink"/>
                  <w:rFonts w:eastAsiaTheme="minorEastAsia"/>
                  <w:szCs w:val="17"/>
                </w:rPr>
                <w:t>https://www.climatechange.vic.gov.au</w:t>
              </w:r>
            </w:hyperlink>
          </w:p>
        </w:tc>
        <w:tc>
          <w:tcPr>
            <w:tcW w:w="2430" w:type="dxa"/>
          </w:tcPr>
          <w:p w14:paraId="5772696B" w14:textId="32936DCD" w:rsidR="001C5FD9" w:rsidRPr="000A03D9"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0A03D9">
              <w:t xml:space="preserve">Business case, PDDD, </w:t>
            </w:r>
            <w:r w:rsidR="00027D79">
              <w:t>p</w:t>
            </w:r>
            <w:r w:rsidRPr="000A03D9">
              <w:t>roject development and design, tendering</w:t>
            </w:r>
          </w:p>
        </w:tc>
      </w:tr>
      <w:tr w:rsidR="001C5FD9" w:rsidRPr="004B5A4E" w14:paraId="2D591719"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382964A8" w14:textId="2D307762" w:rsidR="001C5FD9" w:rsidRPr="006D3ACC" w:rsidRDefault="001C5FD9" w:rsidP="00171CF8">
            <w:pPr>
              <w:pStyle w:val="Tabletext"/>
              <w:rPr>
                <w:iCs/>
                <w:szCs w:val="17"/>
              </w:rPr>
            </w:pPr>
            <w:r w:rsidRPr="00F45635">
              <w:rPr>
                <w:i/>
                <w:szCs w:val="17"/>
              </w:rPr>
              <w:t>Crown Land (Reserves) Act 1978</w:t>
            </w:r>
            <w:r w:rsidR="009B4E97" w:rsidRPr="008A367F">
              <w:rPr>
                <w:rFonts w:ascii="VIC" w:hAnsi="VIC"/>
                <w:iCs/>
              </w:rPr>
              <w:t xml:space="preserve"> (Vic)</w:t>
            </w:r>
          </w:p>
          <w:p w14:paraId="2707594C" w14:textId="36168A5B"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19C69708" wp14:editId="729CDCCE">
                  <wp:extent cx="411480" cy="411480"/>
                  <wp:effectExtent l="0" t="0" r="0" b="7620"/>
                  <wp:docPr id="2091229763" name="Graphic 2091229763"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5FF99166" w14:textId="359B03FB" w:rsidR="001C5FD9" w:rsidRPr="004F0C3E" w:rsidRDefault="001C5FD9" w:rsidP="00171CF8">
            <w:pPr>
              <w:pStyle w:val="Tabletext"/>
              <w:cnfStyle w:val="000000000000" w:firstRow="0" w:lastRow="0" w:firstColumn="0" w:lastColumn="0" w:oddVBand="0" w:evenVBand="0" w:oddHBand="0" w:evenHBand="0" w:firstRowFirstColumn="0" w:firstRowLastColumn="0" w:lastRowFirstColumn="0" w:lastRowLastColumn="0"/>
            </w:pPr>
            <w:r>
              <w:t xml:space="preserve">Enables </w:t>
            </w:r>
            <w:r w:rsidR="00F11B52">
              <w:t>the G</w:t>
            </w:r>
            <w:r w:rsidR="00F36657">
              <w:t>overnment</w:t>
            </w:r>
            <w:r>
              <w:t xml:space="preserve"> to temporarily or permanently reserve Crown land for public purposes, appoint </w:t>
            </w:r>
            <w:r w:rsidR="00027D79">
              <w:t>c</w:t>
            </w:r>
            <w:r>
              <w:t xml:space="preserve">ommittees of </w:t>
            </w:r>
            <w:r w:rsidR="00027D79">
              <w:t>m</w:t>
            </w:r>
            <w:r>
              <w:t>anagement to manage reserved land for its given purpose or revoke reservations on Crown land</w:t>
            </w:r>
          </w:p>
        </w:tc>
        <w:tc>
          <w:tcPr>
            <w:tcW w:w="7020" w:type="dxa"/>
          </w:tcPr>
          <w:p w14:paraId="044BD944" w14:textId="0855577A" w:rsidR="001C5FD9" w:rsidRPr="004F0C3E" w:rsidRDefault="00027D79" w:rsidP="00171CF8">
            <w:pPr>
              <w:pStyle w:val="Tabletext"/>
              <w:cnfStyle w:val="000000000000" w:firstRow="0" w:lastRow="0" w:firstColumn="0" w:lastColumn="0" w:oddVBand="0" w:evenVBand="0" w:oddHBand="0" w:evenHBand="0" w:firstRowFirstColumn="0" w:firstRowLastColumn="0" w:lastRowFirstColumn="0" w:lastRowLastColumn="0"/>
            </w:pPr>
            <w:r>
              <w:t xml:space="preserve">This legislation enables the Government </w:t>
            </w:r>
            <w:r w:rsidR="001C5FD9">
              <w:t>to temporarily or permanently reserve Crown land for specific public purposes and for the revocation of any reservations.</w:t>
            </w:r>
          </w:p>
          <w:p w14:paraId="5F036C95" w14:textId="28EF20C3" w:rsidR="001C5FD9" w:rsidRDefault="00027D79" w:rsidP="00171CF8">
            <w:pPr>
              <w:pStyle w:val="Tabletext"/>
              <w:cnfStyle w:val="000000000000" w:firstRow="0" w:lastRow="0" w:firstColumn="0" w:lastColumn="0" w:oddVBand="0" w:evenVBand="0" w:oddHBand="0" w:evenHBand="0" w:firstRowFirstColumn="0" w:firstRowLastColumn="0" w:lastRowFirstColumn="0" w:lastRowLastColumn="0"/>
              <w:rPr>
                <w:szCs w:val="17"/>
              </w:rPr>
            </w:pPr>
            <w:r>
              <w:rPr>
                <w:szCs w:val="17"/>
              </w:rPr>
              <w:t>It p</w:t>
            </w:r>
            <w:r w:rsidRPr="004F0C3E">
              <w:rPr>
                <w:szCs w:val="17"/>
              </w:rPr>
              <w:t xml:space="preserve">rovides </w:t>
            </w:r>
            <w:r>
              <w:rPr>
                <w:szCs w:val="17"/>
              </w:rPr>
              <w:t>m</w:t>
            </w:r>
            <w:r w:rsidR="001C5FD9" w:rsidRPr="004F0C3E">
              <w:rPr>
                <w:szCs w:val="17"/>
              </w:rPr>
              <w:t>inisterial powers to purchase and acquire land</w:t>
            </w:r>
            <w:r>
              <w:rPr>
                <w:szCs w:val="17"/>
              </w:rPr>
              <w:t xml:space="preserve">, </w:t>
            </w:r>
            <w:r w:rsidR="001C5FD9" w:rsidRPr="004F0C3E">
              <w:rPr>
                <w:szCs w:val="17"/>
              </w:rPr>
              <w:t xml:space="preserve">vest land with trustees </w:t>
            </w:r>
            <w:r>
              <w:rPr>
                <w:szCs w:val="17"/>
              </w:rPr>
              <w:t>and</w:t>
            </w:r>
            <w:r w:rsidRPr="004F0C3E">
              <w:rPr>
                <w:szCs w:val="17"/>
              </w:rPr>
              <w:t xml:space="preserve"> </w:t>
            </w:r>
            <w:r w:rsidR="001C5FD9" w:rsidRPr="004F0C3E">
              <w:rPr>
                <w:szCs w:val="17"/>
              </w:rPr>
              <w:t>appoint Committees of Management to manage land</w:t>
            </w:r>
            <w:r>
              <w:rPr>
                <w:szCs w:val="17"/>
              </w:rPr>
              <w:t>.</w:t>
            </w:r>
          </w:p>
          <w:p w14:paraId="58155C91" w14:textId="10485AEE" w:rsidR="00272CE1" w:rsidRPr="004F0C3E" w:rsidRDefault="00894832" w:rsidP="00171CF8">
            <w:pPr>
              <w:pStyle w:val="Tabletext"/>
              <w:cnfStyle w:val="000000000000" w:firstRow="0" w:lastRow="0" w:firstColumn="0" w:lastColumn="0" w:oddVBand="0" w:evenVBand="0" w:oddHBand="0" w:evenHBand="0" w:firstRowFirstColumn="0" w:firstRowLastColumn="0" w:lastRowFirstColumn="0" w:lastRowLastColumn="0"/>
              <w:rPr>
                <w:szCs w:val="17"/>
              </w:rPr>
            </w:pPr>
            <w:hyperlink r:id="rId216" w:history="1">
              <w:r w:rsidR="00272CE1" w:rsidRPr="00272CE1">
                <w:rPr>
                  <w:rStyle w:val="Hyperlink"/>
                  <w:rFonts w:hint="eastAsia"/>
                  <w:szCs w:val="17"/>
                </w:rPr>
                <w:t>https://www.legislation.vic.gov.au/in-force/acts/crown-land-reserves-act-1978</w:t>
              </w:r>
            </w:hyperlink>
          </w:p>
        </w:tc>
        <w:tc>
          <w:tcPr>
            <w:tcW w:w="2430" w:type="dxa"/>
          </w:tcPr>
          <w:p w14:paraId="468D1485" w14:textId="77777777" w:rsidR="001C5FD9" w:rsidRPr="000A03D9"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0A03D9">
              <w:t>PDDD, site readiness</w:t>
            </w:r>
          </w:p>
        </w:tc>
      </w:tr>
      <w:tr w:rsidR="001C5FD9" w:rsidRPr="004B5A4E" w14:paraId="2FF69152"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4DD7D952" w14:textId="3A3DF8C3" w:rsidR="001C5FD9" w:rsidRPr="00F11836" w:rsidRDefault="001C5FD9" w:rsidP="00171CF8">
            <w:pPr>
              <w:pStyle w:val="Tabletext"/>
              <w:rPr>
                <w:iCs/>
                <w:szCs w:val="17"/>
              </w:rPr>
            </w:pPr>
            <w:r w:rsidRPr="00F45635">
              <w:rPr>
                <w:i/>
                <w:szCs w:val="17"/>
              </w:rPr>
              <w:t>Environment Effects Act 1978</w:t>
            </w:r>
            <w:r w:rsidR="009B4E97">
              <w:rPr>
                <w:iCs/>
                <w:szCs w:val="17"/>
              </w:rPr>
              <w:t xml:space="preserve"> </w:t>
            </w:r>
            <w:r w:rsidR="009B4E97" w:rsidRPr="008A367F">
              <w:rPr>
                <w:rFonts w:ascii="VIC" w:hAnsi="VIC"/>
                <w:iCs/>
              </w:rPr>
              <w:t>(Vic)</w:t>
            </w:r>
          </w:p>
          <w:p w14:paraId="6CB90451" w14:textId="5B78AEDE"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3FD9535D" wp14:editId="0F5FF306">
                  <wp:extent cx="411480" cy="411480"/>
                  <wp:effectExtent l="0" t="0" r="0" b="7620"/>
                  <wp:docPr id="2091229764" name="Graphic 2091229764"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10E775FD" w14:textId="2E88E05C"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sidRPr="004F0C3E">
              <w:rPr>
                <w:szCs w:val="17"/>
              </w:rPr>
              <w:t xml:space="preserve">Requires proposed projects or works that </w:t>
            </w:r>
            <w:r w:rsidR="00027D79">
              <w:rPr>
                <w:szCs w:val="17"/>
              </w:rPr>
              <w:t>could have</w:t>
            </w:r>
            <w:r w:rsidRPr="004F0C3E">
              <w:rPr>
                <w:szCs w:val="17"/>
              </w:rPr>
              <w:t xml:space="preserve"> a significant effect on the environment to be assessed prior to commencement</w:t>
            </w:r>
          </w:p>
        </w:tc>
        <w:tc>
          <w:tcPr>
            <w:tcW w:w="7020" w:type="dxa"/>
          </w:tcPr>
          <w:p w14:paraId="1AA62761" w14:textId="51AF44B3" w:rsidR="001C5FD9" w:rsidRPr="004F0C3E" w:rsidRDefault="00027D79"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Pr>
                <w:szCs w:val="17"/>
              </w:rPr>
              <w:t>This legislation e</w:t>
            </w:r>
            <w:r w:rsidRPr="004F0C3E">
              <w:rPr>
                <w:szCs w:val="17"/>
              </w:rPr>
              <w:t xml:space="preserve">nables </w:t>
            </w:r>
            <w:r w:rsidR="001C5FD9" w:rsidRPr="004F0C3E">
              <w:rPr>
                <w:szCs w:val="17"/>
              </w:rPr>
              <w:t>the Minister for Planning to determine that an Environment Effects Statement should be prepared when a project is likely to have adverse effects on the environment.</w:t>
            </w:r>
          </w:p>
          <w:p w14:paraId="73417E1D" w14:textId="0CBFCCF4"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sidRPr="004F0C3E">
              <w:rPr>
                <w:szCs w:val="17"/>
              </w:rPr>
              <w:t>Agencies should first consider and identify an Environmental Effects Statement (EES) in the business case. Requirements, issues and risks identified in the EES should be included in the procurement plan. Environmental due diligence should be undertaken in the tender development phase as required. Tender and contract documentation must identify and address any requirements of the EES.</w:t>
            </w:r>
          </w:p>
          <w:p w14:paraId="75FC1321" w14:textId="09F95399" w:rsidR="001A5D02" w:rsidRPr="005B687A"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szCs w:val="17"/>
              </w:rPr>
            </w:pPr>
            <w:hyperlink r:id="rId217" w:history="1">
              <w:r w:rsidR="001C5FD9" w:rsidRPr="00171CF8">
                <w:rPr>
                  <w:rStyle w:val="Hyperlink"/>
                  <w:szCs w:val="17"/>
                </w:rPr>
                <w:t>https://www.legislation.vic.gov.au/in-force/acts/environment-effects-act-1978</w:t>
              </w:r>
            </w:hyperlink>
            <w:r w:rsidR="001A5D02">
              <w:rPr>
                <w:rStyle w:val="Hyperlink"/>
                <w:szCs w:val="17"/>
              </w:rPr>
              <w:fldChar w:fldCharType="begin"/>
            </w:r>
            <w:r w:rsidR="00164E67">
              <w:rPr>
                <w:rStyle w:val="Hyperlink"/>
                <w:rFonts w:eastAsiaTheme="minorEastAsia"/>
                <w:spacing w:val="0"/>
                <w:szCs w:val="17"/>
                <w:lang w:eastAsia="en-AU"/>
              </w:rPr>
              <w:instrText>HYPERLINK "file://\\\\mac\\Users\\atwood\\Library\\CloudStorage\\OneDrive-SharedLibraries-RedPonyConsulting\\Internal - Projects (Clients)\\DTF\\1717. WoVG Infrastructure Procurement Framework\\Modified Documents\\Proofreading\\ILGHVHR\\https:\\www.planning.vic.gov.au\\environmental-assessments\\environmental-assessment-guides\\environment-effects-statements-in-victori"</w:instrText>
            </w:r>
            <w:r w:rsidR="001A5D02">
              <w:rPr>
                <w:rStyle w:val="Hyperlink"/>
                <w:szCs w:val="17"/>
              </w:rPr>
            </w:r>
            <w:r w:rsidR="001A5D02">
              <w:rPr>
                <w:rStyle w:val="Hyperlink"/>
                <w:szCs w:val="17"/>
              </w:rPr>
              <w:fldChar w:fldCharType="separate"/>
            </w:r>
          </w:p>
          <w:p w14:paraId="5E87C3F0" w14:textId="6276C46F" w:rsidR="001C5FD9" w:rsidRPr="00261724" w:rsidRDefault="001A5D02" w:rsidP="00171CF8">
            <w:pPr>
              <w:pStyle w:val="Tabletext"/>
              <w:cnfStyle w:val="000000010000" w:firstRow="0" w:lastRow="0" w:firstColumn="0" w:lastColumn="0" w:oddVBand="0" w:evenVBand="0" w:oddHBand="0" w:evenHBand="1" w:firstRowFirstColumn="0" w:firstRowLastColumn="0" w:lastRowFirstColumn="0" w:lastRowLastColumn="0"/>
              <w:rPr>
                <w:color w:val="4D4D4D"/>
                <w:szCs w:val="17"/>
                <w:u w:val="single"/>
              </w:rPr>
            </w:pPr>
            <w:r w:rsidRPr="005B687A">
              <w:rPr>
                <w:rStyle w:val="Hyperlink"/>
                <w:szCs w:val="17"/>
              </w:rPr>
              <w:t>https://www.planning.vic.gov.au/environmental-assessments/environmental-assessment-guides/environment-effects-statements-in-victori</w:t>
            </w:r>
            <w:r>
              <w:rPr>
                <w:rStyle w:val="Hyperlink"/>
                <w:szCs w:val="17"/>
              </w:rPr>
              <w:fldChar w:fldCharType="end"/>
            </w:r>
            <w:r w:rsidR="00261724" w:rsidRPr="00261724">
              <w:rPr>
                <w:rStyle w:val="Hyperlink"/>
                <w:szCs w:val="17"/>
              </w:rPr>
              <w:t>a</w:t>
            </w:r>
          </w:p>
        </w:tc>
        <w:tc>
          <w:tcPr>
            <w:tcW w:w="2430" w:type="dxa"/>
          </w:tcPr>
          <w:p w14:paraId="1974C6AD" w14:textId="77777777" w:rsidR="001C5FD9" w:rsidRPr="000A03D9"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0A03D9">
              <w:t>Business case, PDDD, tendering, contracting and contract management</w:t>
            </w:r>
          </w:p>
        </w:tc>
      </w:tr>
      <w:tr w:rsidR="001C5FD9" w:rsidRPr="004B5A4E" w14:paraId="0E087C38"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2131D2A7" w14:textId="42F89718" w:rsidR="001C5FD9" w:rsidRPr="009251DC" w:rsidRDefault="001C5FD9" w:rsidP="00171CF8">
            <w:pPr>
              <w:pStyle w:val="Tabletext"/>
              <w:rPr>
                <w:iCs/>
                <w:szCs w:val="17"/>
              </w:rPr>
            </w:pPr>
            <w:r w:rsidRPr="00F45635">
              <w:rPr>
                <w:i/>
                <w:szCs w:val="17"/>
              </w:rPr>
              <w:t>Gender Equ</w:t>
            </w:r>
            <w:r w:rsidR="00422DCA">
              <w:rPr>
                <w:i/>
                <w:szCs w:val="17"/>
              </w:rPr>
              <w:t>ali</w:t>
            </w:r>
            <w:r w:rsidRPr="00F45635">
              <w:rPr>
                <w:i/>
                <w:szCs w:val="17"/>
              </w:rPr>
              <w:t>ty Act 2020</w:t>
            </w:r>
            <w:r w:rsidR="000F012B">
              <w:rPr>
                <w:iCs/>
                <w:szCs w:val="17"/>
              </w:rPr>
              <w:t xml:space="preserve"> </w:t>
            </w:r>
            <w:r w:rsidR="009B4E97" w:rsidRPr="008A367F">
              <w:rPr>
                <w:rFonts w:ascii="VIC" w:hAnsi="VIC"/>
                <w:iCs/>
              </w:rPr>
              <w:t>(Vic)</w:t>
            </w:r>
          </w:p>
          <w:p w14:paraId="0F6B1EAC" w14:textId="636CB151"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5BDB6071" wp14:editId="0A0FBE19">
                  <wp:extent cx="411480" cy="411480"/>
                  <wp:effectExtent l="0" t="0" r="0" b="7620"/>
                  <wp:docPr id="2091229765" name="Graphic 2091229765"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1B846356" w14:textId="65A14F84" w:rsidR="001C5FD9" w:rsidRPr="004F0C3E" w:rsidRDefault="001C5FD9" w:rsidP="00171CF8">
            <w:pPr>
              <w:pStyle w:val="Tabletext"/>
              <w:cnfStyle w:val="000000000000" w:firstRow="0" w:lastRow="0" w:firstColumn="0" w:lastColumn="0" w:oddVBand="0" w:evenVBand="0" w:oddHBand="0" w:evenHBand="0" w:firstRowFirstColumn="0" w:firstRowLastColumn="0" w:lastRowFirstColumn="0" w:lastRowLastColumn="0"/>
              <w:rPr>
                <w:color w:val="auto"/>
                <w:szCs w:val="17"/>
              </w:rPr>
            </w:pPr>
            <w:r w:rsidRPr="004F0C3E">
              <w:rPr>
                <w:color w:val="auto"/>
                <w:szCs w:val="17"/>
              </w:rPr>
              <w:t>Drives positive action towards achieving workplace gender equality in the public sector</w:t>
            </w:r>
          </w:p>
        </w:tc>
        <w:tc>
          <w:tcPr>
            <w:tcW w:w="7020" w:type="dxa"/>
          </w:tcPr>
          <w:p w14:paraId="40E38C38" w14:textId="796D80BA" w:rsidR="001C5FD9" w:rsidRPr="004F0C3E" w:rsidRDefault="00027D79" w:rsidP="00171CF8">
            <w:pPr>
              <w:pStyle w:val="Tabletext"/>
              <w:cnfStyle w:val="000000000000" w:firstRow="0" w:lastRow="0" w:firstColumn="0" w:lastColumn="0" w:oddVBand="0" w:evenVBand="0" w:oddHBand="0" w:evenHBand="0" w:firstRowFirstColumn="0" w:firstRowLastColumn="0" w:lastRowFirstColumn="0" w:lastRowLastColumn="0"/>
              <w:rPr>
                <w:szCs w:val="17"/>
              </w:rPr>
            </w:pPr>
            <w:r>
              <w:rPr>
                <w:szCs w:val="17"/>
              </w:rPr>
              <w:t>This legislation r</w:t>
            </w:r>
            <w:r w:rsidRPr="004F0C3E">
              <w:rPr>
                <w:szCs w:val="17"/>
              </w:rPr>
              <w:t xml:space="preserve">equires </w:t>
            </w:r>
            <w:r w:rsidR="001C5FD9" w:rsidRPr="004F0C3E">
              <w:rPr>
                <w:szCs w:val="17"/>
              </w:rPr>
              <w:t xml:space="preserve">agencies to </w:t>
            </w:r>
            <w:r>
              <w:rPr>
                <w:szCs w:val="17"/>
              </w:rPr>
              <w:t>conduct</w:t>
            </w:r>
            <w:r w:rsidRPr="004F0C3E">
              <w:rPr>
                <w:szCs w:val="17"/>
              </w:rPr>
              <w:t xml:space="preserve"> </w:t>
            </w:r>
            <w:r w:rsidR="001C5FD9" w:rsidRPr="004F0C3E">
              <w:rPr>
                <w:szCs w:val="17"/>
              </w:rPr>
              <w:t xml:space="preserve">a gender impact assessment when undertaking infrastructure procurement. This involves assessing how the project or proposal meets the needs of </w:t>
            </w:r>
            <w:r w:rsidR="008A5516">
              <w:rPr>
                <w:szCs w:val="17"/>
              </w:rPr>
              <w:t>people</w:t>
            </w:r>
            <w:r w:rsidR="001C5FD9" w:rsidRPr="004F0C3E">
              <w:rPr>
                <w:szCs w:val="17"/>
              </w:rPr>
              <w:t xml:space="preserve"> of different genders, addresses gender inequality and promotes gender equality.</w:t>
            </w:r>
          </w:p>
          <w:p w14:paraId="74872019" w14:textId="7B06C420" w:rsidR="001C5FD9" w:rsidRPr="00171CF8" w:rsidRDefault="00894832" w:rsidP="00171CF8">
            <w:pPr>
              <w:pStyle w:val="Tabletext"/>
              <w:cnfStyle w:val="000000000000" w:firstRow="0" w:lastRow="0" w:firstColumn="0" w:lastColumn="0" w:oddVBand="0" w:evenVBand="0" w:oddHBand="0" w:evenHBand="0" w:firstRowFirstColumn="0" w:firstRowLastColumn="0" w:lastRowFirstColumn="0" w:lastRowLastColumn="0"/>
              <w:rPr>
                <w:rStyle w:val="Hyperlink"/>
                <w:szCs w:val="17"/>
              </w:rPr>
            </w:pPr>
            <w:hyperlink r:id="rId218" w:history="1">
              <w:r w:rsidR="001C5FD9" w:rsidRPr="00171CF8">
                <w:rPr>
                  <w:rStyle w:val="Hyperlink"/>
                  <w:szCs w:val="17"/>
                </w:rPr>
                <w:t>https://www.genderequalitycommission.vic.gov.au/about-gender-equality-act-2020</w:t>
              </w:r>
            </w:hyperlink>
          </w:p>
        </w:tc>
        <w:tc>
          <w:tcPr>
            <w:tcW w:w="2430" w:type="dxa"/>
          </w:tcPr>
          <w:p w14:paraId="7EE76487" w14:textId="77777777" w:rsidR="001C5FD9" w:rsidRPr="000A03D9"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0A03D9">
              <w:t>Business case, project approval</w:t>
            </w:r>
          </w:p>
        </w:tc>
      </w:tr>
      <w:tr w:rsidR="001C5FD9" w:rsidRPr="004B5A4E" w14:paraId="4CD86238"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7692167B" w14:textId="518E959E" w:rsidR="001C5FD9" w:rsidRPr="000C625B" w:rsidRDefault="001C5FD9" w:rsidP="00171CF8">
            <w:pPr>
              <w:pStyle w:val="Tabletext"/>
              <w:rPr>
                <w:iCs/>
                <w:szCs w:val="17"/>
              </w:rPr>
            </w:pPr>
            <w:r w:rsidRPr="00F45635">
              <w:rPr>
                <w:i/>
                <w:szCs w:val="17"/>
              </w:rPr>
              <w:t>Heritage Act 2017</w:t>
            </w:r>
            <w:r w:rsidR="009B4E97" w:rsidRPr="008A367F">
              <w:rPr>
                <w:rFonts w:ascii="VIC" w:hAnsi="VIC"/>
                <w:iCs/>
              </w:rPr>
              <w:t xml:space="preserve"> (Vic)</w:t>
            </w:r>
          </w:p>
          <w:p w14:paraId="5D7557FB" w14:textId="6944FE06"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16D20A4B" wp14:editId="12E1981F">
                  <wp:extent cx="411480" cy="411480"/>
                  <wp:effectExtent l="0" t="0" r="0" b="7620"/>
                  <wp:docPr id="2091229766" name="Graphic 2091229766"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79BD1637" w14:textId="73261899"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rPr>
                <w:color w:val="auto"/>
                <w:szCs w:val="17"/>
              </w:rPr>
            </w:pPr>
            <w:r w:rsidRPr="004F0C3E">
              <w:rPr>
                <w:color w:val="auto"/>
                <w:szCs w:val="17"/>
              </w:rPr>
              <w:t>Provides for the protection, conservation and registration of places and objects of cultural heritage significance</w:t>
            </w:r>
          </w:p>
        </w:tc>
        <w:tc>
          <w:tcPr>
            <w:tcW w:w="7020" w:type="dxa"/>
          </w:tcPr>
          <w:p w14:paraId="660A3A9B" w14:textId="76D99835" w:rsidR="001C5FD9" w:rsidRPr="004F0C3E" w:rsidRDefault="00027D79" w:rsidP="00171CF8">
            <w:pPr>
              <w:pStyle w:val="Tabletext"/>
              <w:cnfStyle w:val="000000010000" w:firstRow="0" w:lastRow="0" w:firstColumn="0" w:lastColumn="0" w:oddVBand="0" w:evenVBand="0" w:oddHBand="0" w:evenHBand="1" w:firstRowFirstColumn="0" w:firstRowLastColumn="0" w:lastRowFirstColumn="0" w:lastRowLastColumn="0"/>
              <w:rPr>
                <w:rFonts w:cstheme="minorHAnsi"/>
                <w:szCs w:val="17"/>
              </w:rPr>
            </w:pPr>
            <w:r>
              <w:rPr>
                <w:rFonts w:cstheme="minorHAnsi"/>
                <w:szCs w:val="17"/>
              </w:rPr>
              <w:t>This legislation r</w:t>
            </w:r>
            <w:r w:rsidRPr="004F0C3E">
              <w:rPr>
                <w:rFonts w:cstheme="minorHAnsi"/>
                <w:szCs w:val="17"/>
              </w:rPr>
              <w:t xml:space="preserve">equires </w:t>
            </w:r>
            <w:r w:rsidR="001C5FD9" w:rsidRPr="004F0C3E">
              <w:rPr>
                <w:rFonts w:cstheme="minorHAnsi"/>
                <w:szCs w:val="17"/>
              </w:rPr>
              <w:t>agencies to preserve land, buildings or other improvements and artefacts of cultural heritage significance.</w:t>
            </w:r>
          </w:p>
          <w:p w14:paraId="31774B9D" w14:textId="77777777"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rPr>
                <w:rFonts w:cstheme="minorHAnsi"/>
                <w:color w:val="auto"/>
                <w:szCs w:val="17"/>
              </w:rPr>
            </w:pPr>
            <w:r w:rsidRPr="004F0C3E">
              <w:rPr>
                <w:rFonts w:cstheme="minorHAnsi"/>
                <w:color w:val="auto"/>
                <w:szCs w:val="17"/>
              </w:rPr>
              <w:t>Agencies should undertake due diligence of heritage assets prior to tender and ensure heritage issues and risks are considered and addressed in the procurement plan. Any heritage considerations should be outlined in the tender and contract documentation where relevant.</w:t>
            </w:r>
          </w:p>
          <w:p w14:paraId="489C90D0" w14:textId="14B12544"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szCs w:val="17"/>
              </w:rPr>
            </w:pPr>
            <w:hyperlink r:id="rId219" w:history="1">
              <w:r w:rsidR="001C5FD9" w:rsidRPr="00171CF8">
                <w:rPr>
                  <w:rStyle w:val="Hyperlink"/>
                  <w:szCs w:val="17"/>
                </w:rPr>
                <w:t>https://www.legislation.vic.gov.au/in-force/acts/heritage-act-2017</w:t>
              </w:r>
            </w:hyperlink>
          </w:p>
          <w:p w14:paraId="396C600B" w14:textId="66A9C6B1" w:rsidR="001C5FD9" w:rsidRPr="004F0C3E" w:rsidRDefault="00894832" w:rsidP="00171CF8">
            <w:pPr>
              <w:pStyle w:val="Tabletext"/>
              <w:cnfStyle w:val="000000010000" w:firstRow="0" w:lastRow="0" w:firstColumn="0" w:lastColumn="0" w:oddVBand="0" w:evenVBand="0" w:oddHBand="0" w:evenHBand="1" w:firstRowFirstColumn="0" w:firstRowLastColumn="0" w:lastRowFirstColumn="0" w:lastRowLastColumn="0"/>
              <w:rPr>
                <w:color w:val="auto"/>
                <w:szCs w:val="17"/>
              </w:rPr>
            </w:pPr>
            <w:hyperlink r:id="rId220" w:history="1">
              <w:r w:rsidR="001C5FD9" w:rsidRPr="00171CF8">
                <w:rPr>
                  <w:rStyle w:val="Hyperlink"/>
                  <w:szCs w:val="17"/>
                </w:rPr>
                <w:t>https://www.heritage.vic.gov.au/about-us/legislation-and-regulations</w:t>
              </w:r>
            </w:hyperlink>
          </w:p>
        </w:tc>
        <w:tc>
          <w:tcPr>
            <w:tcW w:w="2430" w:type="dxa"/>
          </w:tcPr>
          <w:p w14:paraId="0DAD4FBB" w14:textId="77777777" w:rsidR="001C5FD9" w:rsidRPr="000A03D9"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0A03D9">
              <w:t>PDDD, tendering, contracting, contract management</w:t>
            </w:r>
          </w:p>
        </w:tc>
      </w:tr>
      <w:tr w:rsidR="001C5FD9" w:rsidRPr="004B5A4E" w14:paraId="0498055F"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243CDB68" w14:textId="5D4349C6" w:rsidR="001C5FD9" w:rsidRPr="009B4E97" w:rsidRDefault="001C5FD9" w:rsidP="00171CF8">
            <w:pPr>
              <w:pStyle w:val="Tabletext"/>
              <w:rPr>
                <w:iCs/>
                <w:szCs w:val="17"/>
              </w:rPr>
            </w:pPr>
            <w:r w:rsidRPr="00F45635">
              <w:rPr>
                <w:i/>
                <w:szCs w:val="17"/>
              </w:rPr>
              <w:t>Land Act 1958</w:t>
            </w:r>
            <w:r w:rsidR="009B4E97">
              <w:rPr>
                <w:iCs/>
                <w:szCs w:val="17"/>
              </w:rPr>
              <w:t xml:space="preserve"> </w:t>
            </w:r>
            <w:r w:rsidR="009B4E97" w:rsidRPr="008A367F">
              <w:rPr>
                <w:rFonts w:ascii="VIC" w:hAnsi="VIC"/>
                <w:iCs/>
              </w:rPr>
              <w:t>(Vic)</w:t>
            </w:r>
          </w:p>
          <w:p w14:paraId="63BB2071" w14:textId="18FDAFD6" w:rsidR="00272CE1" w:rsidRPr="000C625B" w:rsidRDefault="00272CE1" w:rsidP="00171CF8">
            <w:pPr>
              <w:pStyle w:val="Tabletext"/>
              <w:rPr>
                <w:iCs/>
                <w:szCs w:val="17"/>
              </w:rPr>
            </w:pPr>
            <w:r>
              <w:rPr>
                <w:color w:val="auto"/>
                <w:szCs w:val="17"/>
              </w:rPr>
              <w:t>Victorian Government Land Use policy and guidelines</w:t>
            </w:r>
          </w:p>
          <w:p w14:paraId="4DB9EF2F" w14:textId="1C2A368C"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1A7B5062" wp14:editId="07C789EF">
                  <wp:extent cx="411480" cy="411480"/>
                  <wp:effectExtent l="0" t="0" r="0" b="7620"/>
                  <wp:docPr id="2091229767" name="Graphic 2091229767"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7119C612" w14:textId="7B2C6B48" w:rsidR="001C5FD9" w:rsidRPr="004F0C3E" w:rsidRDefault="001C5FD9" w:rsidP="00171CF8">
            <w:pPr>
              <w:pStyle w:val="Tabletext"/>
              <w:cnfStyle w:val="000000000000" w:firstRow="0" w:lastRow="0" w:firstColumn="0" w:lastColumn="0" w:oddVBand="0" w:evenVBand="0" w:oddHBand="0" w:evenHBand="0" w:firstRowFirstColumn="0" w:firstRowLastColumn="0" w:lastRowFirstColumn="0" w:lastRowLastColumn="0"/>
              <w:rPr>
                <w:rFonts w:eastAsia="VIC" w:cs="VIC"/>
                <w:color w:val="auto"/>
                <w:szCs w:val="17"/>
              </w:rPr>
            </w:pPr>
            <w:r w:rsidRPr="004F0C3E">
              <w:rPr>
                <w:rFonts w:eastAsia="VIC" w:cs="VIC"/>
                <w:color w:val="auto"/>
                <w:szCs w:val="17"/>
              </w:rPr>
              <w:t>Provides a framework for the management of Crown land, including leasing and sale</w:t>
            </w:r>
          </w:p>
        </w:tc>
        <w:tc>
          <w:tcPr>
            <w:tcW w:w="7020" w:type="dxa"/>
          </w:tcPr>
          <w:p w14:paraId="04D0A53E" w14:textId="5BBBBD38" w:rsidR="001C5FD9" w:rsidRPr="004F0C3E" w:rsidRDefault="00027D79" w:rsidP="00171CF8">
            <w:pPr>
              <w:pStyle w:val="Tabletext"/>
              <w:cnfStyle w:val="000000000000" w:firstRow="0" w:lastRow="0" w:firstColumn="0" w:lastColumn="0" w:oddVBand="0" w:evenVBand="0" w:oddHBand="0" w:evenHBand="0" w:firstRowFirstColumn="0" w:firstRowLastColumn="0" w:lastRowFirstColumn="0" w:lastRowLastColumn="0"/>
              <w:rPr>
                <w:color w:val="auto"/>
                <w:szCs w:val="17"/>
              </w:rPr>
            </w:pPr>
            <w:r>
              <w:rPr>
                <w:rFonts w:eastAsia="VIC" w:cs="VIC"/>
                <w:color w:val="auto"/>
                <w:szCs w:val="17"/>
              </w:rPr>
              <w:t>This legislation s</w:t>
            </w:r>
            <w:r w:rsidRPr="004F0C3E">
              <w:rPr>
                <w:rFonts w:eastAsia="VIC" w:cs="VIC"/>
                <w:color w:val="auto"/>
                <w:szCs w:val="17"/>
              </w:rPr>
              <w:t xml:space="preserve">ets </w:t>
            </w:r>
            <w:r w:rsidR="001C5FD9" w:rsidRPr="004F0C3E">
              <w:rPr>
                <w:rFonts w:eastAsia="VIC" w:cs="VIC"/>
                <w:color w:val="auto"/>
                <w:szCs w:val="17"/>
              </w:rPr>
              <w:t xml:space="preserve">out processes and procedures that agencies must follow when conducting the sale of Crown land, including to another public authority, or when managing or terminating leasing arrangements on Crown land sites. </w:t>
            </w:r>
            <w:hyperlink r:id="rId221">
              <w:r w:rsidR="001C5FD9" w:rsidRPr="00171CF8">
                <w:rPr>
                  <w:rStyle w:val="Hyperlink"/>
                  <w:szCs w:val="17"/>
                </w:rPr>
                <w:t>https://www.legislation.vic.gov.au/in-force/acts/land-act-1958</w:t>
              </w:r>
            </w:hyperlink>
          </w:p>
          <w:p w14:paraId="12C7E87A" w14:textId="05BC858B" w:rsidR="001C5FD9" w:rsidRDefault="001C5FD9" w:rsidP="00171CF8">
            <w:pPr>
              <w:pStyle w:val="Tabletext"/>
              <w:cnfStyle w:val="000000000000" w:firstRow="0" w:lastRow="0" w:firstColumn="0" w:lastColumn="0" w:oddVBand="0" w:evenVBand="0" w:oddHBand="0" w:evenHBand="0" w:firstRowFirstColumn="0" w:firstRowLastColumn="0" w:lastRowFirstColumn="0" w:lastRowLastColumn="0"/>
              <w:rPr>
                <w:rFonts w:eastAsia="VIC" w:cs="VIC"/>
                <w:color w:val="auto"/>
                <w:szCs w:val="17"/>
              </w:rPr>
            </w:pPr>
            <w:r w:rsidRPr="004F0C3E">
              <w:rPr>
                <w:rFonts w:eastAsia="VIC" w:cs="VIC"/>
                <w:color w:val="auto"/>
                <w:szCs w:val="17"/>
              </w:rPr>
              <w:t>Th</w:t>
            </w:r>
            <w:r w:rsidR="00272CE1">
              <w:rPr>
                <w:rFonts w:eastAsia="VIC" w:cs="VIC"/>
                <w:color w:val="auto"/>
                <w:szCs w:val="17"/>
              </w:rPr>
              <w:t>e</w:t>
            </w:r>
            <w:r w:rsidRPr="004F0C3E">
              <w:rPr>
                <w:rFonts w:eastAsia="VIC" w:cs="VIC"/>
                <w:color w:val="auto"/>
                <w:szCs w:val="17"/>
              </w:rPr>
              <w:t xml:space="preserve"> Act is operationalised through the </w:t>
            </w:r>
            <w:r w:rsidR="00272CE1">
              <w:rPr>
                <w:color w:val="auto"/>
                <w:szCs w:val="17"/>
              </w:rPr>
              <w:t>Victorian Government Land Use policy and guidelines,</w:t>
            </w:r>
            <w:r w:rsidRPr="004F0C3E">
              <w:rPr>
                <w:rFonts w:eastAsia="VIC" w:cs="VIC"/>
                <w:color w:val="auto"/>
                <w:szCs w:val="17"/>
              </w:rPr>
              <w:t xml:space="preserve"> which provide a framework and guiding principles for government decision-making</w:t>
            </w:r>
            <w:r w:rsidR="00272CE1">
              <w:rPr>
                <w:rFonts w:eastAsia="VIC" w:cs="VIC"/>
                <w:color w:val="auto"/>
                <w:szCs w:val="17"/>
              </w:rPr>
              <w:t xml:space="preserve"> on </w:t>
            </w:r>
            <w:r w:rsidR="00272CE1" w:rsidRPr="004F0C3E">
              <w:rPr>
                <w:rFonts w:eastAsia="VIC" w:cs="VIC"/>
                <w:color w:val="auto"/>
                <w:szCs w:val="17"/>
              </w:rPr>
              <w:t>land use</w:t>
            </w:r>
            <w:r w:rsidRPr="004F0C3E">
              <w:rPr>
                <w:rFonts w:eastAsia="VIC" w:cs="VIC"/>
                <w:color w:val="auto"/>
                <w:szCs w:val="17"/>
              </w:rPr>
              <w:t>.</w:t>
            </w:r>
          </w:p>
          <w:p w14:paraId="535FE303" w14:textId="4AF8A16F" w:rsidR="00272CE1" w:rsidRPr="004F0C3E" w:rsidRDefault="00272CE1" w:rsidP="00171CF8">
            <w:pPr>
              <w:pStyle w:val="Tabletext"/>
              <w:cnfStyle w:val="000000000000" w:firstRow="0" w:lastRow="0" w:firstColumn="0" w:lastColumn="0" w:oddVBand="0" w:evenVBand="0" w:oddHBand="0" w:evenHBand="0" w:firstRowFirstColumn="0" w:firstRowLastColumn="0" w:lastRowFirstColumn="0" w:lastRowLastColumn="0"/>
              <w:rPr>
                <w:rFonts w:eastAsia="VIC" w:cs="VIC"/>
                <w:color w:val="auto"/>
                <w:szCs w:val="17"/>
              </w:rPr>
            </w:pPr>
            <w:r w:rsidRPr="007C6D73">
              <w:rPr>
                <w:rStyle w:val="Hyperlink"/>
                <w:rFonts w:eastAsiaTheme="minorEastAsia"/>
                <w:szCs w:val="20"/>
              </w:rPr>
              <w:t>https://www.land.vic.gov.au/government-land/government-land-advice/policy-and-guidelines</w:t>
            </w:r>
          </w:p>
        </w:tc>
        <w:tc>
          <w:tcPr>
            <w:tcW w:w="2430" w:type="dxa"/>
          </w:tcPr>
          <w:p w14:paraId="2094B95E" w14:textId="77777777" w:rsidR="001C5FD9" w:rsidRPr="000A03D9"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0A03D9">
              <w:t>PDDD, site acquisition, early works</w:t>
            </w:r>
          </w:p>
        </w:tc>
      </w:tr>
      <w:tr w:rsidR="001C5FD9" w:rsidRPr="004B5A4E" w14:paraId="497B87C4"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5712C628" w14:textId="0AC0D788" w:rsidR="001C5FD9" w:rsidRDefault="001C5FD9" w:rsidP="00171CF8">
            <w:pPr>
              <w:pStyle w:val="Tabletext"/>
              <w:rPr>
                <w:szCs w:val="17"/>
              </w:rPr>
            </w:pPr>
            <w:bookmarkStart w:id="479" w:name="OLE_LINK39"/>
            <w:bookmarkStart w:id="480" w:name="OLE_LINK40"/>
            <w:r w:rsidRPr="00F45635">
              <w:rPr>
                <w:i/>
                <w:szCs w:val="17"/>
              </w:rPr>
              <w:t>Local Jobs First Act 20</w:t>
            </w:r>
            <w:r w:rsidR="00D44637">
              <w:rPr>
                <w:i/>
                <w:szCs w:val="17"/>
              </w:rPr>
              <w:t>0</w:t>
            </w:r>
            <w:r w:rsidRPr="00F45635">
              <w:rPr>
                <w:i/>
                <w:szCs w:val="17"/>
              </w:rPr>
              <w:t>3</w:t>
            </w:r>
            <w:r w:rsidR="009B4E97" w:rsidRPr="008A367F">
              <w:rPr>
                <w:rFonts w:ascii="VIC" w:hAnsi="VIC"/>
                <w:iCs/>
              </w:rPr>
              <w:t xml:space="preserve"> (Vic)</w:t>
            </w:r>
            <w:r w:rsidR="00386DB0" w:rsidRPr="00F45635">
              <w:rPr>
                <w:i/>
                <w:szCs w:val="17"/>
              </w:rPr>
              <w:t xml:space="preserve"> </w:t>
            </w:r>
            <w:r w:rsidR="00386DB0" w:rsidRPr="00F45635">
              <w:rPr>
                <w:szCs w:val="17"/>
              </w:rPr>
              <w:t>(LJF)</w:t>
            </w:r>
          </w:p>
          <w:p w14:paraId="32BB9053" w14:textId="1EE68E6F" w:rsidR="00272CE1" w:rsidRPr="00F45635" w:rsidRDefault="00272CE1" w:rsidP="00171CF8">
            <w:pPr>
              <w:pStyle w:val="Tabletext"/>
              <w:rPr>
                <w:szCs w:val="17"/>
              </w:rPr>
            </w:pPr>
            <w:r>
              <w:rPr>
                <w:szCs w:val="17"/>
              </w:rPr>
              <w:t>Local Jobs First Agency Guidelines</w:t>
            </w:r>
          </w:p>
          <w:bookmarkEnd w:id="479"/>
          <w:bookmarkEnd w:id="480"/>
          <w:p w14:paraId="32C666FA" w14:textId="15780FDC" w:rsidR="001C5FD9" w:rsidRPr="00F45635" w:rsidRDefault="00367DC9" w:rsidP="00171CF8">
            <w:pPr>
              <w:pStyle w:val="Tabletext"/>
              <w:rPr>
                <w:szCs w:val="17"/>
              </w:rPr>
            </w:pPr>
            <w:r w:rsidRPr="00F45635">
              <w:rPr>
                <w:rFonts w:ascii="VIC SemiBold" w:hAnsi="VIC SemiBold"/>
                <w:noProof/>
                <w:color w:val="C00000"/>
                <w:szCs w:val="17"/>
              </w:rPr>
              <w:drawing>
                <wp:inline distT="0" distB="0" distL="0" distR="0" wp14:anchorId="3D0A392D" wp14:editId="4C404FCF">
                  <wp:extent cx="409219" cy="411480"/>
                  <wp:effectExtent l="0" t="0" r="0" b="7620"/>
                  <wp:docPr id="442" name="Graphic 442" descr="Building skills and cap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Building skills and capability icon"/>
                          <pic:cNvPicPr/>
                        </pic:nvPicPr>
                        <pic:blipFill>
                          <a:blip r:embed="rId50" cstate="screen">
                            <a:extLst>
                              <a:ext uri="{28A0092B-C50C-407E-A947-70E740481C1C}">
                                <a14:useLocalDpi xmlns:a14="http://schemas.microsoft.com/office/drawing/2010/main"/>
                              </a:ext>
                              <a:ext uri="{96DAC541-7B7A-43D3-8B79-37D633B846F1}">
                                <asvg:svgBlip xmlns:asvg="http://schemas.microsoft.com/office/drawing/2016/SVG/main" r:embed="rId51"/>
                              </a:ext>
                            </a:extLst>
                          </a:blip>
                          <a:stretch>
                            <a:fillRect/>
                          </a:stretch>
                        </pic:blipFill>
                        <pic:spPr>
                          <a:xfrm>
                            <a:off x="0" y="0"/>
                            <a:ext cx="409219" cy="411480"/>
                          </a:xfrm>
                          <a:prstGeom prst="rect">
                            <a:avLst/>
                          </a:prstGeom>
                        </pic:spPr>
                      </pic:pic>
                    </a:graphicData>
                  </a:graphic>
                </wp:inline>
              </w:drawing>
            </w:r>
            <w:r w:rsidR="00FA33F5" w:rsidRPr="00F45635">
              <w:rPr>
                <w:szCs w:val="17"/>
              </w:rPr>
              <w:t xml:space="preserve">   </w:t>
            </w:r>
            <w:r w:rsidR="008F02FA" w:rsidRPr="00F45635">
              <w:rPr>
                <w:rFonts w:ascii="VIC SemiBold" w:hAnsi="VIC SemiBold"/>
                <w:noProof/>
                <w:color w:val="C00000"/>
                <w:szCs w:val="17"/>
              </w:rPr>
              <w:drawing>
                <wp:inline distT="0" distB="0" distL="0" distR="0" wp14:anchorId="21227212" wp14:editId="417EE765">
                  <wp:extent cx="411480" cy="411480"/>
                  <wp:effectExtent l="0" t="0" r="7620" b="7620"/>
                  <wp:docPr id="84" name="Graphic 84"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c>
          <w:tcPr>
            <w:tcW w:w="2700" w:type="dxa"/>
          </w:tcPr>
          <w:p w14:paraId="00694689" w14:textId="56E541BC"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rPr>
                <w:color w:val="auto"/>
                <w:szCs w:val="17"/>
              </w:rPr>
            </w:pPr>
            <w:r w:rsidRPr="004F0C3E">
              <w:rPr>
                <w:color w:val="auto"/>
                <w:szCs w:val="17"/>
              </w:rPr>
              <w:t xml:space="preserve">Leverages procurement activities </w:t>
            </w:r>
            <w:r w:rsidRPr="004F0C3E">
              <w:rPr>
                <w:color w:val="auto"/>
                <w:szCs w:val="17"/>
                <w:shd w:val="clear" w:color="auto" w:fill="FFFFFF"/>
              </w:rPr>
              <w:t>to help develop local industries, create jobs and boost economic activity across Victoria</w:t>
            </w:r>
          </w:p>
        </w:tc>
        <w:tc>
          <w:tcPr>
            <w:tcW w:w="7020" w:type="dxa"/>
          </w:tcPr>
          <w:p w14:paraId="61C3B4B5" w14:textId="4976B8BD" w:rsidR="001C5FD9" w:rsidRPr="004F0C3E" w:rsidRDefault="00272CE1" w:rsidP="00171CF8">
            <w:pPr>
              <w:pStyle w:val="Tabletext"/>
              <w:cnfStyle w:val="000000010000" w:firstRow="0" w:lastRow="0" w:firstColumn="0" w:lastColumn="0" w:oddVBand="0" w:evenVBand="0" w:oddHBand="0" w:evenHBand="1" w:firstRowFirstColumn="0" w:firstRowLastColumn="0" w:lastRowFirstColumn="0" w:lastRowLastColumn="0"/>
              <w:rPr>
                <w:szCs w:val="17"/>
                <w:shd w:val="clear" w:color="auto" w:fill="FFFFFF"/>
              </w:rPr>
            </w:pPr>
            <w:r>
              <w:rPr>
                <w:szCs w:val="17"/>
              </w:rPr>
              <w:t>This legislation r</w:t>
            </w:r>
            <w:r w:rsidRPr="004F0C3E">
              <w:rPr>
                <w:szCs w:val="17"/>
              </w:rPr>
              <w:t xml:space="preserve">equires </w:t>
            </w:r>
            <w:r w:rsidR="001C5FD9" w:rsidRPr="004F0C3E">
              <w:rPr>
                <w:szCs w:val="17"/>
              </w:rPr>
              <w:t>agencies to set minimum local content requirements</w:t>
            </w:r>
            <w:r w:rsidR="001C5FD9" w:rsidRPr="004F0C3E">
              <w:rPr>
                <w:szCs w:val="17"/>
                <w:shd w:val="clear" w:color="auto" w:fill="FFFFFF"/>
              </w:rPr>
              <w:t xml:space="preserve"> on projects that meet value thresholds.</w:t>
            </w:r>
          </w:p>
          <w:p w14:paraId="2BF873C6" w14:textId="3493F2AD" w:rsidR="001C5FD9" w:rsidRPr="004F0C3E" w:rsidRDefault="00272CE1" w:rsidP="00171CF8">
            <w:pPr>
              <w:pStyle w:val="Tabletext"/>
              <w:cnfStyle w:val="000000010000" w:firstRow="0" w:lastRow="0" w:firstColumn="0" w:lastColumn="0" w:oddVBand="0" w:evenVBand="0" w:oddHBand="0" w:evenHBand="1" w:firstRowFirstColumn="0" w:firstRowLastColumn="0" w:lastRowFirstColumn="0" w:lastRowLastColumn="0"/>
            </w:pPr>
            <w:r>
              <w:rPr>
                <w:shd w:val="clear" w:color="auto" w:fill="FFFFFF"/>
              </w:rPr>
              <w:t>A</w:t>
            </w:r>
            <w:r w:rsidR="001C5FD9" w:rsidRPr="6EFD278B">
              <w:rPr>
                <w:shd w:val="clear" w:color="auto" w:fill="FFFFFF"/>
              </w:rPr>
              <w:t xml:space="preserve">gencies </w:t>
            </w:r>
            <w:r>
              <w:rPr>
                <w:shd w:val="clear" w:color="auto" w:fill="FFFFFF"/>
              </w:rPr>
              <w:t>must</w:t>
            </w:r>
            <w:r w:rsidRPr="6EFD278B">
              <w:rPr>
                <w:shd w:val="clear" w:color="auto" w:fill="FFFFFF"/>
              </w:rPr>
              <w:t xml:space="preserve"> </w:t>
            </w:r>
            <w:r w:rsidR="001C5FD9" w:rsidRPr="6EFD278B">
              <w:rPr>
                <w:shd w:val="clear" w:color="auto" w:fill="FFFFFF"/>
              </w:rPr>
              <w:t>apply the Major Project Skills Guarantee to support opportunities for apprentices and trainees to projects that meet value thresholds.</w:t>
            </w:r>
          </w:p>
          <w:p w14:paraId="757E49FE" w14:textId="23301690" w:rsidR="001C5FD9" w:rsidRPr="004F0C3E" w:rsidRDefault="00272CE1"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Pr>
                <w:szCs w:val="17"/>
              </w:rPr>
              <w:t>A</w:t>
            </w:r>
            <w:r w:rsidR="001C5FD9" w:rsidRPr="004F0C3E">
              <w:rPr>
                <w:szCs w:val="17"/>
              </w:rPr>
              <w:t xml:space="preserve">gencies </w:t>
            </w:r>
            <w:r>
              <w:rPr>
                <w:szCs w:val="17"/>
              </w:rPr>
              <w:t>must</w:t>
            </w:r>
            <w:r w:rsidRPr="004F0C3E">
              <w:rPr>
                <w:szCs w:val="17"/>
              </w:rPr>
              <w:t xml:space="preserve"> </w:t>
            </w:r>
            <w:r w:rsidR="001C5FD9" w:rsidRPr="004F0C3E">
              <w:rPr>
                <w:szCs w:val="17"/>
              </w:rPr>
              <w:t xml:space="preserve">notify prospective bidders about LJF requirements in tender documents, including </w:t>
            </w:r>
            <w:r>
              <w:rPr>
                <w:szCs w:val="17"/>
              </w:rPr>
              <w:t>e</w:t>
            </w:r>
            <w:r w:rsidR="001C5FD9" w:rsidRPr="004F0C3E">
              <w:rPr>
                <w:szCs w:val="17"/>
              </w:rPr>
              <w:t xml:space="preserve">xpressions of </w:t>
            </w:r>
            <w:r>
              <w:rPr>
                <w:szCs w:val="17"/>
              </w:rPr>
              <w:t>i</w:t>
            </w:r>
            <w:r w:rsidR="001C5FD9" w:rsidRPr="004F0C3E">
              <w:rPr>
                <w:szCs w:val="17"/>
              </w:rPr>
              <w:t xml:space="preserve">nterest, </w:t>
            </w:r>
            <w:r>
              <w:rPr>
                <w:szCs w:val="17"/>
              </w:rPr>
              <w:t>r</w:t>
            </w:r>
            <w:r w:rsidR="001C5FD9" w:rsidRPr="004F0C3E">
              <w:rPr>
                <w:szCs w:val="17"/>
              </w:rPr>
              <w:t xml:space="preserve">equests for </w:t>
            </w:r>
            <w:r>
              <w:rPr>
                <w:szCs w:val="17"/>
              </w:rPr>
              <w:t>p</w:t>
            </w:r>
            <w:r w:rsidR="001C5FD9" w:rsidRPr="004F0C3E">
              <w:rPr>
                <w:szCs w:val="17"/>
              </w:rPr>
              <w:t>roposals/</w:t>
            </w:r>
            <w:r>
              <w:rPr>
                <w:szCs w:val="17"/>
              </w:rPr>
              <w:t>t</w:t>
            </w:r>
            <w:r w:rsidR="001C5FD9" w:rsidRPr="004F0C3E">
              <w:rPr>
                <w:szCs w:val="17"/>
              </w:rPr>
              <w:t>enders and other processes, using the model clauses.</w:t>
            </w:r>
          </w:p>
          <w:p w14:paraId="08E99807" w14:textId="1D07AFEE" w:rsidR="001C5FD9" w:rsidRDefault="00272CE1"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Pr>
                <w:szCs w:val="17"/>
              </w:rPr>
              <w:t>A</w:t>
            </w:r>
            <w:r w:rsidR="001C5FD9" w:rsidRPr="004F0C3E">
              <w:rPr>
                <w:szCs w:val="17"/>
              </w:rPr>
              <w:t xml:space="preserve">gencies </w:t>
            </w:r>
            <w:r>
              <w:rPr>
                <w:szCs w:val="17"/>
              </w:rPr>
              <w:t>must</w:t>
            </w:r>
            <w:r w:rsidRPr="004F0C3E">
              <w:rPr>
                <w:szCs w:val="17"/>
              </w:rPr>
              <w:t xml:space="preserve"> </w:t>
            </w:r>
            <w:r w:rsidR="001C5FD9" w:rsidRPr="004F0C3E">
              <w:rPr>
                <w:szCs w:val="17"/>
              </w:rPr>
              <w:t>monitor compliance and reporting of LJF requirements.</w:t>
            </w:r>
          </w:p>
          <w:p w14:paraId="5555D415" w14:textId="728E133E" w:rsidR="00272CE1" w:rsidRPr="004F0C3E" w:rsidRDefault="00894832" w:rsidP="00171CF8">
            <w:pPr>
              <w:pStyle w:val="Tabletext"/>
              <w:cnfStyle w:val="000000010000" w:firstRow="0" w:lastRow="0" w:firstColumn="0" w:lastColumn="0" w:oddVBand="0" w:evenVBand="0" w:oddHBand="0" w:evenHBand="1" w:firstRowFirstColumn="0" w:firstRowLastColumn="0" w:lastRowFirstColumn="0" w:lastRowLastColumn="0"/>
              <w:rPr>
                <w:szCs w:val="17"/>
              </w:rPr>
            </w:pPr>
            <w:hyperlink r:id="rId222" w:history="1">
              <w:r w:rsidR="00272CE1" w:rsidRPr="00272CE1">
                <w:rPr>
                  <w:rStyle w:val="Hyperlink"/>
                  <w:rFonts w:hint="eastAsia"/>
                  <w:szCs w:val="17"/>
                </w:rPr>
                <w:t>https://www.legislation.vic.gov.au/in-force/acts/local-jobs-first-act-2003</w:t>
              </w:r>
            </w:hyperlink>
          </w:p>
          <w:p w14:paraId="0479F6AD" w14:textId="36C313DE"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szCs w:val="17"/>
              </w:rPr>
            </w:pPr>
            <w:hyperlink r:id="rId223" w:history="1">
              <w:r w:rsidR="00272CE1">
                <w:rPr>
                  <w:rStyle w:val="Hyperlink"/>
                  <w:szCs w:val="17"/>
                </w:rPr>
                <w:t>https://localjobsfirst.vic.gov.au/agency-guidance</w:t>
              </w:r>
            </w:hyperlink>
          </w:p>
        </w:tc>
        <w:tc>
          <w:tcPr>
            <w:tcW w:w="2430" w:type="dxa"/>
          </w:tcPr>
          <w:p w14:paraId="55F8EBD1" w14:textId="77777777" w:rsidR="001C5FD9" w:rsidRPr="000A03D9"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0A03D9">
              <w:t xml:space="preserve">Tendering, tender evaluation, contracting, contract management </w:t>
            </w:r>
          </w:p>
        </w:tc>
      </w:tr>
      <w:tr w:rsidR="001C5FD9" w:rsidRPr="004B5A4E" w14:paraId="0C720690"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2314580D" w14:textId="464E7E86" w:rsidR="001C5FD9" w:rsidRPr="00287304" w:rsidRDefault="001C5FD9" w:rsidP="00171CF8">
            <w:pPr>
              <w:pStyle w:val="Tabletext"/>
              <w:rPr>
                <w:iCs/>
                <w:szCs w:val="17"/>
              </w:rPr>
            </w:pPr>
            <w:r w:rsidRPr="00F45635">
              <w:rPr>
                <w:i/>
                <w:szCs w:val="17"/>
              </w:rPr>
              <w:t>Marine and Coastal Act 2018</w:t>
            </w:r>
            <w:r w:rsidR="009B4E97" w:rsidRPr="008A367F">
              <w:rPr>
                <w:rFonts w:ascii="VIC" w:hAnsi="VIC"/>
                <w:iCs/>
              </w:rPr>
              <w:t xml:space="preserve"> (Vic)</w:t>
            </w:r>
          </w:p>
          <w:p w14:paraId="5E82A923" w14:textId="4B4EC7C9"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28534A9B" wp14:editId="1E61D4F5">
                  <wp:extent cx="411480" cy="411480"/>
                  <wp:effectExtent l="0" t="0" r="0" b="7620"/>
                  <wp:docPr id="2091229768" name="Graphic 2091229768"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559F8951" w14:textId="4E8ADEAE" w:rsidR="001C5FD9" w:rsidRPr="004F0C3E" w:rsidRDefault="001C5FD9" w:rsidP="00171CF8">
            <w:pPr>
              <w:pStyle w:val="Tabletext"/>
              <w:cnfStyle w:val="000000000000" w:firstRow="0" w:lastRow="0" w:firstColumn="0" w:lastColumn="0" w:oddVBand="0" w:evenVBand="0" w:oddHBand="0" w:evenHBand="0" w:firstRowFirstColumn="0" w:firstRowLastColumn="0" w:lastRowFirstColumn="0" w:lastRowLastColumn="0"/>
              <w:rPr>
                <w:color w:val="6F6F6F"/>
                <w:spacing w:val="-5"/>
                <w:shd w:val="clear" w:color="auto" w:fill="FFFFFF"/>
              </w:rPr>
            </w:pPr>
            <w:r>
              <w:t>Establishes an integrated and co</w:t>
            </w:r>
            <w:r w:rsidR="00F14CBF">
              <w:t>ordinated</w:t>
            </w:r>
            <w:r>
              <w:t xml:space="preserve"> whole</w:t>
            </w:r>
            <w:r w:rsidR="00F11B52">
              <w:t xml:space="preserve"> </w:t>
            </w:r>
            <w:r w:rsidR="007334C6">
              <w:t>of</w:t>
            </w:r>
            <w:r w:rsidR="00F11B52">
              <w:t xml:space="preserve"> </w:t>
            </w:r>
            <w:r w:rsidR="007334C6">
              <w:t>government</w:t>
            </w:r>
            <w:r>
              <w:t xml:space="preserve"> approach to protecting and managing Victoria</w:t>
            </w:r>
            <w:r w:rsidR="00344D3F">
              <w:t>’</w:t>
            </w:r>
            <w:r>
              <w:t xml:space="preserve">s marine and coastal environment </w:t>
            </w:r>
          </w:p>
        </w:tc>
        <w:tc>
          <w:tcPr>
            <w:tcW w:w="7020" w:type="dxa"/>
          </w:tcPr>
          <w:p w14:paraId="6463CDF4" w14:textId="63D478DE" w:rsidR="001C5FD9" w:rsidRPr="004F0C3E" w:rsidRDefault="00272CE1" w:rsidP="00171CF8">
            <w:pPr>
              <w:pStyle w:val="Tabletext"/>
              <w:cnfStyle w:val="000000000000" w:firstRow="0" w:lastRow="0" w:firstColumn="0" w:lastColumn="0" w:oddVBand="0" w:evenVBand="0" w:oddHBand="0" w:evenHBand="0" w:firstRowFirstColumn="0" w:firstRowLastColumn="0" w:lastRowFirstColumn="0" w:lastRowLastColumn="0"/>
              <w:rPr>
                <w:rFonts w:eastAsia="Segoe UI" w:cstheme="majorBidi"/>
              </w:rPr>
            </w:pPr>
            <w:r>
              <w:rPr>
                <w:rFonts w:eastAsia="Segoe UI" w:cstheme="majorBidi"/>
              </w:rPr>
              <w:t xml:space="preserve">Under this legislation </w:t>
            </w:r>
            <w:r w:rsidR="001C5FD9" w:rsidRPr="6EFD278B">
              <w:rPr>
                <w:rFonts w:eastAsia="Segoe UI" w:cstheme="majorBidi"/>
              </w:rPr>
              <w:t xml:space="preserve">agencies </w:t>
            </w:r>
            <w:r>
              <w:rPr>
                <w:rFonts w:eastAsia="Segoe UI" w:cstheme="majorBidi"/>
              </w:rPr>
              <w:t>must</w:t>
            </w:r>
            <w:r w:rsidRPr="6EFD278B">
              <w:rPr>
                <w:rFonts w:eastAsia="Segoe UI" w:cstheme="majorBidi"/>
              </w:rPr>
              <w:t xml:space="preserve"> </w:t>
            </w:r>
            <w:r w:rsidR="001C5FD9" w:rsidRPr="6EFD278B">
              <w:rPr>
                <w:rFonts w:eastAsia="Segoe UI" w:cstheme="majorBidi"/>
              </w:rPr>
              <w:t>obtain consent from the Minister for the Environment to use, develop</w:t>
            </w:r>
            <w:r w:rsidR="00AD5BC8" w:rsidRPr="6EFD278B">
              <w:rPr>
                <w:rFonts w:eastAsia="Segoe UI" w:cstheme="majorBidi"/>
              </w:rPr>
              <w:t xml:space="preserve"> or</w:t>
            </w:r>
            <w:r w:rsidR="001C5FD9" w:rsidRPr="6EFD278B">
              <w:rPr>
                <w:rFonts w:eastAsia="Segoe UI" w:cstheme="majorBidi"/>
              </w:rPr>
              <w:t xml:space="preserve"> undertake works on marine and coastal land.</w:t>
            </w:r>
          </w:p>
          <w:p w14:paraId="63E0E833" w14:textId="794D4FFB" w:rsidR="001C5FD9" w:rsidRPr="00171CF8" w:rsidRDefault="00894832" w:rsidP="00171CF8">
            <w:pPr>
              <w:pStyle w:val="Tabletext"/>
              <w:cnfStyle w:val="000000000000" w:firstRow="0" w:lastRow="0" w:firstColumn="0" w:lastColumn="0" w:oddVBand="0" w:evenVBand="0" w:oddHBand="0" w:evenHBand="0" w:firstRowFirstColumn="0" w:firstRowLastColumn="0" w:lastRowFirstColumn="0" w:lastRowLastColumn="0"/>
              <w:rPr>
                <w:rStyle w:val="Hyperlink"/>
                <w:szCs w:val="17"/>
              </w:rPr>
            </w:pPr>
            <w:hyperlink r:id="rId224" w:history="1">
              <w:r w:rsidR="00272CE1">
                <w:rPr>
                  <w:rStyle w:val="Hyperlink"/>
                  <w:szCs w:val="17"/>
                </w:rPr>
                <w:t>https://www.legislation.vic.gov.au/in-force/acts/marine-and-coastal-act-2018</w:t>
              </w:r>
            </w:hyperlink>
            <w:r w:rsidR="001C5FD9" w:rsidRPr="00171CF8">
              <w:rPr>
                <w:rStyle w:val="Hyperlink"/>
                <w:szCs w:val="17"/>
              </w:rPr>
              <w:t xml:space="preserve"> </w:t>
            </w:r>
          </w:p>
        </w:tc>
        <w:tc>
          <w:tcPr>
            <w:tcW w:w="2430" w:type="dxa"/>
          </w:tcPr>
          <w:p w14:paraId="4638CF35" w14:textId="77777777" w:rsidR="001C5FD9" w:rsidRPr="000A03D9"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0A03D9">
              <w:t>PDDD, site acquisition, early works</w:t>
            </w:r>
          </w:p>
        </w:tc>
      </w:tr>
      <w:tr w:rsidR="001C5FD9" w:rsidRPr="004B5A4E" w14:paraId="761A180A"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0D7281C8" w14:textId="7900DE0C" w:rsidR="001C5FD9" w:rsidRPr="00287304" w:rsidRDefault="001C5FD9" w:rsidP="00171CF8">
            <w:pPr>
              <w:pStyle w:val="Tabletext"/>
              <w:rPr>
                <w:iCs/>
                <w:szCs w:val="17"/>
              </w:rPr>
            </w:pPr>
            <w:r w:rsidRPr="00F45635">
              <w:rPr>
                <w:i/>
                <w:szCs w:val="17"/>
              </w:rPr>
              <w:t>Occupational Health and Safety Act 2004</w:t>
            </w:r>
            <w:r w:rsidR="009B4E97" w:rsidRPr="008A367F">
              <w:rPr>
                <w:rFonts w:ascii="VIC" w:hAnsi="VIC"/>
                <w:iCs/>
              </w:rPr>
              <w:t xml:space="preserve"> (Vic)</w:t>
            </w:r>
          </w:p>
          <w:p w14:paraId="7CE9835C" w14:textId="55090B67"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5707469C" wp14:editId="4D2CA07E">
                  <wp:extent cx="411480" cy="411480"/>
                  <wp:effectExtent l="0" t="0" r="0" b="7620"/>
                  <wp:docPr id="2091229769" name="Graphic 2091229769"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256158FC" w14:textId="425DFFA4"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rPr>
                <w:color w:val="auto"/>
                <w:szCs w:val="17"/>
              </w:rPr>
            </w:pPr>
            <w:r w:rsidRPr="004F0C3E">
              <w:rPr>
                <w:color w:val="auto"/>
                <w:szCs w:val="17"/>
              </w:rPr>
              <w:t>Prevents work-related death, injury and disease in workplaces</w:t>
            </w:r>
          </w:p>
        </w:tc>
        <w:tc>
          <w:tcPr>
            <w:tcW w:w="7020" w:type="dxa"/>
          </w:tcPr>
          <w:p w14:paraId="229F7911" w14:textId="5DA89CEA" w:rsidR="001C5FD9" w:rsidRPr="004F0C3E" w:rsidRDefault="00272CE1"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Pr>
                <w:szCs w:val="17"/>
              </w:rPr>
              <w:t>This legislation r</w:t>
            </w:r>
            <w:r w:rsidRPr="004F0C3E">
              <w:rPr>
                <w:szCs w:val="17"/>
              </w:rPr>
              <w:t xml:space="preserve">equires </w:t>
            </w:r>
            <w:r w:rsidR="001C5FD9" w:rsidRPr="004F0C3E">
              <w:rPr>
                <w:szCs w:val="17"/>
              </w:rPr>
              <w:t>agencies to adequately consider health and safety requirements and issues throughout project planning, procurement and delivery.</w:t>
            </w:r>
          </w:p>
          <w:p w14:paraId="5AF43985" w14:textId="5CDCBB89"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rPr>
                <w:color w:val="auto"/>
                <w:szCs w:val="17"/>
              </w:rPr>
            </w:pPr>
            <w:r w:rsidRPr="004F0C3E">
              <w:rPr>
                <w:color w:val="auto"/>
                <w:szCs w:val="17"/>
              </w:rPr>
              <w:t xml:space="preserve">During the procurement stage, general safety requirements, along with site or project-specific </w:t>
            </w:r>
            <w:r w:rsidR="007334C6">
              <w:rPr>
                <w:color w:val="auto"/>
                <w:szCs w:val="17"/>
              </w:rPr>
              <w:t>OH&amp;S</w:t>
            </w:r>
            <w:r w:rsidR="00BF2490" w:rsidRPr="004F0C3E">
              <w:rPr>
                <w:color w:val="auto"/>
                <w:szCs w:val="17"/>
              </w:rPr>
              <w:t xml:space="preserve"> </w:t>
            </w:r>
            <w:r w:rsidRPr="004F0C3E">
              <w:rPr>
                <w:color w:val="auto"/>
                <w:szCs w:val="17"/>
              </w:rPr>
              <w:t xml:space="preserve">risks and issues, should be identified in tender documentation for response. Tender evaluation criteria should include safety criteria as appropriate for the investment. The tender evaluation process should </w:t>
            </w:r>
            <w:r w:rsidR="009B4E97" w:rsidRPr="004F0C3E">
              <w:rPr>
                <w:color w:val="auto"/>
                <w:szCs w:val="17"/>
              </w:rPr>
              <w:t>consider</w:t>
            </w:r>
            <w:r w:rsidRPr="004F0C3E">
              <w:rPr>
                <w:color w:val="auto"/>
                <w:szCs w:val="17"/>
              </w:rPr>
              <w:t xml:space="preserve"> </w:t>
            </w:r>
            <w:r w:rsidR="00272CE1">
              <w:rPr>
                <w:color w:val="auto"/>
                <w:szCs w:val="17"/>
              </w:rPr>
              <w:t>OH&amp;S</w:t>
            </w:r>
            <w:r w:rsidRPr="004F0C3E">
              <w:rPr>
                <w:color w:val="auto"/>
                <w:szCs w:val="17"/>
              </w:rPr>
              <w:t>.</w:t>
            </w:r>
          </w:p>
          <w:p w14:paraId="664F93EE" w14:textId="1B1369B7"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szCs w:val="17"/>
              </w:rPr>
            </w:pPr>
            <w:hyperlink r:id="rId225" w:history="1">
              <w:r w:rsidR="001C5FD9" w:rsidRPr="00171CF8">
                <w:rPr>
                  <w:rStyle w:val="Hyperlink"/>
                  <w:szCs w:val="17"/>
                </w:rPr>
                <w:t>https://www.legislation.vic.gov.au/in-force/acts/occupational-health-and-safety-act-2004</w:t>
              </w:r>
            </w:hyperlink>
          </w:p>
        </w:tc>
        <w:tc>
          <w:tcPr>
            <w:tcW w:w="2430" w:type="dxa"/>
          </w:tcPr>
          <w:p w14:paraId="15EB11E4" w14:textId="77777777" w:rsidR="001C5FD9" w:rsidRPr="000A03D9"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0A03D9">
              <w:t>Tendering, contracting, contract management</w:t>
            </w:r>
          </w:p>
        </w:tc>
      </w:tr>
      <w:tr w:rsidR="001C5FD9" w:rsidRPr="004B5A4E" w14:paraId="10DE3969"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62192B05" w14:textId="4A7D5BF1" w:rsidR="001C5FD9" w:rsidRPr="00F45635" w:rsidRDefault="001C5FD9" w:rsidP="00171CF8">
            <w:pPr>
              <w:pStyle w:val="Tabletext"/>
              <w:rPr>
                <w:szCs w:val="17"/>
              </w:rPr>
            </w:pPr>
            <w:r w:rsidRPr="00F45635">
              <w:rPr>
                <w:i/>
                <w:szCs w:val="17"/>
              </w:rPr>
              <w:t xml:space="preserve">Professional </w:t>
            </w:r>
            <w:r w:rsidRPr="00F45635" w:rsidDel="00FF16F5">
              <w:rPr>
                <w:i/>
                <w:szCs w:val="17"/>
              </w:rPr>
              <w:t>Engineers</w:t>
            </w:r>
            <w:r w:rsidRPr="00F45635">
              <w:rPr>
                <w:i/>
                <w:szCs w:val="17"/>
              </w:rPr>
              <w:t xml:space="preserve"> Registration Act 2019</w:t>
            </w:r>
            <w:r w:rsidR="009B4E97" w:rsidRPr="008A367F">
              <w:rPr>
                <w:rFonts w:ascii="VIC" w:hAnsi="VIC"/>
                <w:iCs/>
              </w:rPr>
              <w:t xml:space="preserve"> (Vic)</w:t>
            </w:r>
            <w:r w:rsidR="00386DB0" w:rsidRPr="00F45635">
              <w:rPr>
                <w:i/>
                <w:szCs w:val="17"/>
              </w:rPr>
              <w:t xml:space="preserve"> </w:t>
            </w:r>
            <w:r w:rsidR="00386DB0" w:rsidRPr="00F45635">
              <w:rPr>
                <w:szCs w:val="17"/>
              </w:rPr>
              <w:t>(PER Act)</w:t>
            </w:r>
          </w:p>
          <w:p w14:paraId="7A945487" w14:textId="2F260B6A"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6190B3C7" wp14:editId="074DC412">
                  <wp:extent cx="411480" cy="411480"/>
                  <wp:effectExtent l="0" t="0" r="0" b="7620"/>
                  <wp:docPr id="2091229770" name="Graphic 2091229770"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277BA699" w14:textId="7EDBAAC5"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rPr>
                <w:szCs w:val="17"/>
              </w:rPr>
            </w:pPr>
            <w:r w:rsidRPr="00171CF8">
              <w:rPr>
                <w:szCs w:val="17"/>
              </w:rPr>
              <w:t>Ensures professional engineering services are provided only b</w:t>
            </w:r>
            <w:r w:rsidR="00BF2490">
              <w:rPr>
                <w:szCs w:val="17"/>
              </w:rPr>
              <w:t>y</w:t>
            </w:r>
            <w:r w:rsidRPr="00171CF8">
              <w:rPr>
                <w:szCs w:val="17"/>
              </w:rPr>
              <w:t xml:space="preserve"> suitably qualified and experienced engineers </w:t>
            </w:r>
          </w:p>
        </w:tc>
        <w:tc>
          <w:tcPr>
            <w:tcW w:w="7020" w:type="dxa"/>
          </w:tcPr>
          <w:p w14:paraId="4DB2F042" w14:textId="46D05286" w:rsidR="001C5FD9" w:rsidRPr="004F0C3E" w:rsidRDefault="00BF2490" w:rsidP="00171CF8">
            <w:pPr>
              <w:pStyle w:val="Tabletext"/>
              <w:cnfStyle w:val="000000000000" w:firstRow="0" w:lastRow="0" w:firstColumn="0" w:lastColumn="0" w:oddVBand="0" w:evenVBand="0" w:oddHBand="0" w:evenHBand="0" w:firstRowFirstColumn="0" w:firstRowLastColumn="0" w:lastRowFirstColumn="0" w:lastRowLastColumn="0"/>
            </w:pPr>
            <w:r>
              <w:t>This legislation r</w:t>
            </w:r>
            <w:r w:rsidRPr="00171CF8">
              <w:t xml:space="preserve">equires </w:t>
            </w:r>
            <w:r w:rsidR="001C5FD9" w:rsidRPr="00171CF8">
              <w:t>agencies to ensure any engineers they engage to provide professional engineering services in the areas of structural, civil, electrical, mechanical and fire safety engineering are registered and endorsed on the Professional Engineers Register unless they work under direct supervision or only in accordance with a prescriptive standar</w:t>
            </w:r>
            <w:r w:rsidR="001C5FD9">
              <w:t>d.</w:t>
            </w:r>
          </w:p>
          <w:p w14:paraId="07053BD0" w14:textId="7EACB377" w:rsidR="00CB0D90" w:rsidRPr="004F0C3E" w:rsidRDefault="001C5FD9" w:rsidP="00171CF8">
            <w:pPr>
              <w:pStyle w:val="Tabletext"/>
              <w:cnfStyle w:val="000000000000" w:firstRow="0" w:lastRow="0" w:firstColumn="0" w:lastColumn="0" w:oddVBand="0" w:evenVBand="0" w:oddHBand="0" w:evenHBand="0" w:firstRowFirstColumn="0" w:firstRowLastColumn="0" w:lastRowFirstColumn="0" w:lastRowLastColumn="0"/>
              <w:rPr>
                <w:rFonts w:eastAsiaTheme="minorEastAsia"/>
              </w:rPr>
            </w:pPr>
            <w:r w:rsidRPr="00171CF8">
              <w:rPr>
                <w:rFonts w:eastAsiaTheme="minorEastAsia"/>
              </w:rPr>
              <w:t>To provide professional engineering services in the building industry, a professional engineer must be both registered and endorsed in the relevant area of engine</w:t>
            </w:r>
            <w:r w:rsidRPr="6B16BAC5">
              <w:rPr>
                <w:rFonts w:eastAsiaTheme="minorEastAsia"/>
              </w:rPr>
              <w:t>ering.</w:t>
            </w:r>
          </w:p>
          <w:p w14:paraId="6BF3FD3D" w14:textId="35488F01" w:rsidR="00CB0D90" w:rsidRPr="004F0C3E" w:rsidRDefault="001C5FD9" w:rsidP="00171CF8">
            <w:pPr>
              <w:pStyle w:val="Tabletext"/>
              <w:cnfStyle w:val="000000000000" w:firstRow="0" w:lastRow="0" w:firstColumn="0" w:lastColumn="0" w:oddVBand="0" w:evenVBand="0" w:oddHBand="0" w:evenHBand="0" w:firstRowFirstColumn="0" w:firstRowLastColumn="0" w:lastRowFirstColumn="0" w:lastRowLastColumn="0"/>
            </w:pPr>
            <w:r>
              <w:t>Registration is the process by which individuals become registered professional engineers under the PER Act.</w:t>
            </w:r>
          </w:p>
          <w:p w14:paraId="1791A224" w14:textId="77777777" w:rsidR="001C5FD9" w:rsidRPr="004F0C3E" w:rsidRDefault="001C5FD9" w:rsidP="00171CF8">
            <w:pPr>
              <w:pStyle w:val="Tabletext"/>
              <w:cnfStyle w:val="000000000000" w:firstRow="0" w:lastRow="0" w:firstColumn="0" w:lastColumn="0" w:oddVBand="0" w:evenVBand="0" w:oddHBand="0" w:evenHBand="0" w:firstRowFirstColumn="0" w:firstRowLastColumn="0" w:lastRowFirstColumn="0" w:lastRowLastColumn="0"/>
              <w:rPr>
                <w:szCs w:val="17"/>
              </w:rPr>
            </w:pPr>
            <w:r w:rsidRPr="004F0C3E">
              <w:rPr>
                <w:szCs w:val="17"/>
              </w:rPr>
              <w:t>Endorsement is a separate process and authorises a registered professional engineer to engage in the building industry.</w:t>
            </w:r>
          </w:p>
          <w:p w14:paraId="4905F8D9" w14:textId="77777777" w:rsidR="001C5FD9" w:rsidRPr="00171CF8" w:rsidRDefault="001C5FD9" w:rsidP="00B113D7">
            <w:pPr>
              <w:pStyle w:val="Tabletext"/>
              <w:keepNext/>
              <w:spacing w:before="120"/>
              <w:cnfStyle w:val="000000000000" w:firstRow="0" w:lastRow="0" w:firstColumn="0" w:lastColumn="0" w:oddVBand="0" w:evenVBand="0" w:oddHBand="0" w:evenHBand="0" w:firstRowFirstColumn="0" w:firstRowLastColumn="0" w:lastRowFirstColumn="0" w:lastRowLastColumn="0"/>
              <w:rPr>
                <w:szCs w:val="17"/>
              </w:rPr>
            </w:pPr>
            <w:r w:rsidRPr="00171CF8">
              <w:rPr>
                <w:rFonts w:eastAsiaTheme="minorEastAsia"/>
                <w:szCs w:val="17"/>
              </w:rPr>
              <w:t>A professional engineer who is registered but not endorsed cannot provide professional engineering services in the building industry.</w:t>
            </w:r>
          </w:p>
          <w:p w14:paraId="05287866" w14:textId="53554203" w:rsidR="001C5FD9" w:rsidRPr="00171CF8" w:rsidRDefault="00894832" w:rsidP="00171CF8">
            <w:pPr>
              <w:pStyle w:val="Tabletext"/>
              <w:cnfStyle w:val="000000000000" w:firstRow="0" w:lastRow="0" w:firstColumn="0" w:lastColumn="0" w:oddVBand="0" w:evenVBand="0" w:oddHBand="0" w:evenHBand="0" w:firstRowFirstColumn="0" w:firstRowLastColumn="0" w:lastRowFirstColumn="0" w:lastRowLastColumn="0"/>
              <w:rPr>
                <w:rStyle w:val="Hyperlink"/>
                <w:szCs w:val="17"/>
              </w:rPr>
            </w:pPr>
            <w:hyperlink r:id="rId226" w:history="1">
              <w:r w:rsidR="001C5FD9" w:rsidRPr="00171CF8">
                <w:rPr>
                  <w:rStyle w:val="Hyperlink"/>
                  <w:szCs w:val="17"/>
                </w:rPr>
                <w:t>https://www.legislation.vic.gov.au/as-made/acts/professional-engineers-registration-act-201</w:t>
              </w:r>
              <w:bookmarkStart w:id="481" w:name="_Hlt145506577"/>
              <w:r w:rsidR="001C5FD9" w:rsidRPr="00171CF8">
                <w:rPr>
                  <w:rStyle w:val="Hyperlink"/>
                  <w:szCs w:val="17"/>
                </w:rPr>
                <w:t>9</w:t>
              </w:r>
              <w:bookmarkEnd w:id="481"/>
            </w:hyperlink>
          </w:p>
        </w:tc>
        <w:tc>
          <w:tcPr>
            <w:tcW w:w="2430" w:type="dxa"/>
          </w:tcPr>
          <w:p w14:paraId="7C9F932E" w14:textId="77777777" w:rsidR="001C5FD9" w:rsidRPr="000A03D9"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0A03D9">
              <w:t>Tendering, contract management</w:t>
            </w:r>
          </w:p>
        </w:tc>
      </w:tr>
      <w:tr w:rsidR="001C5FD9" w:rsidRPr="004B5A4E" w14:paraId="0F4EC43A"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384D21A0" w14:textId="217C51A5" w:rsidR="001C5FD9" w:rsidRPr="00326F16" w:rsidRDefault="001C5FD9" w:rsidP="00171CF8">
            <w:pPr>
              <w:pStyle w:val="Tabletext"/>
              <w:rPr>
                <w:iCs/>
                <w:szCs w:val="17"/>
              </w:rPr>
            </w:pPr>
            <w:r w:rsidRPr="00F45635">
              <w:rPr>
                <w:i/>
                <w:szCs w:val="17"/>
              </w:rPr>
              <w:t>Planning and Environment Act 1987</w:t>
            </w:r>
            <w:r w:rsidR="009B4E97" w:rsidRPr="008A367F">
              <w:rPr>
                <w:rFonts w:ascii="VIC" w:hAnsi="VIC"/>
                <w:iCs/>
              </w:rPr>
              <w:t xml:space="preserve"> (Vic)</w:t>
            </w:r>
          </w:p>
          <w:p w14:paraId="020FBE9C" w14:textId="6CF4BDCB"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0422128E" wp14:editId="2A2E842A">
                  <wp:extent cx="411480" cy="411480"/>
                  <wp:effectExtent l="0" t="0" r="0" b="7620"/>
                  <wp:docPr id="2091229771" name="Graphic 2091229771"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31102517" w14:textId="72DBAB64"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sidRPr="00171CF8">
              <w:rPr>
                <w:szCs w:val="17"/>
              </w:rPr>
              <w:t>Establishes a framework for planning the use, development and protection of land</w:t>
            </w:r>
          </w:p>
        </w:tc>
        <w:tc>
          <w:tcPr>
            <w:tcW w:w="7020" w:type="dxa"/>
          </w:tcPr>
          <w:p w14:paraId="536BA299" w14:textId="585A7F90" w:rsidR="001C5FD9" w:rsidRPr="00171CF8" w:rsidRDefault="00BF2490"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Pr>
                <w:szCs w:val="17"/>
              </w:rPr>
              <w:t>Under this legislation</w:t>
            </w:r>
            <w:r w:rsidRPr="00171CF8">
              <w:rPr>
                <w:szCs w:val="17"/>
              </w:rPr>
              <w:t xml:space="preserve"> </w:t>
            </w:r>
            <w:r w:rsidR="001C5FD9" w:rsidRPr="00171CF8">
              <w:rPr>
                <w:szCs w:val="17"/>
              </w:rPr>
              <w:t xml:space="preserve">agencies </w:t>
            </w:r>
            <w:r>
              <w:rPr>
                <w:szCs w:val="17"/>
              </w:rPr>
              <w:t>must</w:t>
            </w:r>
            <w:r w:rsidRPr="00171CF8">
              <w:rPr>
                <w:szCs w:val="17"/>
              </w:rPr>
              <w:t xml:space="preserve"> </w:t>
            </w:r>
            <w:r w:rsidR="001C5FD9" w:rsidRPr="00171CF8">
              <w:rPr>
                <w:szCs w:val="17"/>
              </w:rPr>
              <w:t>comply with local planning requirements when the investment has land use and development considerations, including:</w:t>
            </w:r>
          </w:p>
          <w:p w14:paraId="281C5A0B" w14:textId="77777777" w:rsidR="00E013F9" w:rsidRPr="00171CF8" w:rsidRDefault="001C5FD9" w:rsidP="001D2615">
            <w:pPr>
              <w:pStyle w:val="Tablebullet"/>
              <w:contextualSpacing/>
              <w:cnfStyle w:val="000000010000" w:firstRow="0" w:lastRow="0" w:firstColumn="0" w:lastColumn="0" w:oddVBand="0" w:evenVBand="0" w:oddHBand="0" w:evenHBand="1" w:firstRowFirstColumn="0" w:firstRowLastColumn="0" w:lastRowFirstColumn="0" w:lastRowLastColumn="0"/>
            </w:pPr>
            <w:r w:rsidRPr="000A03D9">
              <w:t>planning scheme amendments</w:t>
            </w:r>
          </w:p>
          <w:p w14:paraId="3FE3FE22" w14:textId="77777777" w:rsidR="00E013F9" w:rsidRPr="00171CF8" w:rsidRDefault="001C5FD9" w:rsidP="001D2615">
            <w:pPr>
              <w:pStyle w:val="Tablebullet"/>
              <w:contextualSpacing/>
              <w:cnfStyle w:val="000000010000" w:firstRow="0" w:lastRow="0" w:firstColumn="0" w:lastColumn="0" w:oddVBand="0" w:evenVBand="0" w:oddHBand="0" w:evenHBand="1" w:firstRowFirstColumn="0" w:firstRowLastColumn="0" w:lastRowFirstColumn="0" w:lastRowLastColumn="0"/>
            </w:pPr>
            <w:r w:rsidRPr="000A03D9">
              <w:t>obtaining planning permits or certificates</w:t>
            </w:r>
          </w:p>
          <w:p w14:paraId="045CDFCD" w14:textId="0577B8A6" w:rsidR="00E013F9" w:rsidRPr="00171CF8" w:rsidRDefault="001C5FD9" w:rsidP="001D2615">
            <w:pPr>
              <w:pStyle w:val="Tablebullet"/>
              <w:contextualSpacing/>
              <w:cnfStyle w:val="000000010000" w:firstRow="0" w:lastRow="0" w:firstColumn="0" w:lastColumn="0" w:oddVBand="0" w:evenVBand="0" w:oddHBand="0" w:evenHBand="1" w:firstRowFirstColumn="0" w:firstRowLastColumn="0" w:lastRowFirstColumn="0" w:lastRowLastColumn="0"/>
            </w:pPr>
            <w:r w:rsidRPr="000A03D9">
              <w:t>planning infringements and penalties.</w:t>
            </w:r>
          </w:p>
          <w:p w14:paraId="472268C6"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sidRPr="00171CF8">
              <w:rPr>
                <w:szCs w:val="17"/>
              </w:rPr>
              <w:t>Planning issues and risks should be first considered and identified in the business case. These should be reassessed and addressed in the procurement plan. Planning due diligence should be undertaken in the tender development phase (if not previously undertaken), and any planning considerations should be outlined in the tender documentation.</w:t>
            </w:r>
          </w:p>
          <w:p w14:paraId="0E1A52CB" w14:textId="22DC89F6"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szCs w:val="17"/>
              </w:rPr>
            </w:pPr>
            <w:hyperlink r:id="rId227" w:history="1">
              <w:r w:rsidR="001C5FD9" w:rsidRPr="00171CF8">
                <w:rPr>
                  <w:rStyle w:val="Hyperlink"/>
                  <w:szCs w:val="17"/>
                </w:rPr>
                <w:t>https://www.legislation.vic.gov.au/in-force/acts/planning-and-environment-act-1987</w:t>
              </w:r>
            </w:hyperlink>
          </w:p>
        </w:tc>
        <w:tc>
          <w:tcPr>
            <w:tcW w:w="2430" w:type="dxa"/>
          </w:tcPr>
          <w:p w14:paraId="22E6E793"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PDDD, tendering, contracting, contract management</w:t>
            </w:r>
          </w:p>
        </w:tc>
      </w:tr>
      <w:tr w:rsidR="001C5FD9" w:rsidRPr="004B5A4E" w14:paraId="430109C6"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5BCAA608" w14:textId="5FB535A4" w:rsidR="001C5FD9" w:rsidRPr="00326F16" w:rsidRDefault="001C5FD9" w:rsidP="00171CF8">
            <w:pPr>
              <w:pStyle w:val="Tabletext"/>
              <w:rPr>
                <w:iCs/>
                <w:szCs w:val="17"/>
              </w:rPr>
            </w:pPr>
            <w:r w:rsidRPr="00F45635">
              <w:rPr>
                <w:i/>
                <w:szCs w:val="17"/>
              </w:rPr>
              <w:t>Sale of Land Act 1962</w:t>
            </w:r>
            <w:r w:rsidR="009B4E97" w:rsidRPr="008A367F">
              <w:rPr>
                <w:rFonts w:ascii="VIC" w:hAnsi="VIC"/>
                <w:iCs/>
              </w:rPr>
              <w:t xml:space="preserve"> (Vic)</w:t>
            </w:r>
          </w:p>
          <w:p w14:paraId="08506D42" w14:textId="27ADDB7B"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53C9CDEE" wp14:editId="7FEE11E7">
                  <wp:extent cx="411480" cy="411480"/>
                  <wp:effectExtent l="0" t="0" r="0" b="7620"/>
                  <wp:docPr id="2091229772" name="Graphic 2091229772"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107C231E" w14:textId="7AEC0528"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rPr>
                <w:szCs w:val="17"/>
              </w:rPr>
            </w:pPr>
            <w:r w:rsidRPr="00171CF8">
              <w:rPr>
                <w:szCs w:val="17"/>
              </w:rPr>
              <w:t>Provides a framework for the sale of freehold land</w:t>
            </w:r>
          </w:p>
        </w:tc>
        <w:tc>
          <w:tcPr>
            <w:tcW w:w="7020" w:type="dxa"/>
          </w:tcPr>
          <w:p w14:paraId="5FB24C80" w14:textId="5072F535" w:rsidR="00E013F9" w:rsidRPr="00171CF8" w:rsidRDefault="00BF2490" w:rsidP="00171CF8">
            <w:pPr>
              <w:pStyle w:val="Tabletext"/>
              <w:cnfStyle w:val="000000000000" w:firstRow="0" w:lastRow="0" w:firstColumn="0" w:lastColumn="0" w:oddVBand="0" w:evenVBand="0" w:oddHBand="0" w:evenHBand="0" w:firstRowFirstColumn="0" w:firstRowLastColumn="0" w:lastRowFirstColumn="0" w:lastRowLastColumn="0"/>
              <w:rPr>
                <w:szCs w:val="17"/>
              </w:rPr>
            </w:pPr>
            <w:r>
              <w:rPr>
                <w:szCs w:val="17"/>
              </w:rPr>
              <w:t>This legislation s</w:t>
            </w:r>
            <w:r w:rsidRPr="00171CF8">
              <w:rPr>
                <w:szCs w:val="17"/>
              </w:rPr>
              <w:t xml:space="preserve">ets </w:t>
            </w:r>
            <w:r w:rsidR="001C5FD9" w:rsidRPr="00171CF8">
              <w:rPr>
                <w:szCs w:val="17"/>
              </w:rPr>
              <w:t>out processes and procedures that agencies must follow when conducting the sale or purchase of freehold land.</w:t>
            </w:r>
          </w:p>
          <w:p w14:paraId="055BFAD6" w14:textId="183824D8" w:rsidR="001C5FD9" w:rsidRPr="00171CF8" w:rsidRDefault="00894832" w:rsidP="00171CF8">
            <w:pPr>
              <w:pStyle w:val="Tabletext"/>
              <w:cnfStyle w:val="000000000000" w:firstRow="0" w:lastRow="0" w:firstColumn="0" w:lastColumn="0" w:oddVBand="0" w:evenVBand="0" w:oddHBand="0" w:evenHBand="0" w:firstRowFirstColumn="0" w:firstRowLastColumn="0" w:lastRowFirstColumn="0" w:lastRowLastColumn="0"/>
              <w:rPr>
                <w:rStyle w:val="Hyperlink"/>
                <w:szCs w:val="17"/>
              </w:rPr>
            </w:pPr>
            <w:hyperlink r:id="rId228" w:history="1">
              <w:r w:rsidR="00E013F9" w:rsidRPr="00171CF8">
                <w:rPr>
                  <w:rStyle w:val="Hyperlink"/>
                  <w:szCs w:val="17"/>
                </w:rPr>
                <w:t>https://www.legislation.vic.gov.au/in-force/acts/sale-land-act-1962/166</w:t>
              </w:r>
            </w:hyperlink>
          </w:p>
        </w:tc>
        <w:tc>
          <w:tcPr>
            <w:tcW w:w="2430" w:type="dxa"/>
          </w:tcPr>
          <w:p w14:paraId="34B29B6A"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PDDD, site acquisition, early works</w:t>
            </w:r>
          </w:p>
        </w:tc>
      </w:tr>
      <w:tr w:rsidR="001C5FD9" w:rsidRPr="004B5A4E" w14:paraId="2C9825A5"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19E0C9B9" w14:textId="1FDC799A" w:rsidR="001C5FD9" w:rsidRPr="00326F16" w:rsidRDefault="001C5FD9" w:rsidP="00171CF8">
            <w:pPr>
              <w:pStyle w:val="Tabletext"/>
              <w:rPr>
                <w:iCs/>
                <w:szCs w:val="17"/>
              </w:rPr>
            </w:pPr>
            <w:r w:rsidRPr="00F45635">
              <w:rPr>
                <w:i/>
                <w:szCs w:val="17"/>
              </w:rPr>
              <w:t>Subdivision Act 1988</w:t>
            </w:r>
            <w:r w:rsidR="009B4E97" w:rsidRPr="008A367F">
              <w:rPr>
                <w:rFonts w:ascii="VIC" w:hAnsi="VIC"/>
                <w:iCs/>
              </w:rPr>
              <w:t xml:space="preserve"> (Vic)</w:t>
            </w:r>
          </w:p>
          <w:p w14:paraId="5FA77B0C" w14:textId="377BD949" w:rsidR="001C5FD9" w:rsidRPr="00F45635" w:rsidRDefault="00FA33F5" w:rsidP="00171CF8">
            <w:pPr>
              <w:pStyle w:val="Tabletext"/>
              <w:rPr>
                <w:szCs w:val="17"/>
              </w:rPr>
            </w:pPr>
            <w:r w:rsidRPr="00F45635">
              <w:rPr>
                <w:rFonts w:ascii="VIC SemiBold" w:hAnsi="VIC SemiBold"/>
                <w:noProof/>
                <w:color w:val="C00000"/>
                <w:szCs w:val="17"/>
              </w:rPr>
              <w:drawing>
                <wp:inline distT="0" distB="0" distL="0" distR="0" wp14:anchorId="254B9ED6" wp14:editId="61193EFF">
                  <wp:extent cx="411480" cy="411480"/>
                  <wp:effectExtent l="0" t="0" r="0" b="7620"/>
                  <wp:docPr id="2091229773" name="Graphic 2091229773"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37286815" w14:textId="5CC023F1"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sidRPr="00171CF8">
              <w:rPr>
                <w:szCs w:val="17"/>
              </w:rPr>
              <w:t>Sets out procedures for the subdivision and consolidation of land and the creation and removal of easements or restrictions over land</w:t>
            </w:r>
          </w:p>
        </w:tc>
        <w:tc>
          <w:tcPr>
            <w:tcW w:w="7020" w:type="dxa"/>
          </w:tcPr>
          <w:p w14:paraId="242DB69C" w14:textId="37B7FBB5" w:rsidR="001C5FD9" w:rsidRPr="00171CF8" w:rsidRDefault="00BF2490" w:rsidP="00171CF8">
            <w:pPr>
              <w:pStyle w:val="Tabletext"/>
              <w:cnfStyle w:val="000000010000" w:firstRow="0" w:lastRow="0" w:firstColumn="0" w:lastColumn="0" w:oddVBand="0" w:evenVBand="0" w:oddHBand="0" w:evenHBand="1" w:firstRowFirstColumn="0" w:firstRowLastColumn="0" w:lastRowFirstColumn="0" w:lastRowLastColumn="0"/>
            </w:pPr>
            <w:r>
              <w:rPr>
                <w:szCs w:val="17"/>
              </w:rPr>
              <w:t>This legislation s</w:t>
            </w:r>
            <w:r w:rsidR="001C5FD9" w:rsidRPr="00171CF8">
              <w:t>ets out processes and procedures agencies must follow when an infrastructure procurement includes land use and development consideratio</w:t>
            </w:r>
            <w:r w:rsidR="001C5FD9">
              <w:t xml:space="preserve">ns, </w:t>
            </w:r>
            <w:r w:rsidR="005D6026">
              <w:t>for example</w:t>
            </w:r>
            <w:r w:rsidR="009B4E97">
              <w:t>,</w:t>
            </w:r>
            <w:r w:rsidR="001C5FD9">
              <w:t xml:space="preserve"> la</w:t>
            </w:r>
            <w:r w:rsidR="001C5FD9" w:rsidRPr="00171CF8">
              <w:t>nd subdivisions and consolidations.</w:t>
            </w:r>
          </w:p>
          <w:p w14:paraId="08C3555E" w14:textId="5ECFE915"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rPr>
                <w:szCs w:val="17"/>
              </w:rPr>
            </w:pPr>
            <w:r w:rsidRPr="00171CF8">
              <w:rPr>
                <w:szCs w:val="17"/>
              </w:rPr>
              <w:t>Land subdivisions and consolidation issues and risks should be identified in planning due diligence. They should be addressed in the procurement plan</w:t>
            </w:r>
            <w:r w:rsidR="00E013F9" w:rsidRPr="00171CF8">
              <w:rPr>
                <w:szCs w:val="17"/>
              </w:rPr>
              <w:t>,</w:t>
            </w:r>
            <w:r w:rsidRPr="00171CF8">
              <w:rPr>
                <w:szCs w:val="17"/>
              </w:rPr>
              <w:t xml:space="preserve"> and any subdivision considerations that may inform tender responses should be outlined in the tender documentation.</w:t>
            </w:r>
          </w:p>
          <w:p w14:paraId="48AEB0B1" w14:textId="49D27D07"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szCs w:val="17"/>
              </w:rPr>
            </w:pPr>
            <w:hyperlink r:id="rId229" w:history="1">
              <w:r w:rsidR="001C5FD9" w:rsidRPr="00171CF8">
                <w:rPr>
                  <w:rStyle w:val="Hyperlink"/>
                  <w:szCs w:val="17"/>
                </w:rPr>
                <w:t>https://www.legislation.vic.gov.au/in-fo</w:t>
              </w:r>
              <w:bookmarkStart w:id="482" w:name="_Hlt145502489"/>
              <w:r w:rsidR="001C5FD9" w:rsidRPr="00171CF8">
                <w:rPr>
                  <w:rStyle w:val="Hyperlink"/>
                  <w:szCs w:val="17"/>
                </w:rPr>
                <w:t>r</w:t>
              </w:r>
              <w:bookmarkEnd w:id="482"/>
              <w:r w:rsidR="001C5FD9" w:rsidRPr="00171CF8">
                <w:rPr>
                  <w:rStyle w:val="Hyperlink"/>
                  <w:szCs w:val="17"/>
                </w:rPr>
                <w:t>ce/acts/subdivision-act-1988/080</w:t>
              </w:r>
            </w:hyperlink>
          </w:p>
        </w:tc>
        <w:tc>
          <w:tcPr>
            <w:tcW w:w="2430" w:type="dxa"/>
          </w:tcPr>
          <w:p w14:paraId="70BD6352"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PDDD, site acquisition, early works</w:t>
            </w:r>
          </w:p>
        </w:tc>
      </w:tr>
      <w:tr w:rsidR="001C5FD9" w:rsidRPr="004B5A4E" w14:paraId="7E54E5A7"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63E8F14C" w14:textId="18A602A0" w:rsidR="001C5FD9" w:rsidRPr="00326F16" w:rsidRDefault="001C5FD9" w:rsidP="00F7602B">
            <w:pPr>
              <w:rPr>
                <w:rFonts w:ascii="VIC" w:hAnsi="VIC"/>
                <w:iCs/>
                <w:szCs w:val="17"/>
              </w:rPr>
            </w:pPr>
            <w:r w:rsidRPr="00F45635">
              <w:rPr>
                <w:rFonts w:ascii="VIC" w:hAnsi="VIC"/>
                <w:i/>
                <w:szCs w:val="17"/>
              </w:rPr>
              <w:t>Traditional Owner Settlement Act 2010</w:t>
            </w:r>
            <w:r w:rsidR="009B4E97" w:rsidRPr="008A367F">
              <w:rPr>
                <w:rFonts w:ascii="VIC" w:hAnsi="VIC"/>
                <w:iCs/>
              </w:rPr>
              <w:t xml:space="preserve"> (Vic)</w:t>
            </w:r>
          </w:p>
          <w:p w14:paraId="7A7DDFF3" w14:textId="2B5EA16F"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6863EE99" wp14:editId="5CC5442A">
                  <wp:extent cx="411480" cy="411480"/>
                  <wp:effectExtent l="0" t="0" r="0" b="7620"/>
                  <wp:docPr id="2091229774" name="Graphic 2091229774"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4A056A55" w14:textId="3AB1CB21"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0BF19C88">
              <w:rPr>
                <w:rFonts w:ascii="VIC" w:hAnsi="VIC" w:hint="eastAsia"/>
              </w:rPr>
              <w:t xml:space="preserve">Allows the Victorian Government to recognise </w:t>
            </w:r>
            <w:r w:rsidR="00EE16BF" w:rsidRPr="0BF19C88">
              <w:rPr>
                <w:rFonts w:ascii="VIC" w:hAnsi="VIC"/>
              </w:rPr>
              <w:t>Traditional</w:t>
            </w:r>
            <w:r w:rsidRPr="0BF19C88" w:rsidDel="00EE16BF">
              <w:rPr>
                <w:rFonts w:ascii="VIC" w:hAnsi="VIC" w:hint="eastAsia"/>
              </w:rPr>
              <w:t xml:space="preserve"> </w:t>
            </w:r>
            <w:r w:rsidR="00EE16BF" w:rsidRPr="0BF19C88">
              <w:rPr>
                <w:rFonts w:ascii="VIC" w:hAnsi="VIC" w:hint="eastAsia"/>
              </w:rPr>
              <w:t>Owners</w:t>
            </w:r>
            <w:r w:rsidRPr="0BF19C88">
              <w:rPr>
                <w:rFonts w:ascii="VIC" w:hAnsi="VIC" w:hint="eastAsia"/>
              </w:rPr>
              <w:t xml:space="preserve"> and certain rights in relation to access, ownership and management of Crown land and provides an out-of-court settlement of native title </w:t>
            </w:r>
          </w:p>
        </w:tc>
        <w:tc>
          <w:tcPr>
            <w:tcW w:w="7020" w:type="dxa"/>
          </w:tcPr>
          <w:p w14:paraId="4CCD1EDD" w14:textId="327296D0" w:rsidR="001C5FD9" w:rsidRPr="00171CF8" w:rsidRDefault="00BF2490" w:rsidP="00B57648">
            <w:pPr>
              <w:pStyle w:val="Tablet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17"/>
              </w:rPr>
            </w:pPr>
            <w:r>
              <w:rPr>
                <w:szCs w:val="17"/>
              </w:rPr>
              <w:t>This legislation e</w:t>
            </w:r>
            <w:r w:rsidR="001C5FD9" w:rsidRPr="00171CF8">
              <w:rPr>
                <w:szCs w:val="17"/>
              </w:rPr>
              <w:t xml:space="preserve">nables the Victorian Government to enter into a settlement with </w:t>
            </w:r>
            <w:r>
              <w:rPr>
                <w:szCs w:val="17"/>
              </w:rPr>
              <w:t>T</w:t>
            </w:r>
            <w:r w:rsidRPr="00171CF8">
              <w:rPr>
                <w:szCs w:val="17"/>
              </w:rPr>
              <w:t xml:space="preserve">raditional </w:t>
            </w:r>
            <w:r>
              <w:rPr>
                <w:szCs w:val="17"/>
              </w:rPr>
              <w:t>O</w:t>
            </w:r>
            <w:r w:rsidRPr="00171CF8">
              <w:rPr>
                <w:szCs w:val="17"/>
              </w:rPr>
              <w:t xml:space="preserve">wners </w:t>
            </w:r>
            <w:r w:rsidR="001C5FD9" w:rsidRPr="00171CF8">
              <w:rPr>
                <w:szCs w:val="17"/>
              </w:rPr>
              <w:t xml:space="preserve">in relation to Crown land. </w:t>
            </w:r>
            <w:r w:rsidR="001C5FD9" w:rsidRPr="00171CF8">
              <w:rPr>
                <w:rFonts w:eastAsia="Times New Roman" w:cs="Times New Roman"/>
                <w:color w:val="000000"/>
                <w:szCs w:val="17"/>
              </w:rPr>
              <w:t>Under the Act, a settlement package can include:</w:t>
            </w:r>
          </w:p>
          <w:p w14:paraId="4489367F" w14:textId="7EE2B6FE" w:rsidR="00B14D5C" w:rsidRPr="004F0C3E" w:rsidRDefault="001C5FD9" w:rsidP="001D2615">
            <w:pPr>
              <w:pStyle w:val="Tablebullet"/>
              <w:cnfStyle w:val="000000000000" w:firstRow="0" w:lastRow="0" w:firstColumn="0" w:lastColumn="0" w:oddVBand="0" w:evenVBand="0" w:oddHBand="0" w:evenHBand="0" w:firstRowFirstColumn="0" w:firstRowLastColumn="0" w:lastRowFirstColumn="0" w:lastRowLastColumn="0"/>
              <w:rPr>
                <w:szCs w:val="17"/>
              </w:rPr>
            </w:pPr>
            <w:r w:rsidRPr="00171CF8">
              <w:rPr>
                <w:szCs w:val="17"/>
              </w:rPr>
              <w:t xml:space="preserve">a </w:t>
            </w:r>
            <w:r w:rsidR="00BF2490">
              <w:rPr>
                <w:szCs w:val="20"/>
              </w:rPr>
              <w:t>r</w:t>
            </w:r>
            <w:r w:rsidR="00BF2490" w:rsidRPr="00171CF8">
              <w:rPr>
                <w:szCs w:val="20"/>
              </w:rPr>
              <w:t xml:space="preserve">ecognition </w:t>
            </w:r>
            <w:r w:rsidRPr="00171CF8">
              <w:rPr>
                <w:szCs w:val="20"/>
              </w:rPr>
              <w:t xml:space="preserve">and </w:t>
            </w:r>
            <w:r w:rsidR="00BF2490">
              <w:rPr>
                <w:szCs w:val="20"/>
              </w:rPr>
              <w:t>s</w:t>
            </w:r>
            <w:r w:rsidR="00BF2490" w:rsidRPr="00171CF8">
              <w:rPr>
                <w:szCs w:val="20"/>
              </w:rPr>
              <w:t xml:space="preserve">ettlement </w:t>
            </w:r>
            <w:r w:rsidR="00BF2490">
              <w:rPr>
                <w:szCs w:val="20"/>
              </w:rPr>
              <w:t>a</w:t>
            </w:r>
            <w:r w:rsidR="00BF2490" w:rsidRPr="00171CF8">
              <w:rPr>
                <w:szCs w:val="20"/>
              </w:rPr>
              <w:t xml:space="preserve">greement </w:t>
            </w:r>
            <w:r w:rsidRPr="00171CF8">
              <w:rPr>
                <w:szCs w:val="20"/>
              </w:rPr>
              <w:t>to recognise a traditional owner group and certain traditional owner rights over Crown land</w:t>
            </w:r>
          </w:p>
          <w:p w14:paraId="120FDAF2" w14:textId="3ACDE026" w:rsidR="00B14D5C" w:rsidRPr="004F0C3E" w:rsidRDefault="001C5FD9" w:rsidP="001D2615">
            <w:pPr>
              <w:pStyle w:val="Tablebullet"/>
              <w:cnfStyle w:val="000000000000" w:firstRow="0" w:lastRow="0" w:firstColumn="0" w:lastColumn="0" w:oddVBand="0" w:evenVBand="0" w:oddHBand="0" w:evenHBand="0" w:firstRowFirstColumn="0" w:firstRowLastColumn="0" w:lastRowFirstColumn="0" w:lastRowLastColumn="0"/>
            </w:pPr>
            <w:r w:rsidRPr="00171CF8">
              <w:rPr>
                <w:szCs w:val="20"/>
              </w:rPr>
              <w:t xml:space="preserve">a </w:t>
            </w:r>
            <w:r w:rsidR="00BF2490">
              <w:rPr>
                <w:szCs w:val="20"/>
              </w:rPr>
              <w:t>l</w:t>
            </w:r>
            <w:r w:rsidR="00BF2490" w:rsidRPr="00171CF8">
              <w:rPr>
                <w:szCs w:val="20"/>
              </w:rPr>
              <w:t xml:space="preserve">and </w:t>
            </w:r>
            <w:r w:rsidR="00BF2490">
              <w:rPr>
                <w:szCs w:val="20"/>
              </w:rPr>
              <w:t>a</w:t>
            </w:r>
            <w:r w:rsidR="00BF2490" w:rsidRPr="00171CF8">
              <w:rPr>
                <w:szCs w:val="20"/>
              </w:rPr>
              <w:t xml:space="preserve">greement </w:t>
            </w:r>
            <w:r w:rsidR="00E013F9" w:rsidRPr="00171CF8">
              <w:rPr>
                <w:szCs w:val="20"/>
              </w:rPr>
              <w:t xml:space="preserve">that </w:t>
            </w:r>
            <w:r w:rsidRPr="00171CF8">
              <w:rPr>
                <w:szCs w:val="20"/>
              </w:rPr>
              <w:t xml:space="preserve">provides for grants of land in freehold title for cultural or economic purposes, or as Aboriginal title to be jointly managed in partnership with </w:t>
            </w:r>
            <w:r w:rsidR="00DB26B4">
              <w:rPr>
                <w:szCs w:val="20"/>
              </w:rPr>
              <w:t>the Government</w:t>
            </w:r>
          </w:p>
          <w:p w14:paraId="1F9827E6" w14:textId="3F813C8F" w:rsidR="001C5FD9" w:rsidRPr="00171CF8" w:rsidRDefault="001C5FD9" w:rsidP="001D2615">
            <w:pPr>
              <w:pStyle w:val="Tablebullet"/>
              <w:cnfStyle w:val="000000000000" w:firstRow="0" w:lastRow="0" w:firstColumn="0" w:lastColumn="0" w:oddVBand="0" w:evenVBand="0" w:oddHBand="0" w:evenHBand="0" w:firstRowFirstColumn="0" w:firstRowLastColumn="0" w:lastRowFirstColumn="0" w:lastRowLastColumn="0"/>
              <w:rPr>
                <w:szCs w:val="17"/>
              </w:rPr>
            </w:pPr>
            <w:r w:rsidRPr="00171CF8">
              <w:t xml:space="preserve">a </w:t>
            </w:r>
            <w:r w:rsidR="00BF2490">
              <w:t>l</w:t>
            </w:r>
            <w:r w:rsidR="00BF2490" w:rsidRPr="00171CF8">
              <w:t xml:space="preserve">and </w:t>
            </w:r>
            <w:r w:rsidR="00BF2490">
              <w:t>u</w:t>
            </w:r>
            <w:r w:rsidR="00BF2490" w:rsidRPr="00171CF8">
              <w:t xml:space="preserve">se </w:t>
            </w:r>
            <w:r w:rsidR="00BF2490">
              <w:t>a</w:t>
            </w:r>
            <w:r w:rsidR="00BF2490" w:rsidRPr="00171CF8">
              <w:t xml:space="preserve">ctivity </w:t>
            </w:r>
            <w:r w:rsidR="00BF2490">
              <w:t>a</w:t>
            </w:r>
            <w:r w:rsidR="00BF2490" w:rsidRPr="00171CF8">
              <w:t>greeme</w:t>
            </w:r>
            <w:r w:rsidR="00BF2490">
              <w:t xml:space="preserve">nt </w:t>
            </w:r>
            <w:r w:rsidR="00902182">
              <w:t xml:space="preserve">that </w:t>
            </w:r>
            <w:r>
              <w:t xml:space="preserve">allows </w:t>
            </w:r>
            <w:r w:rsidR="00EE16BF">
              <w:t xml:space="preserve">Traditional Owners </w:t>
            </w:r>
            <w:r>
              <w:t>to co</w:t>
            </w:r>
            <w:r w:rsidRPr="00171CF8">
              <w:t>mment on or consent to certain activities on public land</w:t>
            </w:r>
          </w:p>
          <w:p w14:paraId="2B3F610C" w14:textId="305C958B" w:rsidR="001C5FD9" w:rsidRPr="00171CF8" w:rsidRDefault="001C5FD9" w:rsidP="001D2615">
            <w:pPr>
              <w:pStyle w:val="Tablebullet"/>
              <w:cnfStyle w:val="000000000000" w:firstRow="0" w:lastRow="0" w:firstColumn="0" w:lastColumn="0" w:oddVBand="0" w:evenVBand="0" w:oddHBand="0" w:evenHBand="0" w:firstRowFirstColumn="0" w:firstRowLastColumn="0" w:lastRowFirstColumn="0" w:lastRowLastColumn="0"/>
            </w:pPr>
            <w:r w:rsidRPr="00171CF8">
              <w:t xml:space="preserve">a </w:t>
            </w:r>
            <w:r w:rsidR="00BF2490">
              <w:t>f</w:t>
            </w:r>
            <w:r w:rsidRPr="00171CF8">
              <w:t xml:space="preserve">unding </w:t>
            </w:r>
            <w:r w:rsidR="00BF2490">
              <w:t>a</w:t>
            </w:r>
            <w:r w:rsidR="00BF2490" w:rsidRPr="00171CF8">
              <w:t>gre</w:t>
            </w:r>
            <w:r w:rsidR="00BF2490">
              <w:t xml:space="preserve">ement </w:t>
            </w:r>
            <w:r>
              <w:t xml:space="preserve">to enable </w:t>
            </w:r>
            <w:r w:rsidR="00EE16BF">
              <w:t>Traditional Owner</w:t>
            </w:r>
            <w:r>
              <w:t xml:space="preserve"> corporation</w:t>
            </w:r>
            <w:r w:rsidRPr="00171CF8">
              <w:t>s to manage their obligations and undertake economic development activities</w:t>
            </w:r>
          </w:p>
          <w:p w14:paraId="397ACF91" w14:textId="1BAE065E" w:rsidR="001C5FD9" w:rsidRPr="00171CF8" w:rsidRDefault="001C5FD9" w:rsidP="001D2615">
            <w:pPr>
              <w:pStyle w:val="Tablebullet"/>
              <w:cnfStyle w:val="000000000000" w:firstRow="0" w:lastRow="0" w:firstColumn="0" w:lastColumn="0" w:oddVBand="0" w:evenVBand="0" w:oddHBand="0" w:evenHBand="0" w:firstRowFirstColumn="0" w:firstRowLastColumn="0" w:lastRowFirstColumn="0" w:lastRowLastColumn="0"/>
            </w:pPr>
            <w:r w:rsidRPr="00171CF8">
              <w:t xml:space="preserve">a </w:t>
            </w:r>
            <w:r w:rsidR="00BF2490">
              <w:t>n</w:t>
            </w:r>
            <w:r w:rsidR="00BF2490" w:rsidRPr="00171CF8">
              <w:t xml:space="preserve">atural </w:t>
            </w:r>
            <w:r w:rsidR="00BF2490">
              <w:t>r</w:t>
            </w:r>
            <w:r w:rsidR="00BF2490" w:rsidRPr="00171CF8">
              <w:t xml:space="preserve">esource </w:t>
            </w:r>
            <w:r w:rsidR="00BF2490">
              <w:t>a</w:t>
            </w:r>
            <w:r w:rsidR="00BF2490" w:rsidRPr="00171CF8">
              <w:t>gre</w:t>
            </w:r>
            <w:r w:rsidR="00BF2490">
              <w:t xml:space="preserve">ement </w:t>
            </w:r>
            <w:r>
              <w:t xml:space="preserve">to recognise </w:t>
            </w:r>
            <w:r w:rsidR="17FCF199">
              <w:t>Traditional</w:t>
            </w:r>
            <w:r w:rsidDel="001C5FD9">
              <w:t xml:space="preserve"> </w:t>
            </w:r>
            <w:r w:rsidR="00EE16BF">
              <w:t>Owners</w:t>
            </w:r>
            <w:r w:rsidR="00344D3F">
              <w:t>’</w:t>
            </w:r>
            <w:r>
              <w:t xml:space="preserve"> rights to ta</w:t>
            </w:r>
            <w:r w:rsidRPr="00171CF8">
              <w:t>ke and use specific natural resources and provide input into the management of land and natural resources.</w:t>
            </w:r>
          </w:p>
          <w:p w14:paraId="3779CF15" w14:textId="79F9EA74" w:rsidR="001C5FD9" w:rsidRPr="00171CF8" w:rsidRDefault="001C5FD9" w:rsidP="00B57648">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171CF8">
              <w:rPr>
                <w:szCs w:val="20"/>
                <w:shd w:val="clear" w:color="auto" w:fill="FFFFFF"/>
              </w:rPr>
              <w:t>In return for entering into a settle</w:t>
            </w:r>
            <w:r w:rsidRPr="4658FA08">
              <w:rPr>
                <w:shd w:val="clear" w:color="auto" w:fill="FFFFFF"/>
              </w:rPr>
              <w:t xml:space="preserve">ment, </w:t>
            </w:r>
            <w:r w:rsidR="00EE16BF" w:rsidRPr="4658FA08">
              <w:rPr>
                <w:shd w:val="clear" w:color="auto" w:fill="FFFFFF"/>
              </w:rPr>
              <w:t>Traditional</w:t>
            </w:r>
            <w:r w:rsidRPr="4658FA08" w:rsidDel="00EE16BF">
              <w:rPr>
                <w:shd w:val="clear" w:color="auto" w:fill="FFFFFF"/>
              </w:rPr>
              <w:t xml:space="preserve"> </w:t>
            </w:r>
            <w:r w:rsidR="00EE16BF" w:rsidRPr="4658FA08">
              <w:rPr>
                <w:shd w:val="clear" w:color="auto" w:fill="FFFFFF"/>
              </w:rPr>
              <w:t>Owners</w:t>
            </w:r>
            <w:r w:rsidRPr="4658FA08">
              <w:rPr>
                <w:shd w:val="clear" w:color="auto" w:fill="FFFFFF"/>
              </w:rPr>
              <w:t xml:space="preserve"> must agree to withdraw any n</w:t>
            </w:r>
            <w:r w:rsidRPr="00171CF8">
              <w:rPr>
                <w:szCs w:val="20"/>
                <w:shd w:val="clear" w:color="auto" w:fill="FFFFFF"/>
              </w:rPr>
              <w:t>ative title claim, pursuant to the</w:t>
            </w:r>
            <w:r w:rsidRPr="4658FA08">
              <w:rPr>
                <w:rFonts w:ascii="Calibri" w:hAnsi="Calibri" w:cs="Calibri"/>
                <w:shd w:val="clear" w:color="auto" w:fill="FFFFFF"/>
              </w:rPr>
              <w:t> </w:t>
            </w:r>
            <w:r w:rsidRPr="00171CF8">
              <w:rPr>
                <w:i/>
                <w:szCs w:val="20"/>
                <w:shd w:val="clear" w:color="auto" w:fill="FFFFFF"/>
              </w:rPr>
              <w:t>Native Title Act 1993</w:t>
            </w:r>
            <w:r w:rsidRPr="4658FA08">
              <w:rPr>
                <w:rFonts w:ascii="Calibri" w:hAnsi="Calibri" w:cs="Calibri"/>
                <w:i/>
                <w:shd w:val="clear" w:color="auto" w:fill="FFFFFF"/>
              </w:rPr>
              <w:t> </w:t>
            </w:r>
            <w:r w:rsidRPr="00171CF8">
              <w:rPr>
                <w:szCs w:val="20"/>
                <w:shd w:val="clear" w:color="auto" w:fill="FFFFFF"/>
              </w:rPr>
              <w:t>(Cth) and not to make any future native title claims.</w:t>
            </w:r>
          </w:p>
          <w:p w14:paraId="570A3790" w14:textId="10ABE9A3" w:rsidR="001C5FD9" w:rsidRPr="009E7AC7" w:rsidRDefault="00894832" w:rsidP="00F7602B">
            <w:pPr>
              <w:cnfStyle w:val="000000000000" w:firstRow="0" w:lastRow="0" w:firstColumn="0" w:lastColumn="0" w:oddVBand="0" w:evenVBand="0" w:oddHBand="0" w:evenHBand="0" w:firstRowFirstColumn="0" w:firstRowLastColumn="0" w:lastRowFirstColumn="0" w:lastRowLastColumn="0"/>
              <w:rPr>
                <w:rStyle w:val="Hyperlink"/>
                <w:szCs w:val="17"/>
              </w:rPr>
            </w:pPr>
            <w:hyperlink r:id="rId230" w:history="1">
              <w:r w:rsidR="001C5FD9" w:rsidRPr="00FB54B8">
                <w:rPr>
                  <w:rStyle w:val="Hyperlink"/>
                  <w:rFonts w:hint="eastAsia"/>
                  <w:szCs w:val="17"/>
                </w:rPr>
                <w:t>https://www.legislation.vic.gov.au/in-force/acts/traditional-owner-settlement-act-2010/025</w:t>
              </w:r>
            </w:hyperlink>
            <w:r w:rsidR="001C5FD9" w:rsidRPr="00FB54B8">
              <w:rPr>
                <w:rStyle w:val="Hyperlink"/>
                <w:rFonts w:hint="eastAsia"/>
                <w:szCs w:val="17"/>
              </w:rPr>
              <w:t xml:space="preserve"> </w:t>
            </w:r>
          </w:p>
        </w:tc>
        <w:tc>
          <w:tcPr>
            <w:tcW w:w="2430" w:type="dxa"/>
          </w:tcPr>
          <w:p w14:paraId="3E026E79"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PDDD, site acquisition, early works</w:t>
            </w:r>
          </w:p>
        </w:tc>
      </w:tr>
      <w:tr w:rsidR="001C5FD9" w:rsidRPr="004B5A4E" w14:paraId="6DE3D35B" w14:textId="77777777" w:rsidTr="00742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9FB45BC" w14:textId="009DEB18" w:rsidR="001C5FD9" w:rsidRPr="002B7817" w:rsidRDefault="001C5FD9" w:rsidP="00F7602B">
            <w:pPr>
              <w:rPr>
                <w:rFonts w:ascii="VIC" w:hAnsi="VIC"/>
                <w:iCs/>
                <w:szCs w:val="17"/>
              </w:rPr>
            </w:pPr>
            <w:r w:rsidRPr="00F45635">
              <w:rPr>
                <w:rFonts w:ascii="VIC" w:hAnsi="VIC"/>
                <w:i/>
                <w:szCs w:val="17"/>
              </w:rPr>
              <w:t>Transfer of Land Act 1958</w:t>
            </w:r>
            <w:r w:rsidR="009B4E97" w:rsidRPr="008A367F">
              <w:rPr>
                <w:rFonts w:ascii="VIC" w:hAnsi="VIC"/>
                <w:iCs/>
              </w:rPr>
              <w:t xml:space="preserve"> (Vic)</w:t>
            </w:r>
          </w:p>
          <w:p w14:paraId="57AEFFC2" w14:textId="60B417EE"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7806ED4F" wp14:editId="3CCAE676">
                  <wp:extent cx="411480" cy="411480"/>
                  <wp:effectExtent l="0" t="0" r="0" b="7620"/>
                  <wp:docPr id="2091229775" name="Graphic 2091229775"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6F9693BC" w14:textId="3AEB84CB"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b/>
                <w:szCs w:val="17"/>
              </w:rPr>
            </w:pPr>
            <w:r w:rsidRPr="00504DD2">
              <w:rPr>
                <w:rFonts w:ascii="VIC" w:hAnsi="VIC" w:hint="eastAsia"/>
                <w:szCs w:val="17"/>
              </w:rPr>
              <w:t>Provides a framework for alienating Crown land</w:t>
            </w:r>
          </w:p>
        </w:tc>
        <w:tc>
          <w:tcPr>
            <w:tcW w:w="7020" w:type="dxa"/>
          </w:tcPr>
          <w:p w14:paraId="61B62E42" w14:textId="51EFC499" w:rsidR="00902182" w:rsidRPr="00171CF8" w:rsidRDefault="00BF2490" w:rsidP="00171CF8">
            <w:pPr>
              <w:pStyle w:val="Tabletext"/>
              <w:cnfStyle w:val="000000010000" w:firstRow="0" w:lastRow="0" w:firstColumn="0" w:lastColumn="0" w:oddVBand="0" w:evenVBand="0" w:oddHBand="0" w:evenHBand="1" w:firstRowFirstColumn="0" w:firstRowLastColumn="0" w:lastRowFirstColumn="0" w:lastRowLastColumn="0"/>
            </w:pPr>
            <w:r>
              <w:rPr>
                <w:szCs w:val="17"/>
              </w:rPr>
              <w:t>This legislation s</w:t>
            </w:r>
            <w:r w:rsidR="001C5FD9" w:rsidRPr="00171CF8">
              <w:t>ets out processes and procedures agencies must follow when the investment requires the alienation of Crown land to freehold land.</w:t>
            </w:r>
          </w:p>
          <w:p w14:paraId="7EAE8077" w14:textId="6FAF8BAC"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rPr>
            </w:pPr>
            <w:hyperlink r:id="rId231" w:history="1">
              <w:r w:rsidR="001C5FD9" w:rsidRPr="00171CF8">
                <w:rPr>
                  <w:rStyle w:val="Hyperlink"/>
                </w:rPr>
                <w:t>https://www.legislation.</w:t>
              </w:r>
              <w:bookmarkStart w:id="483" w:name="_Hlt145502058"/>
              <w:bookmarkStart w:id="484" w:name="_Hlt145502059"/>
              <w:r w:rsidR="001C5FD9" w:rsidRPr="00171CF8">
                <w:rPr>
                  <w:rStyle w:val="Hyperlink"/>
                </w:rPr>
                <w:t>v</w:t>
              </w:r>
              <w:bookmarkEnd w:id="483"/>
              <w:bookmarkEnd w:id="484"/>
              <w:r w:rsidR="001C5FD9" w:rsidRPr="00171CF8">
                <w:rPr>
                  <w:rStyle w:val="Hyperlink"/>
                </w:rPr>
                <w:t>ic.gov.au/in-force/acts/</w:t>
              </w:r>
              <w:bookmarkStart w:id="485" w:name="_Hlt145502471"/>
              <w:r w:rsidR="001C5FD9" w:rsidRPr="00171CF8">
                <w:rPr>
                  <w:rStyle w:val="Hyperlink"/>
                </w:rPr>
                <w:t>t</w:t>
              </w:r>
              <w:bookmarkEnd w:id="485"/>
              <w:r w:rsidR="001C5FD9" w:rsidRPr="00171CF8">
                <w:rPr>
                  <w:rStyle w:val="Hyperlink"/>
                </w:rPr>
                <w:t>ransfer-land-act-1958/179</w:t>
              </w:r>
            </w:hyperlink>
          </w:p>
          <w:p w14:paraId="07834819" w14:textId="1CDC6B2B"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b/>
                <w:bCs/>
              </w:rPr>
            </w:pPr>
            <w:hyperlink r:id="rId232" w:history="1">
              <w:r w:rsidR="001C5FD9" w:rsidRPr="00171CF8">
                <w:rPr>
                  <w:rStyle w:val="Hyperlink"/>
                </w:rPr>
                <w:t>https://www.land.vic.gov.au/land-regis</w:t>
              </w:r>
              <w:bookmarkStart w:id="486" w:name="_Hlt145502478"/>
              <w:r w:rsidR="001C5FD9" w:rsidRPr="00171CF8">
                <w:rPr>
                  <w:rStyle w:val="Hyperlink"/>
                </w:rPr>
                <w:t>t</w:t>
              </w:r>
              <w:bookmarkEnd w:id="486"/>
              <w:r w:rsidR="001C5FD9" w:rsidRPr="00171CF8">
                <w:rPr>
                  <w:rStyle w:val="Hyperlink"/>
                </w:rPr>
                <w:t>ration/for-individuals/about-types-of-land-in-victoria</w:t>
              </w:r>
            </w:hyperlink>
          </w:p>
        </w:tc>
        <w:tc>
          <w:tcPr>
            <w:tcW w:w="2430" w:type="dxa"/>
          </w:tcPr>
          <w:p w14:paraId="5271AC17"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PDDD</w:t>
            </w:r>
          </w:p>
        </w:tc>
      </w:tr>
      <w:tr w:rsidR="001C5FD9" w:rsidRPr="004B5A4E" w14:paraId="7D68E382"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58304491" w14:textId="4B4E8290" w:rsidR="001C5FD9" w:rsidRPr="0014700A" w:rsidRDefault="001C5FD9" w:rsidP="00F7602B">
            <w:pPr>
              <w:rPr>
                <w:rFonts w:ascii="VIC" w:hAnsi="VIC"/>
                <w:iCs/>
                <w:szCs w:val="17"/>
              </w:rPr>
            </w:pPr>
            <w:r w:rsidRPr="00F45635">
              <w:rPr>
                <w:rFonts w:ascii="VIC" w:hAnsi="VIC"/>
                <w:i/>
                <w:szCs w:val="17"/>
              </w:rPr>
              <w:t>Victorian Civil and Administrative Tribunal Act 1998</w:t>
            </w:r>
            <w:r w:rsidR="009B4E97" w:rsidRPr="008A367F">
              <w:rPr>
                <w:rFonts w:ascii="VIC" w:hAnsi="VIC"/>
                <w:iCs/>
              </w:rPr>
              <w:t xml:space="preserve"> (Vic)</w:t>
            </w:r>
          </w:p>
          <w:p w14:paraId="4EC347EA" w14:textId="2CDDEFD6"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5946A1BC" wp14:editId="05B77D98">
                  <wp:extent cx="411480" cy="411480"/>
                  <wp:effectExtent l="0" t="0" r="0" b="7620"/>
                  <wp:docPr id="2091229776" name="Graphic 2091229776"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34AAC2A9" w14:textId="39163D96"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zCs w:val="17"/>
              </w:rPr>
            </w:pPr>
            <w:r w:rsidRPr="00504DD2">
              <w:rPr>
                <w:rFonts w:ascii="VIC" w:hAnsi="VIC" w:hint="eastAsia"/>
                <w:szCs w:val="17"/>
              </w:rPr>
              <w:t xml:space="preserve">Establishes the Victorian Civil and Administrative Tribunal as a </w:t>
            </w:r>
            <w:r w:rsidR="00344D3F">
              <w:rPr>
                <w:rFonts w:ascii="VIC" w:hAnsi="VIC"/>
                <w:szCs w:val="17"/>
              </w:rPr>
              <w:t>‘</w:t>
            </w:r>
            <w:r w:rsidRPr="00504DD2">
              <w:rPr>
                <w:rFonts w:ascii="VIC" w:hAnsi="VIC" w:hint="eastAsia"/>
                <w:szCs w:val="17"/>
              </w:rPr>
              <w:t>one</w:t>
            </w:r>
            <w:r w:rsidRPr="00504DD2">
              <w:rPr>
                <w:rFonts w:ascii="VIC" w:hAnsi="VIC" w:hint="eastAsia"/>
                <w:szCs w:val="17"/>
              </w:rPr>
              <w:noBreakHyphen/>
              <w:t>stop-shop</w:t>
            </w:r>
            <w:r w:rsidR="00344D3F">
              <w:rPr>
                <w:rFonts w:ascii="VIC" w:hAnsi="VIC"/>
                <w:szCs w:val="17"/>
              </w:rPr>
              <w:t>’</w:t>
            </w:r>
            <w:r w:rsidRPr="00504DD2">
              <w:rPr>
                <w:rFonts w:ascii="VIC" w:hAnsi="VIC" w:hint="eastAsia"/>
                <w:szCs w:val="17"/>
              </w:rPr>
              <w:t xml:space="preserve"> for dealing with disputes</w:t>
            </w:r>
          </w:p>
        </w:tc>
        <w:tc>
          <w:tcPr>
            <w:tcW w:w="7020" w:type="dxa"/>
          </w:tcPr>
          <w:p w14:paraId="0C322B79" w14:textId="42C7C079" w:rsidR="00EE16BF" w:rsidRPr="00171CF8" w:rsidRDefault="00BF2490" w:rsidP="00171CF8">
            <w:pPr>
              <w:pStyle w:val="Tabletext"/>
              <w:cnfStyle w:val="000000000000" w:firstRow="0" w:lastRow="0" w:firstColumn="0" w:lastColumn="0" w:oddVBand="0" w:evenVBand="0" w:oddHBand="0" w:evenHBand="0" w:firstRowFirstColumn="0" w:firstRowLastColumn="0" w:lastRowFirstColumn="0" w:lastRowLastColumn="0"/>
            </w:pPr>
            <w:r>
              <w:rPr>
                <w:szCs w:val="17"/>
              </w:rPr>
              <w:t>This legislation s</w:t>
            </w:r>
            <w:r w:rsidR="001C5FD9" w:rsidRPr="00171CF8">
              <w:t xml:space="preserve">ets out obligations, processes and procedures agencies must follow when managing disputes relating to land use or building work that are referred to </w:t>
            </w:r>
            <w:r w:rsidR="009B4E97">
              <w:t xml:space="preserve">the </w:t>
            </w:r>
            <w:r w:rsidR="001C5FD9" w:rsidRPr="00171CF8">
              <w:t>V</w:t>
            </w:r>
            <w:r w:rsidR="009B4E97">
              <w:t xml:space="preserve">ictorian </w:t>
            </w:r>
            <w:r w:rsidR="001C5FD9" w:rsidRPr="00171CF8">
              <w:t>C</w:t>
            </w:r>
            <w:r w:rsidR="009B4E97">
              <w:t xml:space="preserve">ivil and </w:t>
            </w:r>
            <w:r w:rsidR="001C5FD9" w:rsidRPr="00171CF8">
              <w:t>A</w:t>
            </w:r>
            <w:r w:rsidR="009B4E97">
              <w:t xml:space="preserve">dministrative </w:t>
            </w:r>
            <w:r w:rsidR="001C5FD9" w:rsidRPr="00171CF8">
              <w:t>T</w:t>
            </w:r>
            <w:r w:rsidR="009B4E97">
              <w:t>ribunal</w:t>
            </w:r>
            <w:r w:rsidR="001C5FD9" w:rsidRPr="00171CF8">
              <w:t>.</w:t>
            </w:r>
          </w:p>
          <w:p w14:paraId="15FAA164" w14:textId="2231677D" w:rsidR="001C5FD9" w:rsidRPr="00171CF8" w:rsidRDefault="00894832" w:rsidP="00171CF8">
            <w:pPr>
              <w:pStyle w:val="Tabletext"/>
              <w:cnfStyle w:val="000000000000" w:firstRow="0" w:lastRow="0" w:firstColumn="0" w:lastColumn="0" w:oddVBand="0" w:evenVBand="0" w:oddHBand="0" w:evenHBand="0" w:firstRowFirstColumn="0" w:firstRowLastColumn="0" w:lastRowFirstColumn="0" w:lastRowLastColumn="0"/>
              <w:rPr>
                <w:b/>
                <w:u w:val="single"/>
              </w:rPr>
            </w:pPr>
            <w:hyperlink r:id="rId233" w:history="1">
              <w:r w:rsidR="00702128" w:rsidRPr="009E7AC7">
                <w:rPr>
                  <w:rStyle w:val="Hyperlink"/>
                  <w:rFonts w:ascii="VIC" w:hAnsi="VIC" w:hint="eastAsia"/>
                  <w:szCs w:val="17"/>
                </w:rPr>
                <w:t>https://www.legislation.vic.gov.au/in-force/acts/victorian-civil-and-administrative-tribunal-act-1998/134</w:t>
              </w:r>
            </w:hyperlink>
          </w:p>
        </w:tc>
        <w:tc>
          <w:tcPr>
            <w:tcW w:w="2430" w:type="dxa"/>
          </w:tcPr>
          <w:p w14:paraId="4B0E448E"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Project design, stakeholder management</w:t>
            </w:r>
          </w:p>
        </w:tc>
      </w:tr>
      <w:tr w:rsidR="001C5FD9" w:rsidRPr="00B113D7" w14:paraId="0BBE5C0E"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400" w:type="dxa"/>
            <w:gridSpan w:val="4"/>
          </w:tcPr>
          <w:p w14:paraId="3BECEFF5" w14:textId="77777777" w:rsidR="001C5FD9" w:rsidRPr="00B113D7" w:rsidRDefault="001C5FD9" w:rsidP="00171CF8">
            <w:pPr>
              <w:pStyle w:val="Tabletext"/>
              <w:rPr>
                <w:rFonts w:asciiTheme="majorHAnsi" w:hAnsiTheme="majorHAnsi"/>
                <w:sz w:val="18"/>
                <w:szCs w:val="18"/>
              </w:rPr>
            </w:pPr>
            <w:r w:rsidRPr="00B113D7">
              <w:rPr>
                <w:rFonts w:asciiTheme="majorHAnsi" w:hAnsiTheme="majorHAnsi"/>
                <w:sz w:val="18"/>
                <w:szCs w:val="18"/>
              </w:rPr>
              <w:t>Commonwealth</w:t>
            </w:r>
          </w:p>
        </w:tc>
      </w:tr>
      <w:tr w:rsidR="001C5FD9" w:rsidRPr="004B5A4E" w14:paraId="6D60744B"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20DE3498" w14:textId="49A33EC2" w:rsidR="001C5FD9" w:rsidRPr="0014700A" w:rsidRDefault="001C5FD9" w:rsidP="00F7602B">
            <w:pPr>
              <w:rPr>
                <w:rFonts w:ascii="VIC" w:hAnsi="VIC"/>
                <w:iCs/>
                <w:szCs w:val="17"/>
              </w:rPr>
            </w:pPr>
            <w:r w:rsidRPr="00F45635">
              <w:rPr>
                <w:rFonts w:ascii="VIC" w:hAnsi="VIC"/>
                <w:i/>
                <w:szCs w:val="17"/>
              </w:rPr>
              <w:t>Environmental Protection and Biodiversity Conservation Act 1999</w:t>
            </w:r>
            <w:r w:rsidR="009B4E97">
              <w:rPr>
                <w:rFonts w:ascii="VIC" w:hAnsi="VIC"/>
                <w:iCs/>
                <w:szCs w:val="17"/>
              </w:rPr>
              <w:t xml:space="preserve"> (Cth)</w:t>
            </w:r>
          </w:p>
          <w:p w14:paraId="079464D8" w14:textId="014B3CD9"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3E69F52C" wp14:editId="01EF7680">
                  <wp:extent cx="411480" cy="411480"/>
                  <wp:effectExtent l="0" t="0" r="0" b="7620"/>
                  <wp:docPr id="2091229777" name="Graphic 2091229777"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62ED59BB" w14:textId="5317F12B"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b/>
                <w:szCs w:val="17"/>
              </w:rPr>
            </w:pPr>
            <w:r w:rsidRPr="00504DD2">
              <w:rPr>
                <w:rFonts w:ascii="VIC" w:hAnsi="VIC" w:hint="eastAsia"/>
                <w:szCs w:val="17"/>
              </w:rPr>
              <w:t>Protects and conserves nationally and internationally important flora, fauna, ecological communities and heritage places</w:t>
            </w:r>
          </w:p>
        </w:tc>
        <w:tc>
          <w:tcPr>
            <w:tcW w:w="7020" w:type="dxa"/>
          </w:tcPr>
          <w:p w14:paraId="46983BAA" w14:textId="72A5DF8A" w:rsidR="001C5FD9" w:rsidRPr="00171CF8" w:rsidRDefault="00BF2490" w:rsidP="00171CF8">
            <w:pPr>
              <w:pStyle w:val="Tabletext"/>
              <w:cnfStyle w:val="000000000000" w:firstRow="0" w:lastRow="0" w:firstColumn="0" w:lastColumn="0" w:oddVBand="0" w:evenVBand="0" w:oddHBand="0" w:evenHBand="0" w:firstRowFirstColumn="0" w:firstRowLastColumn="0" w:lastRowFirstColumn="0" w:lastRowLastColumn="0"/>
            </w:pPr>
            <w:r>
              <w:rPr>
                <w:szCs w:val="17"/>
              </w:rPr>
              <w:t xml:space="preserve">This legislation </w:t>
            </w:r>
            <w:r>
              <w:t>r</w:t>
            </w:r>
            <w:r w:rsidR="001C5FD9" w:rsidRPr="00171CF8">
              <w:t xml:space="preserve">equires any investment that involves a development that may impact on environmental factors of local or </w:t>
            </w:r>
            <w:r w:rsidR="008620D3">
              <w:t>s</w:t>
            </w:r>
            <w:r w:rsidR="001C5FD9" w:rsidRPr="00171CF8">
              <w:t>tate significance to be referred for environmental assessment and approval.</w:t>
            </w:r>
          </w:p>
          <w:p w14:paraId="01543848" w14:textId="20A9A44D" w:rsidR="001C5FD9" w:rsidRPr="005228FB" w:rsidRDefault="00894832" w:rsidP="00171CF8">
            <w:pPr>
              <w:pStyle w:val="Tabletext"/>
              <w:cnfStyle w:val="000000000000" w:firstRow="0" w:lastRow="0" w:firstColumn="0" w:lastColumn="0" w:oddVBand="0" w:evenVBand="0" w:oddHBand="0" w:evenHBand="0" w:firstRowFirstColumn="0" w:firstRowLastColumn="0" w:lastRowFirstColumn="0" w:lastRowLastColumn="0"/>
              <w:rPr>
                <w:color w:val="4D4D4D"/>
                <w:u w:val="single"/>
              </w:rPr>
            </w:pPr>
            <w:hyperlink r:id="rId234" w:history="1">
              <w:r w:rsidR="001C5FD9" w:rsidRPr="00171CF8">
                <w:rPr>
                  <w:rStyle w:val="Hyperlink"/>
                </w:rPr>
                <w:t>https://www.l</w:t>
              </w:r>
              <w:bookmarkStart w:id="487" w:name="_Hlt145502604"/>
              <w:r w:rsidR="001C5FD9" w:rsidRPr="00171CF8">
                <w:rPr>
                  <w:rStyle w:val="Hyperlink"/>
                </w:rPr>
                <w:t>e</w:t>
              </w:r>
              <w:bookmarkEnd w:id="487"/>
              <w:r w:rsidR="001C5FD9" w:rsidRPr="00171CF8">
                <w:rPr>
                  <w:rStyle w:val="Hyperlink"/>
                </w:rPr>
                <w:t>gislation.gov.au/Details/C2016C00777</w:t>
              </w:r>
            </w:hyperlink>
          </w:p>
        </w:tc>
        <w:tc>
          <w:tcPr>
            <w:tcW w:w="2430" w:type="dxa"/>
          </w:tcPr>
          <w:p w14:paraId="16FFC620"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PDDD, tendering, contracting</w:t>
            </w:r>
          </w:p>
        </w:tc>
      </w:tr>
      <w:tr w:rsidR="001C5FD9" w:rsidRPr="004B5A4E" w14:paraId="62895851"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285A4F35" w14:textId="77777777" w:rsidR="001C5FD9" w:rsidRPr="00F45635" w:rsidRDefault="001C5FD9" w:rsidP="00F7602B">
            <w:pPr>
              <w:rPr>
                <w:rFonts w:ascii="VIC" w:hAnsi="VIC"/>
                <w:szCs w:val="17"/>
              </w:rPr>
            </w:pPr>
            <w:r w:rsidRPr="00F45635">
              <w:rPr>
                <w:rFonts w:ascii="VIC" w:hAnsi="VIC"/>
                <w:szCs w:val="17"/>
              </w:rPr>
              <w:t>National Building Code</w:t>
            </w:r>
          </w:p>
          <w:p w14:paraId="2B9D59FB" w14:textId="60D4A5B3"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58E5BD7C" wp14:editId="00A328C0">
                  <wp:extent cx="411480" cy="411480"/>
                  <wp:effectExtent l="0" t="0" r="0" b="7620"/>
                  <wp:docPr id="2091229778" name="Graphic 2091229778"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4E91AEBA" w14:textId="77777777"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504DD2">
              <w:rPr>
                <w:rFonts w:ascii="VIC" w:hAnsi="VIC" w:hint="eastAsia"/>
                <w:szCs w:val="17"/>
              </w:rPr>
              <w:t xml:space="preserve">Sets the minimum required level for safety, health, amenity, accessibility and sustainability in the construction of certain buildings </w:t>
            </w:r>
          </w:p>
        </w:tc>
        <w:tc>
          <w:tcPr>
            <w:tcW w:w="7020" w:type="dxa"/>
          </w:tcPr>
          <w:p w14:paraId="6D529B63" w14:textId="33022096" w:rsidR="001A5D02" w:rsidRPr="005B687A" w:rsidRDefault="00BF2490" w:rsidP="00171CF8">
            <w:pPr>
              <w:pStyle w:val="Tabletext"/>
              <w:cnfStyle w:val="000000010000" w:firstRow="0" w:lastRow="0" w:firstColumn="0" w:lastColumn="0" w:oddVBand="0" w:evenVBand="0" w:oddHBand="0" w:evenHBand="1" w:firstRowFirstColumn="0" w:firstRowLastColumn="0" w:lastRowFirstColumn="0" w:lastRowLastColumn="0"/>
              <w:rPr>
                <w:rStyle w:val="Hyperlink"/>
              </w:rPr>
            </w:pPr>
            <w:r>
              <w:t xml:space="preserve">The code </w:t>
            </w:r>
            <w:r w:rsidR="00E25AC4">
              <w:t>e</w:t>
            </w:r>
            <w:r w:rsidR="001C5FD9" w:rsidRPr="00171CF8">
              <w:t>ncourages productivity and lawful workplace relations on building sites. It sets out the Australian Government</w:t>
            </w:r>
            <w:r w:rsidR="00344D3F">
              <w:t>’</w:t>
            </w:r>
            <w:r w:rsidR="001C5FD9" w:rsidRPr="00171CF8">
              <w:t>s expected standards for building contractors or building industry participants involved in Commonwealth-funded construction projects.</w:t>
            </w:r>
            <w:r w:rsidR="001A5D02">
              <w:fldChar w:fldCharType="begin"/>
            </w:r>
            <w:r w:rsidR="00164E67">
              <w:rPr>
                <w:rFonts w:eastAsiaTheme="minorEastAsia"/>
                <w:spacing w:val="0"/>
                <w:szCs w:val="20"/>
                <w:lang w:eastAsia="en-AU"/>
              </w:rPr>
              <w:instrText>HYPERLINK "\\\\Mac\\Users\\atwood\\Library\\CloudStorage\\OneDrive-SharedLibraries-RedPonyConsulting\\Internal - Projects (Clients)\\DTF\\1717. WoVG Infrastructure Procurement Framework\\Modified Documents\\Proofreading\\ILGHVHR\\</w:instrText>
            </w:r>
            <w:r w:rsidR="00164E67">
              <w:rPr>
                <w:rFonts w:eastAsiaTheme="minorEastAsia"/>
                <w:spacing w:val="0"/>
                <w:szCs w:val="20"/>
                <w:lang w:eastAsia="en-AU"/>
              </w:rPr>
              <w:cr/>
              <w:instrText>https:\\ncc.abcb.gov.a"</w:instrText>
            </w:r>
            <w:r w:rsidR="001A5D02">
              <w:fldChar w:fldCharType="separate"/>
            </w:r>
          </w:p>
          <w:p w14:paraId="12DC7057" w14:textId="15201B48" w:rsidR="001C5FD9" w:rsidRPr="00171CF8" w:rsidRDefault="001A5D02" w:rsidP="00171CF8">
            <w:pPr>
              <w:pStyle w:val="Tabletext"/>
              <w:cnfStyle w:val="000000010000" w:firstRow="0" w:lastRow="0" w:firstColumn="0" w:lastColumn="0" w:oddVBand="0" w:evenVBand="0" w:oddHBand="0" w:evenHBand="1" w:firstRowFirstColumn="0" w:firstRowLastColumn="0" w:lastRowFirstColumn="0" w:lastRowLastColumn="0"/>
              <w:rPr>
                <w:rStyle w:val="Hyperlink"/>
              </w:rPr>
            </w:pPr>
            <w:r w:rsidRPr="005B687A">
              <w:rPr>
                <w:rStyle w:val="Hyperlink"/>
              </w:rPr>
              <w:t>https://ncc.abcb.gov.a</w:t>
            </w:r>
            <w:r>
              <w:fldChar w:fldCharType="end"/>
            </w:r>
            <w:r w:rsidR="001C5FD9" w:rsidRPr="005228FB">
              <w:rPr>
                <w:rStyle w:val="Hyperlink"/>
              </w:rPr>
              <w:t>u</w:t>
            </w:r>
          </w:p>
        </w:tc>
        <w:tc>
          <w:tcPr>
            <w:tcW w:w="2430" w:type="dxa"/>
          </w:tcPr>
          <w:p w14:paraId="2DCE6870"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 xml:space="preserve">Tendering, contract management on Commonwealth-funded projects </w:t>
            </w:r>
          </w:p>
        </w:tc>
      </w:tr>
      <w:tr w:rsidR="001C5FD9" w:rsidRPr="004B5A4E" w14:paraId="1A1F4A33"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4A0E0E24" w14:textId="4B54A49D" w:rsidR="001C5FD9" w:rsidRPr="0014700A" w:rsidRDefault="001C5FD9" w:rsidP="00F7602B">
            <w:pPr>
              <w:rPr>
                <w:rFonts w:ascii="VIC" w:hAnsi="VIC"/>
                <w:iCs/>
                <w:szCs w:val="17"/>
              </w:rPr>
            </w:pPr>
            <w:r w:rsidRPr="00F45635">
              <w:rPr>
                <w:rFonts w:ascii="VIC" w:hAnsi="VIC"/>
                <w:i/>
                <w:szCs w:val="17"/>
              </w:rPr>
              <w:t>Trade Practices Act 1974</w:t>
            </w:r>
            <w:r w:rsidR="009B4E97">
              <w:rPr>
                <w:rFonts w:ascii="VIC" w:hAnsi="VIC"/>
                <w:iCs/>
                <w:szCs w:val="17"/>
              </w:rPr>
              <w:t xml:space="preserve"> (Cth)</w:t>
            </w:r>
          </w:p>
          <w:p w14:paraId="18415871" w14:textId="5AC2B85D"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7B27A8BD" wp14:editId="3B815C83">
                  <wp:extent cx="411480" cy="411480"/>
                  <wp:effectExtent l="0" t="0" r="0" b="7620"/>
                  <wp:docPr id="2091229779" name="Graphic 2091229779"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1DEAA6F8" w14:textId="18880FF9"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zCs w:val="17"/>
              </w:rPr>
            </w:pPr>
            <w:r w:rsidRPr="00504DD2">
              <w:rPr>
                <w:rFonts w:ascii="VIC" w:hAnsi="VIC" w:hint="eastAsia"/>
                <w:szCs w:val="17"/>
              </w:rPr>
              <w:t>Protects consumers from unfair business practices</w:t>
            </w:r>
          </w:p>
        </w:tc>
        <w:tc>
          <w:tcPr>
            <w:tcW w:w="7020" w:type="dxa"/>
          </w:tcPr>
          <w:p w14:paraId="4E14293F" w14:textId="332BB054" w:rsidR="001C5FD9" w:rsidRPr="00171CF8" w:rsidRDefault="00BF2490" w:rsidP="00171CF8">
            <w:pPr>
              <w:pStyle w:val="Tabletext"/>
              <w:cnfStyle w:val="000000000000" w:firstRow="0" w:lastRow="0" w:firstColumn="0" w:lastColumn="0" w:oddVBand="0" w:evenVBand="0" w:oddHBand="0" w:evenHBand="0" w:firstRowFirstColumn="0" w:firstRowLastColumn="0" w:lastRowFirstColumn="0" w:lastRowLastColumn="0"/>
            </w:pPr>
            <w:r>
              <w:rPr>
                <w:szCs w:val="17"/>
              </w:rPr>
              <w:t>This legislation p</w:t>
            </w:r>
            <w:r w:rsidR="001C5FD9" w:rsidRPr="00171CF8">
              <w:t xml:space="preserve">rohibits misleading and deceptive conduct in public sector procurements by both public and private sector organisations. </w:t>
            </w:r>
            <w:r w:rsidR="00E25AC4">
              <w:t>It p</w:t>
            </w:r>
            <w:r w:rsidR="00E25AC4" w:rsidRPr="00171CF8">
              <w:t xml:space="preserve">rohibits </w:t>
            </w:r>
            <w:r w:rsidR="001C5FD9" w:rsidRPr="00171CF8">
              <w:t>price fixing, boycotting or anti</w:t>
            </w:r>
            <w:r w:rsidR="007334C6">
              <w:t>competitive</w:t>
            </w:r>
            <w:r w:rsidR="001C5FD9" w:rsidRPr="00171CF8">
              <w:t xml:space="preserve"> behaviour.</w:t>
            </w:r>
          </w:p>
          <w:p w14:paraId="767F35B8"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During tenders, agencies must seek to provide complete and accurate information, and not provide any incomplete, incorrect or misleading information.</w:t>
            </w:r>
          </w:p>
          <w:p w14:paraId="093CB9E6" w14:textId="4DC698F1" w:rsidR="001C5FD9" w:rsidRPr="00171CF8" w:rsidRDefault="00894832" w:rsidP="00171CF8">
            <w:pPr>
              <w:pStyle w:val="Tabletext"/>
              <w:cnfStyle w:val="000000000000" w:firstRow="0" w:lastRow="0" w:firstColumn="0" w:lastColumn="0" w:oddVBand="0" w:evenVBand="0" w:oddHBand="0" w:evenHBand="0" w:firstRowFirstColumn="0" w:firstRowLastColumn="0" w:lastRowFirstColumn="0" w:lastRowLastColumn="0"/>
            </w:pPr>
            <w:hyperlink r:id="rId235" w:history="1">
              <w:r w:rsidR="001C5FD9" w:rsidRPr="00171CF8">
                <w:rPr>
                  <w:color w:val="53565A" w:themeColor="hyperlink"/>
                  <w:u w:val="single"/>
                </w:rPr>
                <w:t>https://www.australiancompetitionlaw.info/legislation</w:t>
              </w:r>
              <w:bookmarkStart w:id="488" w:name="_Hlt145502646"/>
              <w:r w:rsidR="001C5FD9" w:rsidRPr="00171CF8">
                <w:rPr>
                  <w:color w:val="53565A" w:themeColor="hyperlink"/>
                  <w:u w:val="single"/>
                </w:rPr>
                <w:t>/</w:t>
              </w:r>
              <w:bookmarkEnd w:id="488"/>
              <w:r w:rsidR="001C5FD9" w:rsidRPr="00171CF8">
                <w:rPr>
                  <w:color w:val="53565A" w:themeColor="hyperlink"/>
                  <w:u w:val="single"/>
                </w:rPr>
                <w:t>tpa1974</w:t>
              </w:r>
            </w:hyperlink>
            <w:r w:rsidR="001C5FD9" w:rsidRPr="00171CF8">
              <w:t xml:space="preserve"> </w:t>
            </w:r>
          </w:p>
        </w:tc>
        <w:tc>
          <w:tcPr>
            <w:tcW w:w="2430" w:type="dxa"/>
          </w:tcPr>
          <w:p w14:paraId="79B46F50"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Tendering</w:t>
            </w:r>
          </w:p>
        </w:tc>
      </w:tr>
      <w:tr w:rsidR="001C5FD9" w:rsidRPr="00B113D7" w14:paraId="492704DD"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4400" w:type="dxa"/>
            <w:gridSpan w:val="4"/>
            <w:shd w:val="clear" w:color="auto" w:fill="EEDEF1" w:themeFill="accent2" w:themeFillTint="33"/>
          </w:tcPr>
          <w:p w14:paraId="3D6E3D00" w14:textId="77777777" w:rsidR="001C5FD9" w:rsidRPr="00B113D7" w:rsidRDefault="001C5FD9" w:rsidP="00171CF8">
            <w:pPr>
              <w:pStyle w:val="Tabletext"/>
              <w:rPr>
                <w:rFonts w:asciiTheme="majorHAnsi" w:hAnsiTheme="majorHAnsi"/>
                <w:sz w:val="18"/>
                <w:szCs w:val="18"/>
              </w:rPr>
            </w:pPr>
            <w:r w:rsidRPr="00B113D7">
              <w:rPr>
                <w:rFonts w:asciiTheme="majorHAnsi" w:hAnsiTheme="majorHAnsi"/>
                <w:sz w:val="18"/>
                <w:szCs w:val="18"/>
              </w:rPr>
              <w:t>Policy frameworks</w:t>
            </w:r>
          </w:p>
        </w:tc>
      </w:tr>
      <w:tr w:rsidR="001C5FD9" w:rsidRPr="00B113D7" w14:paraId="0564ADBC"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14400" w:type="dxa"/>
            <w:gridSpan w:val="4"/>
          </w:tcPr>
          <w:p w14:paraId="78F26048" w14:textId="77777777" w:rsidR="001C5FD9" w:rsidRPr="00B113D7" w:rsidRDefault="001C5FD9" w:rsidP="00171CF8">
            <w:pPr>
              <w:pStyle w:val="Tabletext"/>
              <w:rPr>
                <w:rFonts w:asciiTheme="majorHAnsi" w:hAnsiTheme="majorHAnsi"/>
                <w:sz w:val="18"/>
                <w:szCs w:val="18"/>
              </w:rPr>
            </w:pPr>
            <w:r w:rsidRPr="00B113D7">
              <w:rPr>
                <w:rFonts w:asciiTheme="majorHAnsi" w:hAnsiTheme="majorHAnsi"/>
                <w:sz w:val="18"/>
                <w:szCs w:val="18"/>
              </w:rPr>
              <w:t>Victorian Government policies</w:t>
            </w:r>
          </w:p>
        </w:tc>
      </w:tr>
      <w:tr w:rsidR="001C5FD9" w:rsidRPr="004B5A4E" w14:paraId="092E7324"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0269B747" w14:textId="77777777" w:rsidR="001C5FD9" w:rsidRPr="00F45635" w:rsidRDefault="001C5FD9" w:rsidP="00F7602B">
            <w:pPr>
              <w:rPr>
                <w:rFonts w:ascii="VIC" w:hAnsi="VIC"/>
                <w:szCs w:val="17"/>
              </w:rPr>
            </w:pPr>
            <w:r w:rsidRPr="00F45635">
              <w:rPr>
                <w:rFonts w:ascii="VIC" w:hAnsi="VIC"/>
                <w:szCs w:val="17"/>
              </w:rPr>
              <w:t>Asset Management Accountability Framework</w:t>
            </w:r>
          </w:p>
          <w:p w14:paraId="647A8886" w14:textId="2E9BA904"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5EABE5BF" wp14:editId="0399C5CE">
                  <wp:extent cx="411480" cy="411480"/>
                  <wp:effectExtent l="0" t="0" r="0" b="7620"/>
                  <wp:docPr id="1940597816" name="Graphic 1940597816"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Pr="00F45635">
              <w:rPr>
                <w:rFonts w:ascii="VIC" w:hAnsi="VIC"/>
                <w:szCs w:val="17"/>
              </w:rPr>
              <w:t xml:space="preserve">   </w:t>
            </w:r>
            <w:r w:rsidR="008F02FA" w:rsidRPr="00F45635">
              <w:rPr>
                <w:rFonts w:ascii="VIC SemiBold" w:hAnsi="VIC SemiBold"/>
                <w:noProof/>
                <w:color w:val="C00000"/>
                <w:szCs w:val="17"/>
              </w:rPr>
              <w:drawing>
                <wp:inline distT="0" distB="0" distL="0" distR="0" wp14:anchorId="7A6891C0" wp14:editId="18AC7A00">
                  <wp:extent cx="411480" cy="411480"/>
                  <wp:effectExtent l="0" t="0" r="7620" b="7620"/>
                  <wp:docPr id="85" name="Graphic 85"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c>
          <w:tcPr>
            <w:tcW w:w="2700" w:type="dxa"/>
          </w:tcPr>
          <w:p w14:paraId="4BD45A6A" w14:textId="77777777"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b/>
                <w:szCs w:val="17"/>
              </w:rPr>
            </w:pPr>
            <w:r w:rsidRPr="00504DD2">
              <w:rPr>
                <w:rFonts w:ascii="VIC" w:hAnsi="VIC" w:hint="eastAsia"/>
                <w:szCs w:val="17"/>
              </w:rPr>
              <w:t>Outlines a set of requirements for the lifecycle management of assets</w:t>
            </w:r>
          </w:p>
        </w:tc>
        <w:tc>
          <w:tcPr>
            <w:tcW w:w="7020" w:type="dxa"/>
          </w:tcPr>
          <w:p w14:paraId="2C9D7744" w14:textId="06BB55F0" w:rsidR="001C5FD9" w:rsidRPr="00171CF8" w:rsidRDefault="00BF2490" w:rsidP="00171CF8">
            <w:pPr>
              <w:pStyle w:val="Tabletext"/>
              <w:cnfStyle w:val="000000010000" w:firstRow="0" w:lastRow="0" w:firstColumn="0" w:lastColumn="0" w:oddVBand="0" w:evenVBand="0" w:oddHBand="0" w:evenHBand="1" w:firstRowFirstColumn="0" w:firstRowLastColumn="0" w:lastRowFirstColumn="0" w:lastRowLastColumn="0"/>
            </w:pPr>
            <w:r>
              <w:t>The framework r</w:t>
            </w:r>
            <w:r w:rsidRPr="00171CF8">
              <w:t xml:space="preserve">equires </w:t>
            </w:r>
            <w:r w:rsidR="001C5FD9" w:rsidRPr="00171CF8">
              <w:t>agencies to ensure procurements align with its service delivery requirements and asset management strategy.</w:t>
            </w:r>
          </w:p>
          <w:p w14:paraId="2FF52E9E" w14:textId="35E9D5D0" w:rsidR="001C5FD9" w:rsidRPr="00171CF8" w:rsidRDefault="00E25AC4" w:rsidP="00171CF8">
            <w:pPr>
              <w:pStyle w:val="Tabletext"/>
              <w:cnfStyle w:val="000000010000" w:firstRow="0" w:lastRow="0" w:firstColumn="0" w:lastColumn="0" w:oddVBand="0" w:evenVBand="0" w:oddHBand="0" w:evenHBand="1" w:firstRowFirstColumn="0" w:firstRowLastColumn="0" w:lastRowFirstColumn="0" w:lastRowLastColumn="0"/>
            </w:pPr>
            <w:r>
              <w:t>It r</w:t>
            </w:r>
            <w:r w:rsidRPr="00171CF8">
              <w:t xml:space="preserve">equires </w:t>
            </w:r>
            <w:r w:rsidR="001C5FD9" w:rsidRPr="00171CF8">
              <w:t>agencies to consider market conditions and capacity, optimal procurement model and supply chain issues when developing a procurement strate</w:t>
            </w:r>
            <w:r w:rsidR="001C5FD9">
              <w:t>gy.</w:t>
            </w:r>
          </w:p>
          <w:p w14:paraId="6C0A1EBD" w14:textId="66BC50F8" w:rsidR="001C5FD9" w:rsidRPr="00171CF8" w:rsidRDefault="00E25AC4" w:rsidP="00171CF8">
            <w:pPr>
              <w:pStyle w:val="Tabletext"/>
              <w:cnfStyle w:val="000000010000" w:firstRow="0" w:lastRow="0" w:firstColumn="0" w:lastColumn="0" w:oddVBand="0" w:evenVBand="0" w:oddHBand="0" w:evenHBand="1" w:firstRowFirstColumn="0" w:firstRowLastColumn="0" w:lastRowFirstColumn="0" w:lastRowLastColumn="0"/>
            </w:pPr>
            <w:r>
              <w:t>It e</w:t>
            </w:r>
            <w:r w:rsidRPr="00171CF8">
              <w:t xml:space="preserve">ncourages </w:t>
            </w:r>
            <w:r w:rsidR="001C5FD9" w:rsidRPr="00171CF8">
              <w:t>agencies to consider and addre</w:t>
            </w:r>
            <w:r w:rsidR="001C5FD9">
              <w:t>ss whole</w:t>
            </w:r>
            <w:r w:rsidR="000B5E7B">
              <w:t>-of-</w:t>
            </w:r>
            <w:r w:rsidR="001C5FD9">
              <w:t>life</w:t>
            </w:r>
            <w:r w:rsidR="001C5FD9" w:rsidRPr="00171CF8">
              <w:t xml:space="preserve"> requirements in specifications and procuremen</w:t>
            </w:r>
            <w:r w:rsidR="001C5FD9">
              <w:t>t.</w:t>
            </w:r>
          </w:p>
          <w:p w14:paraId="5B4A3377" w14:textId="7F823E1B" w:rsidR="001C5FD9" w:rsidRPr="0004764D"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rPr>
            </w:pPr>
            <w:hyperlink r:id="rId236" w:history="1">
              <w:r w:rsidR="001C5FD9" w:rsidRPr="0004764D">
                <w:rPr>
                  <w:rStyle w:val="Hyperlink"/>
                </w:rPr>
                <w:t>https://www.dtf.vic.gov.au/infrastructure-investment</w:t>
              </w:r>
              <w:bookmarkStart w:id="489" w:name="_Hlt145502812"/>
              <w:r w:rsidR="001C5FD9" w:rsidRPr="0004764D">
                <w:rPr>
                  <w:rStyle w:val="Hyperlink"/>
                </w:rPr>
                <w:t>/</w:t>
              </w:r>
              <w:bookmarkEnd w:id="489"/>
              <w:r w:rsidR="001C5FD9" w:rsidRPr="0004764D">
                <w:rPr>
                  <w:rStyle w:val="Hyperlink"/>
                </w:rPr>
                <w:t>asset-management-accountability-framework</w:t>
              </w:r>
            </w:hyperlink>
          </w:p>
        </w:tc>
        <w:tc>
          <w:tcPr>
            <w:tcW w:w="2430" w:type="dxa"/>
          </w:tcPr>
          <w:p w14:paraId="48A55158" w14:textId="7FBF2E71"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Whole</w:t>
            </w:r>
            <w:r w:rsidR="00702128">
              <w:t xml:space="preserve"> </w:t>
            </w:r>
            <w:r>
              <w:t>of</w:t>
            </w:r>
            <w:r w:rsidR="00702128">
              <w:t xml:space="preserve"> </w:t>
            </w:r>
            <w:r>
              <w:t>inve</w:t>
            </w:r>
            <w:r w:rsidRPr="00171CF8">
              <w:t>stment lifecycle</w:t>
            </w:r>
          </w:p>
        </w:tc>
      </w:tr>
      <w:tr w:rsidR="001C5FD9" w:rsidRPr="004B5A4E" w14:paraId="2454DFC2"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5603DB35" w14:textId="77777777" w:rsidR="001C5FD9" w:rsidRPr="00F45635" w:rsidRDefault="001C5FD9" w:rsidP="00F7602B">
            <w:pPr>
              <w:rPr>
                <w:rFonts w:ascii="VIC" w:hAnsi="VIC"/>
                <w:szCs w:val="17"/>
              </w:rPr>
            </w:pPr>
            <w:r w:rsidRPr="00F45635">
              <w:rPr>
                <w:rFonts w:ascii="VIC" w:hAnsi="VIC"/>
                <w:szCs w:val="17"/>
              </w:rPr>
              <w:t>Building Equality Policy</w:t>
            </w:r>
          </w:p>
          <w:p w14:paraId="6CFD63C2" w14:textId="723537AC" w:rsidR="001C5FD9" w:rsidRPr="00F45635" w:rsidRDefault="008F02FA" w:rsidP="00F7602B">
            <w:pPr>
              <w:rPr>
                <w:rFonts w:ascii="VIC" w:hAnsi="VIC"/>
                <w:szCs w:val="17"/>
              </w:rPr>
            </w:pPr>
            <w:r w:rsidRPr="00F45635">
              <w:rPr>
                <w:rFonts w:ascii="VIC SemiBold" w:hAnsi="VIC SemiBold"/>
                <w:noProof/>
                <w:color w:val="C00000"/>
                <w:szCs w:val="17"/>
              </w:rPr>
              <w:drawing>
                <wp:inline distT="0" distB="0" distL="0" distR="0" wp14:anchorId="0151EDC6" wp14:editId="3F1B708A">
                  <wp:extent cx="411480" cy="411480"/>
                  <wp:effectExtent l="0" t="0" r="7620" b="7620"/>
                  <wp:docPr id="86" name="Graphic 86"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r w:rsidR="001C5FD9" w:rsidRPr="00F45635">
              <w:rPr>
                <w:rFonts w:ascii="VIC" w:hAnsi="VIC"/>
                <w:szCs w:val="17"/>
              </w:rPr>
              <w:t xml:space="preserve"> </w:t>
            </w:r>
            <w:r w:rsidR="00FA33F5" w:rsidRPr="00F45635">
              <w:rPr>
                <w:rFonts w:ascii="VIC" w:hAnsi="VIC"/>
                <w:szCs w:val="17"/>
              </w:rPr>
              <w:t xml:space="preserve">  </w:t>
            </w:r>
            <w:r w:rsidR="00367DC9" w:rsidRPr="00F45635">
              <w:rPr>
                <w:rFonts w:ascii="VIC SemiBold" w:hAnsi="VIC SemiBold"/>
                <w:noProof/>
                <w:color w:val="C00000"/>
                <w:szCs w:val="17"/>
              </w:rPr>
              <w:drawing>
                <wp:inline distT="0" distB="0" distL="0" distR="0" wp14:anchorId="171AD913" wp14:editId="7C066280">
                  <wp:extent cx="409219" cy="411480"/>
                  <wp:effectExtent l="0" t="0" r="0" b="7620"/>
                  <wp:docPr id="441" name="Graphic 441" descr="Building skills and cap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Building skills and capability icon"/>
                          <pic:cNvPicPr/>
                        </pic:nvPicPr>
                        <pic:blipFill>
                          <a:blip r:embed="rId50" cstate="screen">
                            <a:extLst>
                              <a:ext uri="{28A0092B-C50C-407E-A947-70E740481C1C}">
                                <a14:useLocalDpi xmlns:a14="http://schemas.microsoft.com/office/drawing/2010/main"/>
                              </a:ext>
                              <a:ext uri="{96DAC541-7B7A-43D3-8B79-37D633B846F1}">
                                <asvg:svgBlip xmlns:asvg="http://schemas.microsoft.com/office/drawing/2016/SVG/main" r:embed="rId51"/>
                              </a:ext>
                            </a:extLst>
                          </a:blip>
                          <a:stretch>
                            <a:fillRect/>
                          </a:stretch>
                        </pic:blipFill>
                        <pic:spPr>
                          <a:xfrm>
                            <a:off x="0" y="0"/>
                            <a:ext cx="409219" cy="411480"/>
                          </a:xfrm>
                          <a:prstGeom prst="rect">
                            <a:avLst/>
                          </a:prstGeom>
                        </pic:spPr>
                      </pic:pic>
                    </a:graphicData>
                  </a:graphic>
                </wp:inline>
              </w:drawing>
            </w:r>
          </w:p>
        </w:tc>
        <w:tc>
          <w:tcPr>
            <w:tcW w:w="2700" w:type="dxa"/>
          </w:tcPr>
          <w:p w14:paraId="4FE8EBB5" w14:textId="0ABD3CFB"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rPr>
            </w:pPr>
            <w:r w:rsidRPr="579CF4D6">
              <w:rPr>
                <w:rFonts w:ascii="VIC" w:hAnsi="VIC" w:hint="eastAsia"/>
              </w:rPr>
              <w:t>Creates training and employment opportunities for women through government procurement on building, infrastructure, civil engineering and any other capital works projects</w:t>
            </w:r>
          </w:p>
        </w:tc>
        <w:tc>
          <w:tcPr>
            <w:tcW w:w="7020" w:type="dxa"/>
          </w:tcPr>
          <w:p w14:paraId="35A75DB0" w14:textId="0CF3C3B6" w:rsidR="001C5FD9" w:rsidRPr="00171CF8" w:rsidRDefault="00BF2490" w:rsidP="00171CF8">
            <w:pPr>
              <w:pStyle w:val="Tabletext"/>
              <w:cnfStyle w:val="000000000000" w:firstRow="0" w:lastRow="0" w:firstColumn="0" w:lastColumn="0" w:oddVBand="0" w:evenVBand="0" w:oddHBand="0" w:evenHBand="0" w:firstRowFirstColumn="0" w:firstRowLastColumn="0" w:lastRowFirstColumn="0" w:lastRowLastColumn="0"/>
            </w:pPr>
            <w:r>
              <w:t>The policy r</w:t>
            </w:r>
            <w:r w:rsidRPr="00171CF8">
              <w:t xml:space="preserve">equires </w:t>
            </w:r>
            <w:r w:rsidR="001C5FD9" w:rsidRPr="00171CF8">
              <w:t>contractors to meet targets for female participation in trades and apprenticeships on government construction projects and to develop and comply with gender equality action plans (GEAPs).</w:t>
            </w:r>
          </w:p>
          <w:p w14:paraId="70C20818" w14:textId="38AC9103" w:rsidR="001C5FD9" w:rsidRPr="00171CF8" w:rsidRDefault="00E25AC4" w:rsidP="00171CF8">
            <w:pPr>
              <w:pStyle w:val="Tabletext"/>
              <w:cnfStyle w:val="000000000000" w:firstRow="0" w:lastRow="0" w:firstColumn="0" w:lastColumn="0" w:oddVBand="0" w:evenVBand="0" w:oddHBand="0" w:evenHBand="0" w:firstRowFirstColumn="0" w:firstRowLastColumn="0" w:lastRowFirstColumn="0" w:lastRowLastColumn="0"/>
            </w:pPr>
            <w:r>
              <w:t>A</w:t>
            </w:r>
            <w:r w:rsidR="001C5FD9" w:rsidRPr="00171CF8">
              <w:t xml:space="preserve">gencies </w:t>
            </w:r>
            <w:r>
              <w:t>must</w:t>
            </w:r>
            <w:r w:rsidRPr="00171CF8">
              <w:t xml:space="preserve"> </w:t>
            </w:r>
            <w:r w:rsidR="001C5FD9" w:rsidRPr="00171CF8">
              <w:t>include contractor obligations for gender equality, including targets and GEAP requirements, in tender and contract documentation.</w:t>
            </w:r>
          </w:p>
          <w:p w14:paraId="5EBD74C8" w14:textId="5716C81D" w:rsidR="001C5FD9" w:rsidRPr="00171CF8" w:rsidRDefault="00894832" w:rsidP="00171CF8">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237" w:history="1">
              <w:r w:rsidR="001C5FD9" w:rsidRPr="00171CF8">
                <w:rPr>
                  <w:rStyle w:val="Hyperlink"/>
                </w:rPr>
                <w:t>https://www.vic.gov.au/building-equality-</w:t>
              </w:r>
              <w:bookmarkStart w:id="490" w:name="_Hlt145502830"/>
              <w:r w:rsidR="001C5FD9" w:rsidRPr="00171CF8">
                <w:rPr>
                  <w:rStyle w:val="Hyperlink"/>
                </w:rPr>
                <w:t>p</w:t>
              </w:r>
              <w:bookmarkEnd w:id="490"/>
              <w:r w:rsidR="001C5FD9" w:rsidRPr="00171CF8">
                <w:rPr>
                  <w:rStyle w:val="Hyperlink"/>
                </w:rPr>
                <w:t>olicy</w:t>
              </w:r>
            </w:hyperlink>
          </w:p>
        </w:tc>
        <w:tc>
          <w:tcPr>
            <w:tcW w:w="2430" w:type="dxa"/>
          </w:tcPr>
          <w:p w14:paraId="2536046F"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Tendering, contracting, contract management</w:t>
            </w:r>
          </w:p>
        </w:tc>
      </w:tr>
      <w:tr w:rsidR="001C5FD9" w:rsidRPr="004B5A4E" w14:paraId="2E523A86"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6718C940" w14:textId="77777777" w:rsidR="001C5FD9" w:rsidRPr="00F45635" w:rsidRDefault="001C5FD9" w:rsidP="00F7602B">
            <w:pPr>
              <w:rPr>
                <w:rFonts w:ascii="VIC" w:hAnsi="VIC"/>
                <w:szCs w:val="17"/>
              </w:rPr>
            </w:pPr>
            <w:r w:rsidRPr="00F45635">
              <w:rPr>
                <w:rFonts w:ascii="VIC" w:hAnsi="VIC"/>
                <w:szCs w:val="17"/>
              </w:rPr>
              <w:t>DataVic Access Policy</w:t>
            </w:r>
          </w:p>
          <w:p w14:paraId="3CED89CC" w14:textId="2292604B" w:rsidR="001C5FD9" w:rsidRPr="00F45635" w:rsidRDefault="00367DC9" w:rsidP="00F7602B">
            <w:pPr>
              <w:rPr>
                <w:rFonts w:ascii="VIC" w:hAnsi="VIC"/>
                <w:szCs w:val="17"/>
              </w:rPr>
            </w:pPr>
            <w:r w:rsidRPr="00F45635">
              <w:rPr>
                <w:rFonts w:ascii="VIC SemiBold" w:hAnsi="VIC SemiBold"/>
                <w:noProof/>
                <w:color w:val="C00000"/>
                <w:szCs w:val="17"/>
              </w:rPr>
              <w:drawing>
                <wp:inline distT="0" distB="0" distL="0" distR="0" wp14:anchorId="6484D01F" wp14:editId="56311BEA">
                  <wp:extent cx="411480" cy="411480"/>
                  <wp:effectExtent l="0" t="0" r="7620" b="7620"/>
                  <wp:docPr id="515" name="Graphic 515" descr="Continuous improv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ontinuous improvement icon"/>
                          <pic:cNvPicPr/>
                        </pic:nvPicPr>
                        <pic:blipFill>
                          <a:blip r:embed="rId52" cstate="screen">
                            <a:extLst>
                              <a:ext uri="{28A0092B-C50C-407E-A947-70E740481C1C}">
                                <a14:useLocalDpi xmlns:a14="http://schemas.microsoft.com/office/drawing/2010/main"/>
                              </a:ext>
                              <a:ext uri="{96DAC541-7B7A-43D3-8B79-37D633B846F1}">
                                <asvg:svgBlip xmlns:asvg="http://schemas.microsoft.com/office/drawing/2016/SVG/main" r:embed="rId53"/>
                              </a:ext>
                            </a:extLst>
                          </a:blip>
                          <a:stretch>
                            <a:fillRect/>
                          </a:stretch>
                        </pic:blipFill>
                        <pic:spPr>
                          <a:xfrm>
                            <a:off x="0" y="0"/>
                            <a:ext cx="411480" cy="411480"/>
                          </a:xfrm>
                          <a:prstGeom prst="rect">
                            <a:avLst/>
                          </a:prstGeom>
                        </pic:spPr>
                      </pic:pic>
                    </a:graphicData>
                  </a:graphic>
                </wp:inline>
              </w:drawing>
            </w:r>
          </w:p>
        </w:tc>
        <w:tc>
          <w:tcPr>
            <w:tcW w:w="2700" w:type="dxa"/>
          </w:tcPr>
          <w:p w14:paraId="7FCC2003" w14:textId="00AB265C"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rPr>
            </w:pPr>
            <w:r w:rsidRPr="579CF4D6">
              <w:rPr>
                <w:rFonts w:ascii="VIC" w:hAnsi="VIC" w:hint="eastAsia"/>
              </w:rPr>
              <w:t>Provides public sharing of, and access to, government data to support research and education, promote innovation and to support evidence-based decision</w:t>
            </w:r>
            <w:r w:rsidR="000B5E7B" w:rsidRPr="579CF4D6">
              <w:rPr>
                <w:rFonts w:ascii="VIC" w:hAnsi="VIC" w:hint="eastAsia"/>
              </w:rPr>
              <w:t>-</w:t>
            </w:r>
            <w:r w:rsidRPr="579CF4D6">
              <w:rPr>
                <w:rFonts w:ascii="VIC" w:hAnsi="VIC" w:hint="eastAsia"/>
              </w:rPr>
              <w:t>making in the public sector</w:t>
            </w:r>
          </w:p>
        </w:tc>
        <w:tc>
          <w:tcPr>
            <w:tcW w:w="7020" w:type="dxa"/>
          </w:tcPr>
          <w:p w14:paraId="277F9434" w14:textId="4B9F7F85" w:rsidR="00B14D5C" w:rsidRPr="00171CF8" w:rsidRDefault="00BF2490" w:rsidP="00171CF8">
            <w:pPr>
              <w:pStyle w:val="Tabletext"/>
              <w:cnfStyle w:val="000000010000" w:firstRow="0" w:lastRow="0" w:firstColumn="0" w:lastColumn="0" w:oddVBand="0" w:evenVBand="0" w:oddHBand="0" w:evenHBand="1" w:firstRowFirstColumn="0" w:firstRowLastColumn="0" w:lastRowFirstColumn="0" w:lastRowLastColumn="0"/>
            </w:pPr>
            <w:r>
              <w:t>The policy r</w:t>
            </w:r>
            <w:r w:rsidR="001C5FD9" w:rsidRPr="00171CF8">
              <w:t>equires agencies to mandate policy compliance in contracts to ensure any datasets created under the contract are in the required format and can be made publicly accessible where appropriate</w:t>
            </w:r>
            <w:r w:rsidR="001C5FD9">
              <w:t>.</w:t>
            </w:r>
          </w:p>
          <w:p w14:paraId="54F5092D" w14:textId="656942FD"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u w:val="single"/>
              </w:rPr>
            </w:pPr>
            <w:hyperlink r:id="rId238" w:history="1">
              <w:r w:rsidR="00B14D5C" w:rsidRPr="009E7AC7">
                <w:rPr>
                  <w:rStyle w:val="Hyperlink"/>
                  <w:rFonts w:ascii="VIC" w:hAnsi="VIC" w:hint="eastAsia"/>
                  <w:szCs w:val="17"/>
                </w:rPr>
                <w:t>https://www.data.vic.gov.au/datavic-access-policy</w:t>
              </w:r>
            </w:hyperlink>
          </w:p>
        </w:tc>
        <w:tc>
          <w:tcPr>
            <w:tcW w:w="2430" w:type="dxa"/>
          </w:tcPr>
          <w:p w14:paraId="576DE760"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Contracting, contract management</w:t>
            </w:r>
          </w:p>
        </w:tc>
      </w:tr>
      <w:tr w:rsidR="001C5FD9" w:rsidRPr="004B5A4E" w14:paraId="158EBFB4"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239BE8B2" w14:textId="77777777" w:rsidR="001C5FD9" w:rsidRPr="00F45635" w:rsidRDefault="001C5FD9" w:rsidP="00F7602B">
            <w:pPr>
              <w:rPr>
                <w:rFonts w:ascii="VIC" w:hAnsi="VIC"/>
                <w:szCs w:val="17"/>
              </w:rPr>
            </w:pPr>
            <w:r w:rsidRPr="00F45635">
              <w:rPr>
                <w:rFonts w:ascii="VIC" w:hAnsi="VIC"/>
                <w:szCs w:val="17"/>
              </w:rPr>
              <w:t>Digital Asset Policy</w:t>
            </w:r>
          </w:p>
          <w:p w14:paraId="2F3AA91D" w14:textId="6C272E9E" w:rsidR="001C5FD9" w:rsidRPr="00F45635" w:rsidRDefault="00367DC9" w:rsidP="00F7602B">
            <w:pPr>
              <w:rPr>
                <w:rFonts w:ascii="VIC" w:hAnsi="VIC"/>
                <w:szCs w:val="17"/>
              </w:rPr>
            </w:pPr>
            <w:r w:rsidRPr="00F45635">
              <w:rPr>
                <w:rFonts w:ascii="VIC SemiBold" w:hAnsi="VIC SemiBold"/>
                <w:noProof/>
                <w:color w:val="C00000"/>
                <w:szCs w:val="17"/>
              </w:rPr>
              <w:drawing>
                <wp:inline distT="0" distB="0" distL="0" distR="0" wp14:anchorId="36344541" wp14:editId="0E51B126">
                  <wp:extent cx="411480" cy="411480"/>
                  <wp:effectExtent l="0" t="0" r="7620" b="7620"/>
                  <wp:docPr id="516" name="Graphic 516" descr="Continuous improv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ontinuous improvement icon"/>
                          <pic:cNvPicPr/>
                        </pic:nvPicPr>
                        <pic:blipFill>
                          <a:blip r:embed="rId52" cstate="screen">
                            <a:extLst>
                              <a:ext uri="{28A0092B-C50C-407E-A947-70E740481C1C}">
                                <a14:useLocalDpi xmlns:a14="http://schemas.microsoft.com/office/drawing/2010/main"/>
                              </a:ext>
                              <a:ext uri="{96DAC541-7B7A-43D3-8B79-37D633B846F1}">
                                <asvg:svgBlip xmlns:asvg="http://schemas.microsoft.com/office/drawing/2016/SVG/main" r:embed="rId53"/>
                              </a:ext>
                            </a:extLst>
                          </a:blip>
                          <a:stretch>
                            <a:fillRect/>
                          </a:stretch>
                        </pic:blipFill>
                        <pic:spPr>
                          <a:xfrm>
                            <a:off x="0" y="0"/>
                            <a:ext cx="411480" cy="411480"/>
                          </a:xfrm>
                          <a:prstGeom prst="rect">
                            <a:avLst/>
                          </a:prstGeom>
                        </pic:spPr>
                      </pic:pic>
                    </a:graphicData>
                  </a:graphic>
                </wp:inline>
              </w:drawing>
            </w:r>
          </w:p>
        </w:tc>
        <w:tc>
          <w:tcPr>
            <w:tcW w:w="2700" w:type="dxa"/>
          </w:tcPr>
          <w:p w14:paraId="78769D11" w14:textId="5AB9EBE4"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b/>
                <w:szCs w:val="17"/>
              </w:rPr>
            </w:pPr>
            <w:r w:rsidRPr="00504DD2">
              <w:rPr>
                <w:rFonts w:ascii="VIC" w:hAnsi="VIC" w:hint="eastAsia"/>
                <w:szCs w:val="17"/>
              </w:rPr>
              <w:t>Drives increased use of digital technologies and promotes increased productivity in the construction of government assets</w:t>
            </w:r>
          </w:p>
        </w:tc>
        <w:tc>
          <w:tcPr>
            <w:tcW w:w="7020" w:type="dxa"/>
          </w:tcPr>
          <w:p w14:paraId="4563B4AA" w14:textId="6DB007CE" w:rsidR="000B5E7B" w:rsidRPr="00171CF8" w:rsidRDefault="00BF2490" w:rsidP="00171CF8">
            <w:pPr>
              <w:pStyle w:val="Tabletext"/>
              <w:cnfStyle w:val="000000000000" w:firstRow="0" w:lastRow="0" w:firstColumn="0" w:lastColumn="0" w:oddVBand="0" w:evenVBand="0" w:oddHBand="0" w:evenHBand="0" w:firstRowFirstColumn="0" w:firstRowLastColumn="0" w:lastRowFirstColumn="0" w:lastRowLastColumn="0"/>
            </w:pPr>
            <w:r>
              <w:t>The policy i</w:t>
            </w:r>
            <w:r w:rsidR="001C5FD9" w:rsidRPr="00171CF8">
              <w:t>dentifies how to implement and manage digital processes and technologies, such</w:t>
            </w:r>
            <w:r w:rsidR="001C5FD9">
              <w:t xml:space="preserve"> </w:t>
            </w:r>
            <w:r w:rsidR="000B5E7B">
              <w:t xml:space="preserve">as </w:t>
            </w:r>
            <w:r w:rsidR="001C5FD9">
              <w:t>Bu</w:t>
            </w:r>
            <w:r w:rsidR="001C5FD9" w:rsidRPr="00171CF8">
              <w:t>ilding Information Modelling and Digital Engineering, on government investments</w:t>
            </w:r>
            <w:r w:rsidR="001C5FD9">
              <w:t>.</w:t>
            </w:r>
          </w:p>
          <w:p w14:paraId="797485B7" w14:textId="7652BDD5" w:rsidR="001C5FD9" w:rsidRPr="00171CF8" w:rsidRDefault="00894832" w:rsidP="00171CF8">
            <w:pPr>
              <w:pStyle w:val="Tabletext"/>
              <w:cnfStyle w:val="000000000000" w:firstRow="0" w:lastRow="0" w:firstColumn="0" w:lastColumn="0" w:oddVBand="0" w:evenVBand="0" w:oddHBand="0" w:evenHBand="0" w:firstRowFirstColumn="0" w:firstRowLastColumn="0" w:lastRowFirstColumn="0" w:lastRowLastColumn="0"/>
              <w:rPr>
                <w:b/>
                <w:u w:val="single"/>
              </w:rPr>
            </w:pPr>
            <w:hyperlink r:id="rId239" w:history="1">
              <w:r w:rsidR="000B5E7B" w:rsidRPr="009E7AC7">
                <w:rPr>
                  <w:rStyle w:val="Hyperlink"/>
                  <w:rFonts w:ascii="VIC" w:hAnsi="VIC" w:hint="eastAsia"/>
                  <w:szCs w:val="17"/>
                </w:rPr>
                <w:t>https://www.vic.gov.au/digital-asset-policy</w:t>
              </w:r>
            </w:hyperlink>
          </w:p>
        </w:tc>
        <w:tc>
          <w:tcPr>
            <w:tcW w:w="2430" w:type="dxa"/>
          </w:tcPr>
          <w:p w14:paraId="063AB718"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Contracting, contract management</w:t>
            </w:r>
          </w:p>
        </w:tc>
      </w:tr>
      <w:tr w:rsidR="001C5FD9" w:rsidRPr="004B5A4E" w14:paraId="7E2BD270"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205D27C5" w14:textId="77777777" w:rsidR="001C5FD9" w:rsidRPr="00F45635" w:rsidRDefault="001C5FD9" w:rsidP="00F7602B">
            <w:pPr>
              <w:rPr>
                <w:rFonts w:ascii="VIC" w:hAnsi="VIC"/>
                <w:szCs w:val="17"/>
              </w:rPr>
            </w:pPr>
            <w:r w:rsidRPr="00F45635">
              <w:rPr>
                <w:rFonts w:ascii="VIC" w:hAnsi="VIC"/>
                <w:szCs w:val="17"/>
              </w:rPr>
              <w:t>Fair Jobs Code</w:t>
            </w:r>
          </w:p>
          <w:p w14:paraId="30CB8011" w14:textId="13647443"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0FCCF467" wp14:editId="44C8C086">
                  <wp:extent cx="411480" cy="411480"/>
                  <wp:effectExtent l="0" t="0" r="0" b="7620"/>
                  <wp:docPr id="1940597817" name="Graphic 1940597817"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09FCDB4E" w14:textId="5664E0EB"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4F0C3E">
              <w:rPr>
                <w:rFonts w:ascii="VIC" w:hAnsi="VIC"/>
                <w:szCs w:val="17"/>
              </w:rPr>
              <w:t>P</w:t>
            </w:r>
            <w:r w:rsidRPr="00504DD2">
              <w:rPr>
                <w:rFonts w:ascii="VIC" w:hAnsi="VIC" w:hint="eastAsia"/>
                <w:szCs w:val="17"/>
              </w:rPr>
              <w:t>romote</w:t>
            </w:r>
            <w:r w:rsidRPr="004F0C3E">
              <w:rPr>
                <w:rFonts w:ascii="VIC" w:hAnsi="VIC"/>
                <w:szCs w:val="17"/>
              </w:rPr>
              <w:t>s</w:t>
            </w:r>
            <w:r w:rsidRPr="00504DD2">
              <w:rPr>
                <w:rFonts w:ascii="VIC" w:hAnsi="VIC" w:hint="eastAsia"/>
                <w:szCs w:val="17"/>
              </w:rPr>
              <w:t xml:space="preserve"> secure employment and fair labour standards, and ensure compliance with employment, workplace and industrial laws</w:t>
            </w:r>
          </w:p>
        </w:tc>
        <w:tc>
          <w:tcPr>
            <w:tcW w:w="7020" w:type="dxa"/>
          </w:tcPr>
          <w:p w14:paraId="4475EB9E" w14:textId="31E4D67F" w:rsidR="001C5FD9" w:rsidRPr="00171CF8" w:rsidRDefault="00BF2490" w:rsidP="00171CF8">
            <w:pPr>
              <w:pStyle w:val="Tabletext"/>
              <w:cnfStyle w:val="000000010000" w:firstRow="0" w:lastRow="0" w:firstColumn="0" w:lastColumn="0" w:oddVBand="0" w:evenVBand="0" w:oddHBand="0" w:evenHBand="1" w:firstRowFirstColumn="0" w:firstRowLastColumn="0" w:lastRowFirstColumn="0" w:lastRowLastColumn="0"/>
            </w:pPr>
            <w:r>
              <w:t>The code r</w:t>
            </w:r>
            <w:r w:rsidRPr="00171CF8">
              <w:t xml:space="preserve">equires </w:t>
            </w:r>
            <w:r w:rsidR="001C5FD9" w:rsidRPr="00171CF8">
              <w:t>agencies to ensure suppliers hold</w:t>
            </w:r>
            <w:r w:rsidR="001C5FD9">
              <w:t xml:space="preserve"> a</w:t>
            </w:r>
            <w:r w:rsidR="00644AF6">
              <w:t xml:space="preserve"> Fair Jobs Code</w:t>
            </w:r>
            <w:r w:rsidR="001C5FD9">
              <w:t xml:space="preserve"> Pre</w:t>
            </w:r>
            <w:r w:rsidR="001C5FD9" w:rsidRPr="00171CF8">
              <w:t>-Assessment Certificate when tendering for contracts that meet value thresholds.</w:t>
            </w:r>
          </w:p>
          <w:p w14:paraId="7ADCF3A5" w14:textId="7592BCA2" w:rsidR="001C5FD9" w:rsidRPr="00171CF8" w:rsidRDefault="00E25AC4" w:rsidP="00171CF8">
            <w:pPr>
              <w:pStyle w:val="Tabletext"/>
              <w:cnfStyle w:val="000000010000" w:firstRow="0" w:lastRow="0" w:firstColumn="0" w:lastColumn="0" w:oddVBand="0" w:evenVBand="0" w:oddHBand="0" w:evenHBand="1" w:firstRowFirstColumn="0" w:firstRowLastColumn="0" w:lastRowFirstColumn="0" w:lastRowLastColumn="0"/>
            </w:pPr>
            <w:r>
              <w:t>Agencies must</w:t>
            </w:r>
            <w:r w:rsidR="001C5FD9" w:rsidRPr="00171CF8">
              <w:t xml:space="preserve"> ensure subcontractors delivering work hold a Pre-Assessment Certificate where works meet value thresholds.</w:t>
            </w:r>
          </w:p>
          <w:p w14:paraId="097C0CB0" w14:textId="680B9E81" w:rsidR="001C5FD9" w:rsidRPr="00171CF8" w:rsidRDefault="00E25AC4" w:rsidP="00171CF8">
            <w:pPr>
              <w:pStyle w:val="Tabletext"/>
              <w:cnfStyle w:val="000000010000" w:firstRow="0" w:lastRow="0" w:firstColumn="0" w:lastColumn="0" w:oddVBand="0" w:evenVBand="0" w:oddHBand="0" w:evenHBand="1" w:firstRowFirstColumn="0" w:firstRowLastColumn="0" w:lastRowFirstColumn="0" w:lastRowLastColumn="0"/>
            </w:pPr>
            <w:r>
              <w:t>Agencies must</w:t>
            </w:r>
            <w:r w:rsidR="001C5FD9" w:rsidRPr="00171CF8">
              <w:t xml:space="preserve"> ensure tenderers prepare a Fair Jobs Code Plan when tendering for procurements where the contract meets value thresholds.</w:t>
            </w:r>
          </w:p>
          <w:p w14:paraId="76FF6645" w14:textId="4143F60B"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rPr>
            </w:pPr>
            <w:hyperlink r:id="rId240" w:history="1">
              <w:r w:rsidR="001C5FD9" w:rsidRPr="00171CF8">
                <w:rPr>
                  <w:rStyle w:val="Hyperlink"/>
                  <w:color w:val="232B39" w:themeColor="text1"/>
                </w:rPr>
                <w:t>https://www.buyingfor.vic.gov.au/fair</w:t>
              </w:r>
              <w:bookmarkStart w:id="491" w:name="_Hlt145503011"/>
              <w:r w:rsidR="001C5FD9" w:rsidRPr="00171CF8">
                <w:rPr>
                  <w:rStyle w:val="Hyperlink"/>
                  <w:color w:val="232B39" w:themeColor="text1"/>
                </w:rPr>
                <w:t>-</w:t>
              </w:r>
              <w:bookmarkEnd w:id="491"/>
              <w:r w:rsidR="001C5FD9" w:rsidRPr="00171CF8">
                <w:rPr>
                  <w:rStyle w:val="Hyperlink"/>
                  <w:color w:val="232B39" w:themeColor="text1"/>
                </w:rPr>
                <w:t>jobs-code-suppliers-and-businesses</w:t>
              </w:r>
            </w:hyperlink>
          </w:p>
        </w:tc>
        <w:tc>
          <w:tcPr>
            <w:tcW w:w="2430" w:type="dxa"/>
          </w:tcPr>
          <w:p w14:paraId="3F0356F5"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Tendering, contracting, contract management</w:t>
            </w:r>
          </w:p>
        </w:tc>
      </w:tr>
      <w:tr w:rsidR="001C5FD9" w:rsidRPr="004B5A4E" w14:paraId="25D1CB26"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7234FFEE" w14:textId="77777777" w:rsidR="001C5FD9" w:rsidRPr="00F45635" w:rsidRDefault="001C5FD9" w:rsidP="00F7602B">
            <w:pPr>
              <w:rPr>
                <w:rFonts w:ascii="VIC" w:hAnsi="VIC"/>
                <w:szCs w:val="17"/>
              </w:rPr>
            </w:pPr>
            <w:r w:rsidRPr="00F45635">
              <w:rPr>
                <w:rFonts w:ascii="VIC" w:hAnsi="VIC"/>
                <w:szCs w:val="17"/>
              </w:rPr>
              <w:t>Fair Payments Policy</w:t>
            </w:r>
          </w:p>
          <w:p w14:paraId="764B475E" w14:textId="2C7D49D4"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5D860668" wp14:editId="79B0AD0D">
                  <wp:extent cx="411480" cy="411480"/>
                  <wp:effectExtent l="0" t="0" r="0" b="7620"/>
                  <wp:docPr id="1940597818" name="Graphic 1940597818"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40FDCF5E" w14:textId="17BB9C5B"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Prescribes payment terms for contracts that do not exceed $3</w:t>
            </w:r>
            <w:r w:rsidRPr="00600395">
              <w:rPr>
                <w:rFonts w:ascii="Calibri" w:hAnsi="Calibri" w:cs="Calibri"/>
              </w:rPr>
              <w:t> </w:t>
            </w:r>
            <w:r w:rsidRPr="00171CF8">
              <w:t xml:space="preserve">million (GST </w:t>
            </w:r>
            <w:r w:rsidR="00644AF6">
              <w:t>excl.</w:t>
            </w:r>
            <w:r>
              <w:t xml:space="preserve">) </w:t>
            </w:r>
            <w:r w:rsidRPr="00171CF8">
              <w:t>to support small and medium businesses by increasing the timeliness and certainty of cash flow</w:t>
            </w:r>
          </w:p>
        </w:tc>
        <w:tc>
          <w:tcPr>
            <w:tcW w:w="7020" w:type="dxa"/>
          </w:tcPr>
          <w:p w14:paraId="64092A7A" w14:textId="4C4D7CE7" w:rsidR="001C5FD9" w:rsidRPr="00171CF8" w:rsidRDefault="00BF2490" w:rsidP="00171CF8">
            <w:pPr>
              <w:pStyle w:val="Tabletext"/>
              <w:cnfStyle w:val="000000000000" w:firstRow="0" w:lastRow="0" w:firstColumn="0" w:lastColumn="0" w:oddVBand="0" w:evenVBand="0" w:oddHBand="0" w:evenHBand="0" w:firstRowFirstColumn="0" w:firstRowLastColumn="0" w:lastRowFirstColumn="0" w:lastRowLastColumn="0"/>
            </w:pPr>
            <w:r>
              <w:rPr>
                <w:rFonts w:cs="Arial"/>
              </w:rPr>
              <w:t>The policy r</w:t>
            </w:r>
            <w:r w:rsidRPr="00171CF8">
              <w:rPr>
                <w:rFonts w:cs="Arial"/>
              </w:rPr>
              <w:t xml:space="preserve">equires </w:t>
            </w:r>
            <w:r w:rsidR="001C5FD9" w:rsidRPr="00171CF8">
              <w:rPr>
                <w:rFonts w:cs="Arial"/>
              </w:rPr>
              <w:t xml:space="preserve">agencies to comply with </w:t>
            </w:r>
            <w:r w:rsidR="00644AF6" w:rsidRPr="579CF4D6">
              <w:rPr>
                <w:rFonts w:cs="Arial"/>
              </w:rPr>
              <w:t>10</w:t>
            </w:r>
            <w:r w:rsidR="00E25AC4">
              <w:rPr>
                <w:rFonts w:cs="Arial"/>
              </w:rPr>
              <w:t>-</w:t>
            </w:r>
            <w:r w:rsidR="001C5FD9" w:rsidRPr="579CF4D6">
              <w:rPr>
                <w:rFonts w:cs="Arial"/>
              </w:rPr>
              <w:t>bu</w:t>
            </w:r>
            <w:r w:rsidR="001C5FD9" w:rsidRPr="00171CF8">
              <w:rPr>
                <w:rFonts w:cs="Arial"/>
              </w:rPr>
              <w:t>siness</w:t>
            </w:r>
            <w:r w:rsidR="00E25AC4">
              <w:rPr>
                <w:rFonts w:cs="Arial"/>
              </w:rPr>
              <w:t>-</w:t>
            </w:r>
            <w:r w:rsidR="001C5FD9" w:rsidRPr="00171CF8">
              <w:rPr>
                <w:rFonts w:cs="Arial"/>
              </w:rPr>
              <w:t xml:space="preserve">day payment terms </w:t>
            </w:r>
            <w:r w:rsidR="001C5FD9" w:rsidRPr="00171CF8">
              <w:t>for contracts entered into from 1 January 2021 where the value of the goods or services does not exceed $3 million.</w:t>
            </w:r>
          </w:p>
          <w:p w14:paraId="4EAF88A6"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Penalties apply for late payment.</w:t>
            </w:r>
          </w:p>
          <w:p w14:paraId="1AB5C1E0" w14:textId="42693C68" w:rsidR="001C5FD9" w:rsidRPr="004F0C3E"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 xml:space="preserve">A standard clause has been drafted for use by departments and agencies. Each agency should consult its legal officers to ensure that the clause is appropriately tailored on </w:t>
            </w:r>
            <w:r>
              <w:t>a case-by-case basis.</w:t>
            </w:r>
          </w:p>
          <w:p w14:paraId="3F1A2B96" w14:textId="55DFC5CD" w:rsidR="001C5FD9" w:rsidRPr="000A03D9" w:rsidRDefault="00894832" w:rsidP="579CF4D6">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241" w:history="1">
              <w:r w:rsidR="00644AF6" w:rsidRPr="579CF4D6">
                <w:rPr>
                  <w:rStyle w:val="Hyperlink"/>
                </w:rPr>
                <w:t>https://djsir.vic.gov.au/what-we-do/employment-and-small-business/contracts-for-fair-payments</w:t>
              </w:r>
            </w:hyperlink>
          </w:p>
        </w:tc>
        <w:tc>
          <w:tcPr>
            <w:tcW w:w="2430" w:type="dxa"/>
          </w:tcPr>
          <w:p w14:paraId="6A06E6D1"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Contract management</w:t>
            </w:r>
          </w:p>
        </w:tc>
      </w:tr>
      <w:tr w:rsidR="001C5FD9" w:rsidRPr="004B5A4E" w14:paraId="052BE06D"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7C6B47DE" w14:textId="77777777" w:rsidR="001C5FD9" w:rsidRPr="00F45635" w:rsidRDefault="001C5FD9" w:rsidP="00F7602B">
            <w:pPr>
              <w:rPr>
                <w:rFonts w:ascii="VIC" w:hAnsi="VIC"/>
                <w:szCs w:val="17"/>
              </w:rPr>
            </w:pPr>
            <w:r w:rsidRPr="00F45635">
              <w:rPr>
                <w:rFonts w:ascii="VIC" w:hAnsi="VIC"/>
                <w:szCs w:val="17"/>
              </w:rPr>
              <w:t>Prohibition of High-Risk External Wall Cladding Products Declaration</w:t>
            </w:r>
          </w:p>
          <w:p w14:paraId="3AB11266" w14:textId="768CB85A"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0F894BE9" wp14:editId="2131DCD3">
                  <wp:extent cx="411480" cy="411480"/>
                  <wp:effectExtent l="0" t="0" r="0" b="7620"/>
                  <wp:docPr id="1940597819" name="Graphic 1940597819"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361BAB8C" w14:textId="1B99EB1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rPr>
                <w:b/>
                <w:bCs/>
              </w:rPr>
            </w:pPr>
            <w:r w:rsidRPr="00171CF8">
              <w:t xml:space="preserve">Reduces the risk of death or serious injury to building occupants, members of the public and occupants of neighbouring buildings and/or severe damage to property in the event of a fire </w:t>
            </w:r>
          </w:p>
        </w:tc>
        <w:tc>
          <w:tcPr>
            <w:tcW w:w="7020" w:type="dxa"/>
          </w:tcPr>
          <w:p w14:paraId="3B4EE553" w14:textId="10684D6A" w:rsidR="00702128" w:rsidRPr="00171CF8" w:rsidRDefault="00BF2490" w:rsidP="00171CF8">
            <w:pPr>
              <w:pStyle w:val="Tabletext"/>
              <w:cnfStyle w:val="000000010000" w:firstRow="0" w:lastRow="0" w:firstColumn="0" w:lastColumn="0" w:oddVBand="0" w:evenVBand="0" w:oddHBand="0" w:evenHBand="1" w:firstRowFirstColumn="0" w:firstRowLastColumn="0" w:lastRowFirstColumn="0" w:lastRowLastColumn="0"/>
              <w:rPr>
                <w:rFonts w:cs="Arial"/>
              </w:rPr>
            </w:pPr>
            <w:r>
              <w:t>This declaration r</w:t>
            </w:r>
            <w:r w:rsidR="001C5FD9" w:rsidRPr="00171CF8">
              <w:t>equires a</w:t>
            </w:r>
            <w:r w:rsidR="001C5FD9" w:rsidRPr="00171CF8">
              <w:rPr>
                <w:rFonts w:cs="Arial"/>
              </w:rPr>
              <w:t xml:space="preserve">gencies to ensure that their contracts prohibit the installation or design of </w:t>
            </w:r>
            <w:r w:rsidR="00E25AC4">
              <w:rPr>
                <w:rFonts w:cs="Arial"/>
              </w:rPr>
              <w:t>p</w:t>
            </w:r>
            <w:r w:rsidR="00E25AC4" w:rsidRPr="00171CF8">
              <w:rPr>
                <w:rFonts w:cs="Arial"/>
              </w:rPr>
              <w:t xml:space="preserve">rohibited </w:t>
            </w:r>
            <w:r w:rsidR="00E25AC4">
              <w:rPr>
                <w:rFonts w:cs="Arial"/>
              </w:rPr>
              <w:t>c</w:t>
            </w:r>
            <w:r w:rsidR="00E25AC4" w:rsidRPr="00171CF8">
              <w:rPr>
                <w:rFonts w:cs="Arial"/>
              </w:rPr>
              <w:t xml:space="preserve">ladding </w:t>
            </w:r>
            <w:r w:rsidR="00E25AC4">
              <w:rPr>
                <w:rFonts w:cs="Arial"/>
              </w:rPr>
              <w:t>p</w:t>
            </w:r>
            <w:r w:rsidR="00E25AC4" w:rsidRPr="00171CF8">
              <w:rPr>
                <w:rFonts w:cs="Arial"/>
              </w:rPr>
              <w:t xml:space="preserve">roducts </w:t>
            </w:r>
            <w:r w:rsidR="001C5FD9" w:rsidRPr="00171CF8">
              <w:rPr>
                <w:rFonts w:cs="Arial"/>
              </w:rPr>
              <w:t>into any building work where applicable</w:t>
            </w:r>
            <w:r w:rsidR="001C5FD9" w:rsidRPr="17EE2EEC">
              <w:rPr>
                <w:rFonts w:cs="Arial"/>
              </w:rPr>
              <w:t>.</w:t>
            </w:r>
          </w:p>
          <w:p w14:paraId="5E90E131" w14:textId="5A631157"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u w:val="single"/>
              </w:rPr>
            </w:pPr>
            <w:hyperlink r:id="rId242" w:history="1">
              <w:r w:rsidR="000B5E7B" w:rsidRPr="009E7AC7">
                <w:rPr>
                  <w:rStyle w:val="Hyperlink"/>
                  <w:rFonts w:ascii="VIC" w:hAnsi="VIC" w:hint="eastAsia"/>
                  <w:szCs w:val="17"/>
                </w:rPr>
                <w:t>https://www.planning.v</w:t>
              </w:r>
              <w:bookmarkStart w:id="492" w:name="_Hlt145503101"/>
              <w:r w:rsidR="000B5E7B" w:rsidRPr="009E7AC7">
                <w:rPr>
                  <w:rStyle w:val="Hyperlink"/>
                  <w:rFonts w:ascii="VIC" w:hAnsi="VIC" w:hint="eastAsia"/>
                  <w:szCs w:val="17"/>
                </w:rPr>
                <w:t>i</w:t>
              </w:r>
              <w:bookmarkEnd w:id="492"/>
              <w:r w:rsidR="000B5E7B" w:rsidRPr="009E7AC7">
                <w:rPr>
                  <w:rStyle w:val="Hyperlink"/>
                  <w:rFonts w:ascii="VIC" w:hAnsi="VIC" w:hint="eastAsia"/>
                  <w:szCs w:val="17"/>
                </w:rPr>
                <w:t>c.gov.au/building-policy/cladding-rectification-program</w:t>
              </w:r>
            </w:hyperlink>
          </w:p>
        </w:tc>
        <w:tc>
          <w:tcPr>
            <w:tcW w:w="2430" w:type="dxa"/>
          </w:tcPr>
          <w:p w14:paraId="771BEBA4"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Contracting, contract management</w:t>
            </w:r>
          </w:p>
        </w:tc>
      </w:tr>
      <w:tr w:rsidR="001C5FD9" w:rsidRPr="004B5A4E" w14:paraId="4C6E547B"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7F4D7429" w14:textId="29C77AE8" w:rsidR="001C5FD9" w:rsidRPr="00F45635" w:rsidRDefault="005561D3" w:rsidP="00F7602B">
            <w:pPr>
              <w:rPr>
                <w:rFonts w:ascii="VIC" w:hAnsi="VIC"/>
                <w:szCs w:val="17"/>
              </w:rPr>
            </w:pPr>
            <w:bookmarkStart w:id="493" w:name="OLE_LINK45"/>
            <w:bookmarkStart w:id="494" w:name="OLE_LINK46"/>
            <w:r>
              <w:rPr>
                <w:rFonts w:ascii="VIC" w:hAnsi="VIC"/>
                <w:szCs w:val="17"/>
              </w:rPr>
              <w:t xml:space="preserve">Victorian </w:t>
            </w:r>
            <w:r w:rsidR="001C5FD9" w:rsidRPr="00F45635">
              <w:rPr>
                <w:rFonts w:ascii="VIC" w:hAnsi="VIC"/>
                <w:szCs w:val="17"/>
              </w:rPr>
              <w:t>Protective Data Security Standards</w:t>
            </w:r>
          </w:p>
          <w:bookmarkEnd w:id="493"/>
          <w:bookmarkEnd w:id="494"/>
          <w:p w14:paraId="596E3C6F" w14:textId="249ACFBA"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621FC778" wp14:editId="78342992">
                  <wp:extent cx="411480" cy="411480"/>
                  <wp:effectExtent l="0" t="0" r="0" b="7620"/>
                  <wp:docPr id="1940597820" name="Graphic 1940597820"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75114BC2" w14:textId="1B765204"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hd w:val="clear" w:color="auto" w:fill="FFFFFF"/>
              </w:rPr>
            </w:pPr>
            <w:r w:rsidRPr="15824BC9">
              <w:rPr>
                <w:rFonts w:ascii="VIC" w:hAnsi="VIC" w:hint="eastAsia"/>
                <w:color w:val="auto"/>
                <w:shd w:val="clear" w:color="auto" w:fill="FFFFFF"/>
              </w:rPr>
              <w:t>Protects public sector information across all security areas including governance, information, personnel, information and communication</w:t>
            </w:r>
            <w:r w:rsidR="00644AF6" w:rsidRPr="15824BC9">
              <w:rPr>
                <w:rFonts w:ascii="VIC" w:hAnsi="VIC" w:hint="eastAsia"/>
                <w:color w:val="auto"/>
                <w:shd w:val="clear" w:color="auto" w:fill="FFFFFF"/>
              </w:rPr>
              <w:t>s</w:t>
            </w:r>
            <w:r w:rsidRPr="15824BC9">
              <w:rPr>
                <w:rFonts w:ascii="VIC" w:hAnsi="VIC" w:hint="eastAsia"/>
                <w:color w:val="auto"/>
                <w:shd w:val="clear" w:color="auto" w:fill="FFFFFF"/>
              </w:rPr>
              <w:t xml:space="preserve"> technology</w:t>
            </w:r>
            <w:r w:rsidR="00D82DBD" w:rsidRPr="15824BC9">
              <w:rPr>
                <w:rFonts w:ascii="VIC" w:hAnsi="VIC"/>
                <w:color w:val="auto"/>
                <w:shd w:val="clear" w:color="auto" w:fill="FFFFFF"/>
              </w:rPr>
              <w:t xml:space="preserve"> </w:t>
            </w:r>
            <w:r w:rsidRPr="15824BC9">
              <w:rPr>
                <w:rFonts w:ascii="VIC" w:hAnsi="VIC" w:hint="eastAsia"/>
                <w:color w:val="auto"/>
                <w:shd w:val="clear" w:color="auto" w:fill="FFFFFF"/>
              </w:rPr>
              <w:t>and physical security</w:t>
            </w:r>
          </w:p>
        </w:tc>
        <w:tc>
          <w:tcPr>
            <w:tcW w:w="7020" w:type="dxa"/>
          </w:tcPr>
          <w:p w14:paraId="33943EB9" w14:textId="6203AF54" w:rsidR="001C5FD9" w:rsidRPr="00171CF8" w:rsidRDefault="00BF2490" w:rsidP="00261724">
            <w:pPr>
              <w:pStyle w:val="Tabletext"/>
              <w:cnfStyle w:val="000000000000" w:firstRow="0" w:lastRow="0" w:firstColumn="0" w:lastColumn="0" w:oddVBand="0" w:evenVBand="0" w:oddHBand="0" w:evenHBand="0" w:firstRowFirstColumn="0" w:firstRowLastColumn="0" w:lastRowFirstColumn="0" w:lastRowLastColumn="0"/>
            </w:pPr>
            <w:r>
              <w:t>The standards r</w:t>
            </w:r>
            <w:r w:rsidR="001C5FD9" w:rsidRPr="00171CF8">
              <w:t>equire contracted service providers with direct or indirect access to information to adhere to the standards.</w:t>
            </w:r>
          </w:p>
          <w:p w14:paraId="593712C0" w14:textId="4E569F13" w:rsidR="001C5FD9" w:rsidRPr="00171CF8" w:rsidRDefault="00894832" w:rsidP="00261724">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243" w:history="1">
              <w:r w:rsidR="001C5FD9" w:rsidRPr="00171CF8">
                <w:rPr>
                  <w:rStyle w:val="Hyperlink"/>
                </w:rPr>
                <w:t>https://ovic.vic.gov.au/informatio</w:t>
              </w:r>
              <w:bookmarkStart w:id="495" w:name="_Hlt145503146"/>
              <w:r w:rsidR="001C5FD9" w:rsidRPr="00171CF8">
                <w:rPr>
                  <w:rStyle w:val="Hyperlink"/>
                </w:rPr>
                <w:t>n</w:t>
              </w:r>
              <w:bookmarkEnd w:id="495"/>
              <w:r w:rsidR="001C5FD9" w:rsidRPr="00171CF8">
                <w:rPr>
                  <w:rStyle w:val="Hyperlink"/>
                </w:rPr>
                <w:t>-security/standards</w:t>
              </w:r>
            </w:hyperlink>
          </w:p>
        </w:tc>
        <w:tc>
          <w:tcPr>
            <w:tcW w:w="2430" w:type="dxa"/>
          </w:tcPr>
          <w:p w14:paraId="30D73DE5"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Contracting, contract management</w:t>
            </w:r>
          </w:p>
        </w:tc>
      </w:tr>
      <w:tr w:rsidR="001C5FD9" w:rsidRPr="004B5A4E" w14:paraId="27CB4FC8"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3FABC7CD" w14:textId="77777777" w:rsidR="001C5FD9" w:rsidRPr="00F45635" w:rsidRDefault="001C5FD9" w:rsidP="00F7602B">
            <w:pPr>
              <w:rPr>
                <w:rFonts w:ascii="VIC" w:hAnsi="VIC"/>
                <w:szCs w:val="17"/>
              </w:rPr>
            </w:pPr>
            <w:r w:rsidRPr="00F45635">
              <w:rPr>
                <w:rFonts w:ascii="VIC" w:hAnsi="VIC"/>
                <w:szCs w:val="17"/>
              </w:rPr>
              <w:t>Recycled First</w:t>
            </w:r>
            <w:r w:rsidRPr="00F45635">
              <w:rPr>
                <w:rFonts w:ascii="VIC" w:hAnsi="VIC" w:hint="eastAsia"/>
                <w:szCs w:val="17"/>
              </w:rPr>
              <w:t xml:space="preserve"> Policy</w:t>
            </w:r>
          </w:p>
          <w:p w14:paraId="3C1CEA80" w14:textId="7EA5AD4D" w:rsidR="001C5FD9" w:rsidRPr="00F45635" w:rsidRDefault="008F02FA" w:rsidP="00F7602B">
            <w:pPr>
              <w:rPr>
                <w:rFonts w:ascii="VIC" w:hAnsi="VIC"/>
                <w:szCs w:val="17"/>
              </w:rPr>
            </w:pPr>
            <w:r w:rsidRPr="00F45635">
              <w:rPr>
                <w:rFonts w:ascii="VIC SemiBold" w:hAnsi="VIC SemiBold"/>
                <w:noProof/>
                <w:color w:val="C00000"/>
                <w:szCs w:val="17"/>
              </w:rPr>
              <w:drawing>
                <wp:inline distT="0" distB="0" distL="0" distR="0" wp14:anchorId="598BD216" wp14:editId="64078EB3">
                  <wp:extent cx="411480" cy="411480"/>
                  <wp:effectExtent l="0" t="0" r="7620" b="7620"/>
                  <wp:docPr id="87" name="Graphic 87"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r w:rsidR="001C5FD9" w:rsidRPr="00F45635">
              <w:rPr>
                <w:rFonts w:ascii="VIC" w:hAnsi="VIC" w:hint="eastAsia"/>
                <w:szCs w:val="17"/>
              </w:rPr>
              <w:t xml:space="preserve"> </w:t>
            </w:r>
            <w:r w:rsidR="00FA33F5" w:rsidRPr="00F45635">
              <w:rPr>
                <w:rFonts w:ascii="VIC" w:hAnsi="VIC"/>
                <w:szCs w:val="17"/>
              </w:rPr>
              <w:t xml:space="preserve"> </w:t>
            </w:r>
            <w:r w:rsidR="001C5FD9" w:rsidRPr="00F45635">
              <w:rPr>
                <w:rFonts w:ascii="VIC" w:hAnsi="VIC" w:hint="eastAsia"/>
                <w:szCs w:val="17"/>
              </w:rPr>
              <w:t xml:space="preserve"> </w:t>
            </w:r>
            <w:r w:rsidR="00367DC9" w:rsidRPr="00F45635">
              <w:rPr>
                <w:rFonts w:ascii="VIC SemiBold" w:hAnsi="VIC SemiBold"/>
                <w:noProof/>
                <w:color w:val="C00000"/>
                <w:szCs w:val="17"/>
              </w:rPr>
              <w:drawing>
                <wp:inline distT="0" distB="0" distL="0" distR="0" wp14:anchorId="5915D28E" wp14:editId="353B6881">
                  <wp:extent cx="409219" cy="411480"/>
                  <wp:effectExtent l="0" t="0" r="0" b="7620"/>
                  <wp:docPr id="440" name="Graphic 440" descr="Building skills and cap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Building skills and capability icon"/>
                          <pic:cNvPicPr/>
                        </pic:nvPicPr>
                        <pic:blipFill>
                          <a:blip r:embed="rId50" cstate="screen">
                            <a:extLst>
                              <a:ext uri="{28A0092B-C50C-407E-A947-70E740481C1C}">
                                <a14:useLocalDpi xmlns:a14="http://schemas.microsoft.com/office/drawing/2010/main"/>
                              </a:ext>
                              <a:ext uri="{96DAC541-7B7A-43D3-8B79-37D633B846F1}">
                                <asvg:svgBlip xmlns:asvg="http://schemas.microsoft.com/office/drawing/2016/SVG/main" r:embed="rId51"/>
                              </a:ext>
                            </a:extLst>
                          </a:blip>
                          <a:stretch>
                            <a:fillRect/>
                          </a:stretch>
                        </pic:blipFill>
                        <pic:spPr>
                          <a:xfrm>
                            <a:off x="0" y="0"/>
                            <a:ext cx="409219" cy="411480"/>
                          </a:xfrm>
                          <a:prstGeom prst="rect">
                            <a:avLst/>
                          </a:prstGeom>
                        </pic:spPr>
                      </pic:pic>
                    </a:graphicData>
                  </a:graphic>
                </wp:inline>
              </w:drawing>
            </w:r>
            <w:r w:rsidR="001C5FD9" w:rsidRPr="00F45635">
              <w:rPr>
                <w:rFonts w:ascii="VIC" w:hAnsi="VIC" w:hint="eastAsia"/>
                <w:b/>
                <w:szCs w:val="17"/>
              </w:rPr>
              <w:t xml:space="preserve"> </w:t>
            </w:r>
            <w:r w:rsidR="00FA33F5" w:rsidRPr="00F45635">
              <w:rPr>
                <w:rFonts w:ascii="VIC" w:hAnsi="VIC"/>
                <w:b/>
                <w:szCs w:val="17"/>
              </w:rPr>
              <w:t xml:space="preserve">  </w:t>
            </w:r>
            <w:r w:rsidR="00367DC9" w:rsidRPr="00F45635">
              <w:rPr>
                <w:rFonts w:ascii="VIC SemiBold" w:hAnsi="VIC SemiBold"/>
                <w:noProof/>
                <w:color w:val="C00000"/>
                <w:szCs w:val="17"/>
              </w:rPr>
              <w:drawing>
                <wp:inline distT="0" distB="0" distL="0" distR="0" wp14:anchorId="59C30D3E" wp14:editId="2ADFD678">
                  <wp:extent cx="411480" cy="411480"/>
                  <wp:effectExtent l="0" t="0" r="7620" b="7620"/>
                  <wp:docPr id="517" name="Graphic 517" descr="Continuous improv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ontinuous improvement icon"/>
                          <pic:cNvPicPr/>
                        </pic:nvPicPr>
                        <pic:blipFill>
                          <a:blip r:embed="rId52" cstate="screen">
                            <a:extLst>
                              <a:ext uri="{28A0092B-C50C-407E-A947-70E740481C1C}">
                                <a14:useLocalDpi xmlns:a14="http://schemas.microsoft.com/office/drawing/2010/main"/>
                              </a:ext>
                              <a:ext uri="{96DAC541-7B7A-43D3-8B79-37D633B846F1}">
                                <asvg:svgBlip xmlns:asvg="http://schemas.microsoft.com/office/drawing/2016/SVG/main" r:embed="rId53"/>
                              </a:ext>
                            </a:extLst>
                          </a:blip>
                          <a:stretch>
                            <a:fillRect/>
                          </a:stretch>
                        </pic:blipFill>
                        <pic:spPr>
                          <a:xfrm>
                            <a:off x="0" y="0"/>
                            <a:ext cx="411480" cy="411480"/>
                          </a:xfrm>
                          <a:prstGeom prst="rect">
                            <a:avLst/>
                          </a:prstGeom>
                        </pic:spPr>
                      </pic:pic>
                    </a:graphicData>
                  </a:graphic>
                </wp:inline>
              </w:drawing>
            </w:r>
          </w:p>
        </w:tc>
        <w:tc>
          <w:tcPr>
            <w:tcW w:w="2700" w:type="dxa"/>
          </w:tcPr>
          <w:p w14:paraId="3C5D00F9" w14:textId="0157ED8D"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4F0C3E">
              <w:t>Seeks to optimise and accelerate the use of recycled and reused materials on Victorian transport infrastructure projects to help achieve sustainable outcomes</w:t>
            </w:r>
          </w:p>
          <w:p w14:paraId="56FB2D71" w14:textId="2540F81E" w:rsidR="001C5FD9" w:rsidRPr="004F0C3E"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4F0C3E">
              <w:t>Encourage</w:t>
            </w:r>
            <w:r w:rsidR="009934F2" w:rsidRPr="009E7AC7">
              <w:t>s</w:t>
            </w:r>
            <w:r w:rsidRPr="004F0C3E">
              <w:t xml:space="preserve"> innovation in transport infrastructure construction to improve quality and accelerate the implementation of new Victorian recycled products</w:t>
            </w:r>
          </w:p>
          <w:p w14:paraId="7D0B31D9" w14:textId="20E80DA2" w:rsidR="001C5FD9" w:rsidRPr="009E7AC7" w:rsidRDefault="001C5FD9" w:rsidP="00171CF8">
            <w:pPr>
              <w:pStyle w:val="Tabletext"/>
              <w:cnfStyle w:val="000000010000" w:firstRow="0" w:lastRow="0" w:firstColumn="0" w:lastColumn="0" w:oddVBand="0" w:evenVBand="0" w:oddHBand="0" w:evenHBand="1" w:firstRowFirstColumn="0" w:firstRowLastColumn="0" w:lastRowFirstColumn="0" w:lastRowLastColumn="0"/>
              <w:rPr>
                <w:rFonts w:ascii="VIC" w:hAnsi="VIC"/>
                <w:color w:val="auto"/>
                <w:shd w:val="clear" w:color="auto" w:fill="FFFFFF"/>
              </w:rPr>
            </w:pPr>
            <w:r>
              <w:t>Informs</w:t>
            </w:r>
            <w:r w:rsidRPr="004F0C3E">
              <w:t xml:space="preserve"> </w:t>
            </w:r>
            <w:r w:rsidR="006C33C2">
              <w:t>G</w:t>
            </w:r>
            <w:r w:rsidR="006C33C2" w:rsidRPr="004F0C3E">
              <w:t>overnment</w:t>
            </w:r>
            <w:r w:rsidR="00344D3F">
              <w:t>’</w:t>
            </w:r>
            <w:r w:rsidR="006C33C2" w:rsidRPr="004F0C3E">
              <w:t xml:space="preserve">s </w:t>
            </w:r>
            <w:r w:rsidRPr="004F0C3E">
              <w:t>understanding of future demand for recycled content in infrastructure delivery and the corresponding supply chain, market development issues and opportunities</w:t>
            </w:r>
          </w:p>
        </w:tc>
        <w:tc>
          <w:tcPr>
            <w:tcW w:w="7020" w:type="dxa"/>
          </w:tcPr>
          <w:p w14:paraId="31843DF4" w14:textId="63E96311" w:rsidR="001C5FD9" w:rsidRPr="009E7AC7" w:rsidRDefault="00BF2490" w:rsidP="00171CF8">
            <w:pPr>
              <w:pStyle w:val="Tabletext"/>
              <w:cnfStyle w:val="000000010000" w:firstRow="0" w:lastRow="0" w:firstColumn="0" w:lastColumn="0" w:oddVBand="0" w:evenVBand="0" w:oddHBand="0" w:evenHBand="1" w:firstRowFirstColumn="0" w:firstRowLastColumn="0" w:lastRowFirstColumn="0" w:lastRowLastColumn="0"/>
              <w:rPr>
                <w:rFonts w:ascii="VIC" w:eastAsia="Times New Roman" w:hAnsi="VIC" w:cs="Arial"/>
                <w:color w:val="0F0F0F"/>
              </w:rPr>
            </w:pPr>
            <w:r>
              <w:rPr>
                <w:rFonts w:ascii="VIC" w:eastAsia="Times New Roman" w:hAnsi="VIC" w:cs="Arial"/>
                <w:color w:val="0F0F0F"/>
              </w:rPr>
              <w:t>This policy r</w:t>
            </w:r>
            <w:r w:rsidR="001C5FD9" w:rsidRPr="009E7AC7">
              <w:rPr>
                <w:rFonts w:ascii="VIC" w:eastAsia="Times New Roman" w:hAnsi="VIC" w:cs="Arial"/>
                <w:color w:val="0F0F0F"/>
              </w:rPr>
              <w:t>equires all tenderers on Victorian major transport projects to demonstrate within their bid how they will optimise the use of recycled and reused materials at the levels allowed under current standards and specifications.</w:t>
            </w:r>
          </w:p>
          <w:p w14:paraId="394997AD" w14:textId="77777777" w:rsidR="001C5FD9" w:rsidRPr="009E7AC7" w:rsidRDefault="001C5FD9" w:rsidP="00171CF8">
            <w:pPr>
              <w:pStyle w:val="Tabletext"/>
              <w:cnfStyle w:val="000000010000" w:firstRow="0" w:lastRow="0" w:firstColumn="0" w:lastColumn="0" w:oddVBand="0" w:evenVBand="0" w:oddHBand="0" w:evenHBand="1" w:firstRowFirstColumn="0" w:firstRowLastColumn="0" w:lastRowFirstColumn="0" w:lastRowLastColumn="0"/>
              <w:rPr>
                <w:rFonts w:ascii="VIC" w:eastAsia="Times New Roman" w:hAnsi="VIC" w:cs="Arial"/>
                <w:color w:val="0F0F0F"/>
              </w:rPr>
            </w:pPr>
            <w:r w:rsidRPr="009E7AC7">
              <w:rPr>
                <w:rFonts w:ascii="VIC" w:eastAsia="Times New Roman" w:hAnsi="VIC" w:cs="Arial"/>
                <w:color w:val="0F0F0F"/>
              </w:rPr>
              <w:t>Tenderers can also identify opportunities to trial new innovative products or opportunities to boost recycled and reused material quantities within existing standards and specifications.</w:t>
            </w:r>
          </w:p>
          <w:p w14:paraId="574CA01D" w14:textId="77777777" w:rsidR="001C5FD9" w:rsidRPr="009E7AC7" w:rsidRDefault="001C5FD9" w:rsidP="00171CF8">
            <w:pPr>
              <w:pStyle w:val="Tabletext"/>
              <w:cnfStyle w:val="000000010000" w:firstRow="0" w:lastRow="0" w:firstColumn="0" w:lastColumn="0" w:oddVBand="0" w:evenVBand="0" w:oddHBand="0" w:evenHBand="1" w:firstRowFirstColumn="0" w:firstRowLastColumn="0" w:lastRowFirstColumn="0" w:lastRowLastColumn="0"/>
              <w:rPr>
                <w:rFonts w:ascii="VIC" w:eastAsia="Times New Roman" w:hAnsi="VIC" w:cs="Arial"/>
                <w:color w:val="0F0F0F"/>
              </w:rPr>
            </w:pPr>
            <w:r w:rsidRPr="009E7AC7">
              <w:rPr>
                <w:rFonts w:ascii="VIC" w:eastAsia="Times New Roman" w:hAnsi="VIC" w:cs="Arial"/>
                <w:color w:val="0F0F0F"/>
              </w:rPr>
              <w:t>Successful tenderers must report against their Recycled First commitments during delivery. This ensures recycled and reused materials are considered over virgin materials and will divert valuable materials from landfill.</w:t>
            </w:r>
          </w:p>
          <w:p w14:paraId="0B1FA5CC" w14:textId="77777777" w:rsidR="00E25AC4"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9E7AC7">
              <w:rPr>
                <w:rFonts w:ascii="VIC" w:eastAsia="Times New Roman" w:hAnsi="VIC" w:cs="Arial"/>
                <w:color w:val="0F0F0F"/>
              </w:rPr>
              <w:t>The Recycled First Policy allows for continuous improvements to transport standards and specifications</w:t>
            </w:r>
            <w:r w:rsidR="009934F2" w:rsidRPr="009E7AC7">
              <w:rPr>
                <w:rFonts w:ascii="VIC" w:eastAsia="Times New Roman" w:hAnsi="VIC" w:cs="Arial"/>
                <w:color w:val="0F0F0F"/>
              </w:rPr>
              <w:t>,</w:t>
            </w:r>
            <w:r w:rsidRPr="009E7AC7">
              <w:rPr>
                <w:rFonts w:ascii="VIC" w:eastAsia="Times New Roman" w:hAnsi="VIC" w:cs="Arial"/>
                <w:color w:val="0F0F0F"/>
              </w:rPr>
              <w:t xml:space="preserve"> and research and development. It will develop new markets and create greener, more sustainable transport infrastructure outcomes.</w:t>
            </w:r>
          </w:p>
          <w:p w14:paraId="1C604A4D" w14:textId="78DCBC52" w:rsidR="001C5FD9" w:rsidRDefault="00894832" w:rsidP="00171CF8">
            <w:pPr>
              <w:pStyle w:val="Tabletext"/>
              <w:cnfStyle w:val="000000010000" w:firstRow="0" w:lastRow="0" w:firstColumn="0" w:lastColumn="0" w:oddVBand="0" w:evenVBand="0" w:oddHBand="0" w:evenHBand="1" w:firstRowFirstColumn="0" w:firstRowLastColumn="0" w:lastRowFirstColumn="0" w:lastRowLastColumn="0"/>
              <w:rPr>
                <w:rFonts w:ascii="VIC" w:eastAsia="Times New Roman" w:hAnsi="VIC" w:cs="Arial"/>
                <w:color w:val="0F0F0F"/>
              </w:rPr>
            </w:pPr>
            <w:hyperlink r:id="rId244" w:history="1">
              <w:r w:rsidR="00E25AC4" w:rsidRPr="00E25AC4">
                <w:rPr>
                  <w:rStyle w:val="Hyperlink"/>
                  <w:rFonts w:ascii="VIC" w:eastAsia="Times New Roman" w:hAnsi="VIC" w:cs="Arial" w:hint="eastAsia"/>
                </w:rPr>
                <w:t>https://bigbuild.vic.gov.au/about/ecologiq/recycled-first-policy</w:t>
              </w:r>
            </w:hyperlink>
          </w:p>
          <w:p w14:paraId="31A75154" w14:textId="2E9C9213" w:rsidR="00E25AC4" w:rsidRPr="00171CF8" w:rsidRDefault="00E25AC4" w:rsidP="00171CF8">
            <w:pPr>
              <w:pStyle w:val="Tabletex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F0F0F"/>
              </w:rPr>
            </w:pPr>
          </w:p>
        </w:tc>
        <w:tc>
          <w:tcPr>
            <w:tcW w:w="2430" w:type="dxa"/>
          </w:tcPr>
          <w:p w14:paraId="7AE7C05B"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 xml:space="preserve">Tendering, tender evaluation, contract management </w:t>
            </w:r>
          </w:p>
        </w:tc>
      </w:tr>
      <w:tr w:rsidR="001C5FD9" w:rsidRPr="004B5A4E" w14:paraId="66C50132"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3DC074B6" w14:textId="77777777" w:rsidR="001C5FD9" w:rsidRPr="00F45635" w:rsidRDefault="001C5FD9" w:rsidP="00F7602B">
            <w:pPr>
              <w:rPr>
                <w:rFonts w:ascii="VIC" w:hAnsi="VIC"/>
                <w:szCs w:val="17"/>
              </w:rPr>
            </w:pPr>
            <w:r w:rsidRPr="00F45635">
              <w:rPr>
                <w:rFonts w:ascii="VIC" w:hAnsi="VIC"/>
                <w:szCs w:val="17"/>
              </w:rPr>
              <w:t>Resource Management Framework</w:t>
            </w:r>
          </w:p>
          <w:p w14:paraId="0BB07915" w14:textId="2B5AF201"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28628B30" wp14:editId="67827884">
                  <wp:extent cx="411480" cy="411480"/>
                  <wp:effectExtent l="0" t="0" r="0" b="7620"/>
                  <wp:docPr id="1940597821" name="Graphic 1940597821"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Pr="00F45635">
              <w:rPr>
                <w:rFonts w:ascii="VIC" w:hAnsi="VIC"/>
                <w:szCs w:val="17"/>
              </w:rPr>
              <w:t xml:space="preserve">   </w:t>
            </w:r>
            <w:r w:rsidR="008F02FA" w:rsidRPr="00F45635">
              <w:rPr>
                <w:rFonts w:ascii="VIC SemiBold" w:hAnsi="VIC SemiBold"/>
                <w:noProof/>
                <w:color w:val="C00000"/>
                <w:szCs w:val="17"/>
              </w:rPr>
              <w:drawing>
                <wp:inline distT="0" distB="0" distL="0" distR="0" wp14:anchorId="38F7331A" wp14:editId="7E704E27">
                  <wp:extent cx="411480" cy="411480"/>
                  <wp:effectExtent l="0" t="0" r="7620" b="7620"/>
                  <wp:docPr id="88" name="Graphic 88"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c>
          <w:tcPr>
            <w:tcW w:w="2700" w:type="dxa"/>
          </w:tcPr>
          <w:p w14:paraId="0C21E1AA" w14:textId="692D9CDC" w:rsidR="001C5FD9" w:rsidRPr="009E7AC7" w:rsidRDefault="001C5FD9" w:rsidP="00B01118">
            <w:pPr>
              <w:pStyle w:val="Tabletext"/>
              <w:cnfStyle w:val="000000000000" w:firstRow="0" w:lastRow="0" w:firstColumn="0" w:lastColumn="0" w:oddVBand="0" w:evenVBand="0" w:oddHBand="0" w:evenHBand="0" w:firstRowFirstColumn="0" w:firstRowLastColumn="0" w:lastRowFirstColumn="0" w:lastRowLastColumn="0"/>
            </w:pPr>
            <w:r w:rsidRPr="00504DD2">
              <w:rPr>
                <w:rFonts w:hint="eastAsia"/>
              </w:rPr>
              <w:t>Explains the legal and policy framework that underpins resource management, budgeting and reporting processes</w:t>
            </w:r>
          </w:p>
        </w:tc>
        <w:tc>
          <w:tcPr>
            <w:tcW w:w="7020" w:type="dxa"/>
          </w:tcPr>
          <w:p w14:paraId="0ADAF1BB" w14:textId="7C6A14C2" w:rsidR="001C5FD9" w:rsidRPr="00171CF8" w:rsidRDefault="00BF2490" w:rsidP="00171CF8">
            <w:pPr>
              <w:pStyle w:val="Tabletext"/>
              <w:cnfStyle w:val="000000000000" w:firstRow="0" w:lastRow="0" w:firstColumn="0" w:lastColumn="0" w:oddVBand="0" w:evenVBand="0" w:oddHBand="0" w:evenHBand="0" w:firstRowFirstColumn="0" w:firstRowLastColumn="0" w:lastRowFirstColumn="0" w:lastRowLastColumn="0"/>
            </w:pPr>
            <w:r>
              <w:t>This framework is m</w:t>
            </w:r>
            <w:r w:rsidRPr="00171CF8">
              <w:t xml:space="preserve">andated </w:t>
            </w:r>
            <w:r w:rsidR="001C5FD9" w:rsidRPr="00171CF8">
              <w:t>for portfolio departments</w:t>
            </w:r>
            <w:r w:rsidR="006C33C2" w:rsidRPr="00171CF8">
              <w:t>.</w:t>
            </w:r>
          </w:p>
          <w:p w14:paraId="0C78448A" w14:textId="0CAB5D33" w:rsidR="001C5FD9" w:rsidRPr="00171CF8" w:rsidRDefault="00BF2490" w:rsidP="00171CF8">
            <w:pPr>
              <w:pStyle w:val="Tabletext"/>
              <w:cnfStyle w:val="000000000000" w:firstRow="0" w:lastRow="0" w:firstColumn="0" w:lastColumn="0" w:oddVBand="0" w:evenVBand="0" w:oddHBand="0" w:evenHBand="0" w:firstRowFirstColumn="0" w:firstRowLastColumn="0" w:lastRowFirstColumn="0" w:lastRowLastColumn="0"/>
            </w:pPr>
            <w:r>
              <w:t>It describes</w:t>
            </w:r>
            <w:r w:rsidR="001C5FD9" w:rsidRPr="00171CF8">
              <w:t xml:space="preserve"> the approp</w:t>
            </w:r>
            <w:r w:rsidR="001C5FD9">
              <w:t xml:space="preserve">riations framework used annually to support </w:t>
            </w:r>
            <w:r w:rsidR="007D22BC">
              <w:t>government</w:t>
            </w:r>
            <w:r w:rsidR="001C5FD9">
              <w:t xml:space="preserve"> asset inv</w:t>
            </w:r>
            <w:r w:rsidR="001C5FD9" w:rsidRPr="00171CF8">
              <w:t>estment decision-making and resource allocation.</w:t>
            </w:r>
          </w:p>
          <w:p w14:paraId="7CEA1F0C" w14:textId="531FCDB8"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 xml:space="preserve">Section 3.5 </w:t>
            </w:r>
            <w:r w:rsidR="00155062">
              <w:t>s</w:t>
            </w:r>
            <w:r w:rsidRPr="00171CF8">
              <w:t xml:space="preserve">ets out mandatory requirements for managing the departmental asset investment program, including staged release of funding on </w:t>
            </w:r>
            <w:r>
              <w:t>H</w:t>
            </w:r>
            <w:r w:rsidR="00166BDD">
              <w:t>VHR</w:t>
            </w:r>
            <w:r>
              <w:t xml:space="preserve"> projects</w:t>
            </w:r>
            <w:r w:rsidRPr="00171CF8">
              <w:t xml:space="preserve"> and accessing and managing central contingencies</w:t>
            </w:r>
            <w:r w:rsidR="006C33C2" w:rsidRPr="00171CF8">
              <w:t>.</w:t>
            </w:r>
          </w:p>
          <w:p w14:paraId="3CB6030D" w14:textId="55CA31DE" w:rsidR="001C5FD9" w:rsidRPr="00171CF8" w:rsidRDefault="00894832" w:rsidP="00B113D7">
            <w:pPr>
              <w:pStyle w:val="Tabletext"/>
              <w:cnfStyle w:val="000000000000" w:firstRow="0" w:lastRow="0" w:firstColumn="0" w:lastColumn="0" w:oddVBand="0" w:evenVBand="0" w:oddHBand="0" w:evenHBand="0" w:firstRowFirstColumn="0" w:firstRowLastColumn="0" w:lastRowFirstColumn="0" w:lastRowLastColumn="0"/>
              <w:rPr>
                <w:rFonts w:ascii="VIC" w:hAnsi="VIC"/>
                <w:color w:val="auto"/>
                <w:szCs w:val="17"/>
                <w:u w:val="single"/>
              </w:rPr>
            </w:pPr>
            <w:hyperlink r:id="rId245" w:history="1">
              <w:r w:rsidR="001C5FD9" w:rsidRPr="00171CF8">
                <w:rPr>
                  <w:rStyle w:val="Hyperlink"/>
                  <w:szCs w:val="17"/>
                </w:rPr>
                <w:t>https://www.dtf.vic.gov.au/planning-budgeting-and-financial-reporting-frameworks/resource-management-framework</w:t>
              </w:r>
            </w:hyperlink>
          </w:p>
        </w:tc>
        <w:tc>
          <w:tcPr>
            <w:tcW w:w="2430" w:type="dxa"/>
          </w:tcPr>
          <w:p w14:paraId="2D9FCE95"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Business case, approvals, project governance and assurance</w:t>
            </w:r>
          </w:p>
        </w:tc>
      </w:tr>
      <w:tr w:rsidR="001C5FD9" w:rsidRPr="004B5A4E" w14:paraId="2F164CE0"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2ECBB78D" w14:textId="77777777" w:rsidR="001C5FD9" w:rsidRPr="00F45635" w:rsidRDefault="001C5FD9" w:rsidP="00F7602B">
            <w:pPr>
              <w:rPr>
                <w:rFonts w:ascii="VIC" w:hAnsi="VIC"/>
                <w:szCs w:val="17"/>
              </w:rPr>
            </w:pPr>
            <w:r w:rsidRPr="00F45635">
              <w:rPr>
                <w:rFonts w:ascii="VIC" w:hAnsi="VIC"/>
                <w:szCs w:val="17"/>
              </w:rPr>
              <w:t>Social Procurement Framework</w:t>
            </w:r>
          </w:p>
          <w:p w14:paraId="2E8077F1" w14:textId="56A69D15" w:rsidR="001C5FD9" w:rsidRPr="00F45635" w:rsidRDefault="008F02FA" w:rsidP="00F7602B">
            <w:pPr>
              <w:rPr>
                <w:rFonts w:ascii="VIC" w:hAnsi="VIC"/>
                <w:szCs w:val="17"/>
              </w:rPr>
            </w:pPr>
            <w:r w:rsidRPr="00F45635">
              <w:rPr>
                <w:rFonts w:ascii="VIC SemiBold" w:hAnsi="VIC SemiBold"/>
                <w:noProof/>
                <w:color w:val="C00000"/>
                <w:szCs w:val="17"/>
              </w:rPr>
              <w:drawing>
                <wp:inline distT="0" distB="0" distL="0" distR="0" wp14:anchorId="3C0B3748" wp14:editId="15548D04">
                  <wp:extent cx="411480" cy="411480"/>
                  <wp:effectExtent l="0" t="0" r="7620" b="7620"/>
                  <wp:docPr id="89" name="Graphic 89"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r w:rsidR="001C5FD9" w:rsidRPr="00F45635">
              <w:rPr>
                <w:rFonts w:ascii="VIC" w:hAnsi="VIC"/>
                <w:szCs w:val="17"/>
              </w:rPr>
              <w:t xml:space="preserve"> </w:t>
            </w:r>
            <w:r w:rsidR="00367DC9" w:rsidRPr="00F45635">
              <w:rPr>
                <w:rFonts w:ascii="VIC SemiBold" w:hAnsi="VIC SemiBold"/>
                <w:noProof/>
                <w:color w:val="C00000"/>
                <w:szCs w:val="17"/>
              </w:rPr>
              <w:drawing>
                <wp:inline distT="0" distB="0" distL="0" distR="0" wp14:anchorId="5BCC4565" wp14:editId="468F152C">
                  <wp:extent cx="409219" cy="411480"/>
                  <wp:effectExtent l="0" t="0" r="0" b="7620"/>
                  <wp:docPr id="439" name="Graphic 439" descr="Building skills and cap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Building skills and capability icon"/>
                          <pic:cNvPicPr/>
                        </pic:nvPicPr>
                        <pic:blipFill>
                          <a:blip r:embed="rId50" cstate="screen">
                            <a:extLst>
                              <a:ext uri="{28A0092B-C50C-407E-A947-70E740481C1C}">
                                <a14:useLocalDpi xmlns:a14="http://schemas.microsoft.com/office/drawing/2010/main"/>
                              </a:ext>
                              <a:ext uri="{96DAC541-7B7A-43D3-8B79-37D633B846F1}">
                                <asvg:svgBlip xmlns:asvg="http://schemas.microsoft.com/office/drawing/2016/SVG/main" r:embed="rId51"/>
                              </a:ext>
                            </a:extLst>
                          </a:blip>
                          <a:stretch>
                            <a:fillRect/>
                          </a:stretch>
                        </pic:blipFill>
                        <pic:spPr>
                          <a:xfrm>
                            <a:off x="0" y="0"/>
                            <a:ext cx="409219" cy="411480"/>
                          </a:xfrm>
                          <a:prstGeom prst="rect">
                            <a:avLst/>
                          </a:prstGeom>
                        </pic:spPr>
                      </pic:pic>
                    </a:graphicData>
                  </a:graphic>
                </wp:inline>
              </w:drawing>
            </w:r>
            <w:r w:rsidR="00367DC9" w:rsidRPr="00F45635">
              <w:rPr>
                <w:rFonts w:ascii="VIC" w:hAnsi="VIC"/>
                <w:szCs w:val="17"/>
              </w:rPr>
              <w:t xml:space="preserve"> </w:t>
            </w:r>
            <w:r w:rsidR="00367DC9" w:rsidRPr="00F45635">
              <w:rPr>
                <w:rFonts w:ascii="VIC SemiBold" w:hAnsi="VIC SemiBold"/>
                <w:noProof/>
                <w:color w:val="C00000"/>
                <w:szCs w:val="17"/>
              </w:rPr>
              <w:drawing>
                <wp:inline distT="0" distB="0" distL="0" distR="0" wp14:anchorId="1655FB69" wp14:editId="7B9A98C6">
                  <wp:extent cx="411480" cy="411480"/>
                  <wp:effectExtent l="0" t="0" r="7620" b="7620"/>
                  <wp:docPr id="518" name="Graphic 518" descr="Continuous improv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ontinuous improvement icon"/>
                          <pic:cNvPicPr/>
                        </pic:nvPicPr>
                        <pic:blipFill>
                          <a:blip r:embed="rId52" cstate="screen">
                            <a:extLst>
                              <a:ext uri="{28A0092B-C50C-407E-A947-70E740481C1C}">
                                <a14:useLocalDpi xmlns:a14="http://schemas.microsoft.com/office/drawing/2010/main"/>
                              </a:ext>
                              <a:ext uri="{96DAC541-7B7A-43D3-8B79-37D633B846F1}">
                                <asvg:svgBlip xmlns:asvg="http://schemas.microsoft.com/office/drawing/2016/SVG/main" r:embed="rId53"/>
                              </a:ext>
                            </a:extLst>
                          </a:blip>
                          <a:stretch>
                            <a:fillRect/>
                          </a:stretch>
                        </pic:blipFill>
                        <pic:spPr>
                          <a:xfrm>
                            <a:off x="0" y="0"/>
                            <a:ext cx="411480" cy="411480"/>
                          </a:xfrm>
                          <a:prstGeom prst="rect">
                            <a:avLst/>
                          </a:prstGeom>
                        </pic:spPr>
                      </pic:pic>
                    </a:graphicData>
                  </a:graphic>
                </wp:inline>
              </w:drawing>
            </w:r>
          </w:p>
        </w:tc>
        <w:tc>
          <w:tcPr>
            <w:tcW w:w="2700" w:type="dxa"/>
          </w:tcPr>
          <w:p w14:paraId="11863384" w14:textId="41C00926" w:rsidR="001C5FD9" w:rsidRPr="009E7AC7" w:rsidRDefault="001C5FD9" w:rsidP="00B01118">
            <w:pPr>
              <w:pStyle w:val="Tabletext"/>
              <w:cnfStyle w:val="000000010000" w:firstRow="0" w:lastRow="0" w:firstColumn="0" w:lastColumn="0" w:oddVBand="0" w:evenVBand="0" w:oddHBand="0" w:evenHBand="1" w:firstRowFirstColumn="0" w:firstRowLastColumn="0" w:lastRowFirstColumn="0" w:lastRowLastColumn="0"/>
            </w:pPr>
            <w:r w:rsidRPr="06BA7C73">
              <w:rPr>
                <w:rFonts w:hint="eastAsia"/>
              </w:rPr>
              <w:t>To leverage procurement activities to generate social value above and beyond the value of the goods, services</w:t>
            </w:r>
            <w:r w:rsidR="00AD5BC8" w:rsidRPr="06BA7C73">
              <w:t xml:space="preserve"> or</w:t>
            </w:r>
            <w:r w:rsidRPr="06BA7C73">
              <w:rPr>
                <w:rFonts w:hint="eastAsia"/>
              </w:rPr>
              <w:t xml:space="preserve"> construction being procured </w:t>
            </w:r>
          </w:p>
        </w:tc>
        <w:tc>
          <w:tcPr>
            <w:tcW w:w="7020" w:type="dxa"/>
          </w:tcPr>
          <w:p w14:paraId="6473160F" w14:textId="357DDAAB" w:rsidR="001C5FD9" w:rsidRPr="009E7AC7" w:rsidRDefault="00BF2490" w:rsidP="00B113D7">
            <w:pPr>
              <w:pStyle w:val="Tabletext"/>
              <w:cnfStyle w:val="000000010000" w:firstRow="0" w:lastRow="0" w:firstColumn="0" w:lastColumn="0" w:oddVBand="0" w:evenVBand="0" w:oddHBand="0" w:evenHBand="1" w:firstRowFirstColumn="0" w:firstRowLastColumn="0" w:lastRowFirstColumn="0" w:lastRowLastColumn="0"/>
            </w:pPr>
            <w:r>
              <w:t>This framework r</w:t>
            </w:r>
            <w:r w:rsidR="001C5FD9" w:rsidRPr="00504DD2">
              <w:rPr>
                <w:rFonts w:hint="eastAsia"/>
              </w:rPr>
              <w:t>equires agencies to include social procurement objectives in procurements that meet value thresholds and report against outcomes achieved.</w:t>
            </w:r>
          </w:p>
          <w:p w14:paraId="67D2DCEC" w14:textId="12882E14" w:rsidR="006C33C2" w:rsidRPr="009E7AC7" w:rsidRDefault="001C5FD9" w:rsidP="00B113D7">
            <w:pPr>
              <w:pStyle w:val="Tabletext"/>
              <w:cnfStyle w:val="000000010000" w:firstRow="0" w:lastRow="0" w:firstColumn="0" w:lastColumn="0" w:oddVBand="0" w:evenVBand="0" w:oddHBand="0" w:evenHBand="1" w:firstRowFirstColumn="0" w:firstRowLastColumn="0" w:lastRowFirstColumn="0" w:lastRowLastColumn="0"/>
            </w:pPr>
            <w:r w:rsidRPr="06BA7C73">
              <w:rPr>
                <w:rFonts w:hint="eastAsia"/>
              </w:rPr>
              <w:t>Model clauses have been prepared to assist with including</w:t>
            </w:r>
            <w:r w:rsidR="00061DF4">
              <w:t xml:space="preserve"> </w:t>
            </w:r>
            <w:r w:rsidR="00061DF4" w:rsidRPr="06BA7C73">
              <w:rPr>
                <w:rFonts w:hint="eastAsia"/>
              </w:rPr>
              <w:t>content</w:t>
            </w:r>
            <w:r w:rsidRPr="06BA7C73">
              <w:rPr>
                <w:rFonts w:hint="eastAsia"/>
              </w:rPr>
              <w:t xml:space="preserve"> </w:t>
            </w:r>
            <w:r w:rsidR="000015A7" w:rsidRPr="06BA7C73">
              <w:rPr>
                <w:rFonts w:hint="eastAsia"/>
              </w:rPr>
              <w:t xml:space="preserve">related </w:t>
            </w:r>
            <w:r w:rsidR="000015A7">
              <w:t xml:space="preserve">to the </w:t>
            </w:r>
            <w:r w:rsidRPr="06BA7C73">
              <w:rPr>
                <w:rFonts w:hint="eastAsia"/>
              </w:rPr>
              <w:t>Social Procurement Framework</w:t>
            </w:r>
            <w:r w:rsidR="00077002">
              <w:t xml:space="preserve"> </w:t>
            </w:r>
            <w:r w:rsidRPr="06BA7C73">
              <w:rPr>
                <w:rFonts w:hint="eastAsia"/>
              </w:rPr>
              <w:t xml:space="preserve">in invitations to supply and contracts between </w:t>
            </w:r>
            <w:r w:rsidR="00F11B52">
              <w:t>the G</w:t>
            </w:r>
            <w:r w:rsidRPr="06BA7C73">
              <w:t>overnment</w:t>
            </w:r>
            <w:r w:rsidRPr="06BA7C73">
              <w:rPr>
                <w:rFonts w:hint="eastAsia"/>
              </w:rPr>
              <w:t xml:space="preserve"> and preferred supplier(s</w:t>
            </w:r>
            <w:r w:rsidR="006C33C2" w:rsidRPr="06BA7C73">
              <w:rPr>
                <w:rFonts w:hint="eastAsia"/>
              </w:rPr>
              <w:t>).</w:t>
            </w:r>
          </w:p>
          <w:p w14:paraId="2E2225C0" w14:textId="6E705DFE" w:rsidR="001C5FD9" w:rsidRPr="00171CF8" w:rsidRDefault="00894832" w:rsidP="00B113D7">
            <w:pPr>
              <w:pStyle w:val="Tabletext"/>
              <w:cnfStyle w:val="000000010000" w:firstRow="0" w:lastRow="0" w:firstColumn="0" w:lastColumn="0" w:oddVBand="0" w:evenVBand="0" w:oddHBand="0" w:evenHBand="1" w:firstRowFirstColumn="0" w:firstRowLastColumn="0" w:lastRowFirstColumn="0" w:lastRowLastColumn="0"/>
              <w:rPr>
                <w:rStyle w:val="Hyperlink"/>
              </w:rPr>
            </w:pPr>
            <w:hyperlink r:id="rId246" w:history="1">
              <w:r w:rsidR="001C5FD9" w:rsidRPr="00171CF8">
                <w:rPr>
                  <w:rStyle w:val="Hyperlink"/>
                </w:rPr>
                <w:t>https://www.buyingfor.vic.gov</w:t>
              </w:r>
              <w:bookmarkStart w:id="496" w:name="_Hlt145503451"/>
              <w:r w:rsidR="001C5FD9" w:rsidRPr="00171CF8">
                <w:rPr>
                  <w:rStyle w:val="Hyperlink"/>
                </w:rPr>
                <w:t>.</w:t>
              </w:r>
              <w:bookmarkEnd w:id="496"/>
              <w:r w:rsidR="001C5FD9" w:rsidRPr="00171CF8">
                <w:rPr>
                  <w:rStyle w:val="Hyperlink"/>
                </w:rPr>
                <w:t>au/social-procurement-department-and-agency-reporting-requirements-buyers</w:t>
              </w:r>
            </w:hyperlink>
          </w:p>
        </w:tc>
        <w:tc>
          <w:tcPr>
            <w:tcW w:w="2430" w:type="dxa"/>
          </w:tcPr>
          <w:p w14:paraId="6F0F0A98"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Tendering, tender evaluation, contracting, contract management</w:t>
            </w:r>
          </w:p>
        </w:tc>
      </w:tr>
      <w:tr w:rsidR="001C5FD9" w:rsidRPr="004B5A4E" w14:paraId="78392158"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058FF755" w14:textId="77777777" w:rsidR="001C5FD9" w:rsidRPr="00F45635" w:rsidRDefault="001C5FD9" w:rsidP="00F7602B">
            <w:pPr>
              <w:rPr>
                <w:rFonts w:ascii="VIC" w:hAnsi="VIC"/>
                <w:szCs w:val="17"/>
              </w:rPr>
            </w:pPr>
            <w:r w:rsidRPr="00F45635">
              <w:rPr>
                <w:rFonts w:ascii="VIC" w:hAnsi="VIC"/>
                <w:szCs w:val="17"/>
              </w:rPr>
              <w:t>Supplier Code of Conduct</w:t>
            </w:r>
          </w:p>
          <w:p w14:paraId="7F103611" w14:textId="5BB41D66"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20B356BD" wp14:editId="1B1365C8">
                  <wp:extent cx="411480" cy="411480"/>
                  <wp:effectExtent l="0" t="0" r="0" b="7620"/>
                  <wp:docPr id="1940597822" name="Graphic 1940597822"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Pr="00F45635">
              <w:rPr>
                <w:rFonts w:ascii="VIC" w:hAnsi="VIC"/>
                <w:szCs w:val="17"/>
              </w:rPr>
              <w:t xml:space="preserve">   </w:t>
            </w:r>
            <w:r w:rsidRPr="00F45635">
              <w:rPr>
                <w:rFonts w:ascii="VIC SemiBold" w:hAnsi="VIC SemiBold"/>
                <w:noProof/>
                <w:color w:val="C00000"/>
                <w:szCs w:val="17"/>
              </w:rPr>
              <w:drawing>
                <wp:inline distT="0" distB="0" distL="0" distR="0" wp14:anchorId="27D8B69C" wp14:editId="3FE24F5F">
                  <wp:extent cx="364557" cy="411480"/>
                  <wp:effectExtent l="0" t="0" r="0" b="7620"/>
                  <wp:docPr id="428" name="Graphic 428" descr="Prob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robity icon"/>
                          <pic:cNvPicPr/>
                        </pic:nvPicPr>
                        <pic:blipFill>
                          <a:blip r:embed="rId45" cstate="screen">
                            <a:extLst>
                              <a:ext uri="{28A0092B-C50C-407E-A947-70E740481C1C}">
                                <a14:useLocalDpi xmlns:a14="http://schemas.microsoft.com/office/drawing/2010/main"/>
                              </a:ext>
                              <a:ext uri="{96DAC541-7B7A-43D3-8B79-37D633B846F1}">
                                <asvg:svgBlip xmlns:asvg="http://schemas.microsoft.com/office/drawing/2016/SVG/main" r:embed="rId46"/>
                              </a:ext>
                            </a:extLst>
                          </a:blip>
                          <a:stretch>
                            <a:fillRect/>
                          </a:stretch>
                        </pic:blipFill>
                        <pic:spPr>
                          <a:xfrm>
                            <a:off x="0" y="0"/>
                            <a:ext cx="364557" cy="411480"/>
                          </a:xfrm>
                          <a:prstGeom prst="rect">
                            <a:avLst/>
                          </a:prstGeom>
                        </pic:spPr>
                      </pic:pic>
                    </a:graphicData>
                  </a:graphic>
                </wp:inline>
              </w:drawing>
            </w:r>
          </w:p>
        </w:tc>
        <w:tc>
          <w:tcPr>
            <w:tcW w:w="2700" w:type="dxa"/>
          </w:tcPr>
          <w:p w14:paraId="2BF7213D" w14:textId="5F5598CC" w:rsidR="001C5FD9" w:rsidRPr="009E7AC7" w:rsidRDefault="001C5FD9" w:rsidP="00B01118">
            <w:pPr>
              <w:pStyle w:val="Tabletext"/>
              <w:cnfStyle w:val="000000000000" w:firstRow="0" w:lastRow="0" w:firstColumn="0" w:lastColumn="0" w:oddVBand="0" w:evenVBand="0" w:oddHBand="0" w:evenHBand="0" w:firstRowFirstColumn="0" w:firstRowLastColumn="0" w:lastRowFirstColumn="0" w:lastRowLastColumn="0"/>
            </w:pPr>
            <w:r w:rsidRPr="00504DD2">
              <w:rPr>
                <w:rFonts w:hint="eastAsia"/>
              </w:rPr>
              <w:t xml:space="preserve">To ensure </w:t>
            </w:r>
            <w:r w:rsidR="00F11B52">
              <w:t>the G</w:t>
            </w:r>
            <w:r w:rsidRPr="00504DD2">
              <w:rPr>
                <w:rFonts w:hint="eastAsia"/>
              </w:rPr>
              <w:t>overnment contracts with suppliers who uphold high standards in relation to integrity, ethical conduct (including conflicts of interest, gifts and hospitality), human rights, OH</w:t>
            </w:r>
            <w:r w:rsidR="00272CE1">
              <w:t>&amp;</w:t>
            </w:r>
            <w:r w:rsidRPr="00504DD2">
              <w:rPr>
                <w:rFonts w:hint="eastAsia"/>
              </w:rPr>
              <w:t xml:space="preserve">S and environmental management </w:t>
            </w:r>
          </w:p>
        </w:tc>
        <w:tc>
          <w:tcPr>
            <w:tcW w:w="7020" w:type="dxa"/>
          </w:tcPr>
          <w:p w14:paraId="42C2ECC3" w14:textId="1CE24567" w:rsidR="001C5FD9" w:rsidRPr="009E7AC7" w:rsidRDefault="00BF2490" w:rsidP="00B113D7">
            <w:pPr>
              <w:pStyle w:val="Tabletext"/>
              <w:cnfStyle w:val="000000000000" w:firstRow="0" w:lastRow="0" w:firstColumn="0" w:lastColumn="0" w:oddVBand="0" w:evenVBand="0" w:oddHBand="0" w:evenHBand="0" w:firstRowFirstColumn="0" w:firstRowLastColumn="0" w:lastRowFirstColumn="0" w:lastRowLastColumn="0"/>
            </w:pPr>
            <w:r>
              <w:t>The code of conduct r</w:t>
            </w:r>
            <w:r w:rsidR="001C5FD9" w:rsidRPr="00504DD2">
              <w:rPr>
                <w:rFonts w:hint="eastAsia"/>
              </w:rPr>
              <w:t xml:space="preserve">equires agencies to ensure invitation to supply documentation requires suppliers to complete and return the Supplier Code of Conduct commitment letter confirming they will aspire to meet </w:t>
            </w:r>
            <w:r w:rsidR="00DB26B4">
              <w:rPr>
                <w:rFonts w:hint="eastAsia"/>
              </w:rPr>
              <w:t>the Government</w:t>
            </w:r>
            <w:r w:rsidR="00344D3F">
              <w:t>’</w:t>
            </w:r>
            <w:r w:rsidR="001C5FD9" w:rsidRPr="00504DD2">
              <w:rPr>
                <w:rFonts w:hint="eastAsia"/>
              </w:rPr>
              <w:t>s minimum expectations for supplier conduct.</w:t>
            </w:r>
          </w:p>
          <w:p w14:paraId="25EDEBB0" w14:textId="2F8D4833" w:rsidR="00BF2490" w:rsidRDefault="00BF2490" w:rsidP="00B113D7">
            <w:pPr>
              <w:pStyle w:val="Tabletext"/>
              <w:cnfStyle w:val="000000000000" w:firstRow="0" w:lastRow="0" w:firstColumn="0" w:lastColumn="0" w:oddVBand="0" w:evenVBand="0" w:oddHBand="0" w:evenHBand="0" w:firstRowFirstColumn="0" w:firstRowLastColumn="0" w:lastRowFirstColumn="0" w:lastRowLastColumn="0"/>
            </w:pPr>
            <w:r>
              <w:t>It r</w:t>
            </w:r>
            <w:r w:rsidRPr="00504DD2">
              <w:rPr>
                <w:rFonts w:hint="eastAsia"/>
              </w:rPr>
              <w:t xml:space="preserve">equires </w:t>
            </w:r>
            <w:r w:rsidR="001C5FD9" w:rsidRPr="00504DD2">
              <w:rPr>
                <w:rFonts w:hint="eastAsia"/>
              </w:rPr>
              <w:t>agencies to</w:t>
            </w:r>
            <w:r>
              <w:t>:</w:t>
            </w:r>
          </w:p>
          <w:p w14:paraId="18362DEB" w14:textId="2417FFA8" w:rsidR="00BF2490" w:rsidRPr="009E7AC7" w:rsidRDefault="001C5FD9" w:rsidP="0014658A">
            <w:pPr>
              <w:pStyle w:val="Tablebullet"/>
              <w:spacing w:before="30" w:after="30"/>
              <w:contextualSpacing/>
              <w:cnfStyle w:val="000000000000" w:firstRow="0" w:lastRow="0" w:firstColumn="0" w:lastColumn="0" w:oddVBand="0" w:evenVBand="0" w:oddHBand="0" w:evenHBand="0" w:firstRowFirstColumn="0" w:firstRowLastColumn="0" w:lastRowFirstColumn="0" w:lastRowLastColumn="0"/>
            </w:pPr>
            <w:r w:rsidRPr="00504DD2">
              <w:rPr>
                <w:rFonts w:hint="eastAsia"/>
              </w:rPr>
              <w:t>report and manage any breaches of the Code during contract management appropriately</w:t>
            </w:r>
          </w:p>
          <w:p w14:paraId="79732DF6" w14:textId="68232B6D" w:rsidR="00BF2490" w:rsidRPr="00BF2490" w:rsidRDefault="001C5FD9" w:rsidP="0014658A">
            <w:pPr>
              <w:pStyle w:val="Tablebullet"/>
              <w:spacing w:before="30" w:after="30"/>
              <w:contextualSpacing/>
              <w:cnfStyle w:val="000000000000" w:firstRow="0" w:lastRow="0" w:firstColumn="0" w:lastColumn="0" w:oddVBand="0" w:evenVBand="0" w:oddHBand="0" w:evenHBand="0" w:firstRowFirstColumn="0" w:firstRowLastColumn="0" w:lastRowFirstColumn="0" w:lastRowLastColumn="0"/>
            </w:pPr>
            <w:r w:rsidRPr="00BF2490">
              <w:rPr>
                <w:rFonts w:hint="eastAsia"/>
              </w:rPr>
              <w:t>identify and appropriately manage any actual or perceived conflicts of interest when conducting procurements</w:t>
            </w:r>
          </w:p>
          <w:p w14:paraId="7443AB8E" w14:textId="38C5DC6A" w:rsidR="00BF2490" w:rsidRPr="00BF2490" w:rsidRDefault="001C5FD9" w:rsidP="0014658A">
            <w:pPr>
              <w:pStyle w:val="Tablebullet"/>
              <w:spacing w:before="30" w:after="30"/>
              <w:contextualSpacing/>
              <w:cnfStyle w:val="000000000000" w:firstRow="0" w:lastRow="0" w:firstColumn="0" w:lastColumn="0" w:oddVBand="0" w:evenVBand="0" w:oddHBand="0" w:evenHBand="0" w:firstRowFirstColumn="0" w:firstRowLastColumn="0" w:lastRowFirstColumn="0" w:lastRowLastColumn="0"/>
            </w:pPr>
            <w:r w:rsidRPr="00BF2490">
              <w:rPr>
                <w:rFonts w:hint="eastAsia"/>
              </w:rPr>
              <w:t>conduct themselves with the highest standards of integrity, impartiality and accountability</w:t>
            </w:r>
            <w:r w:rsidR="00AD5BC8" w:rsidRPr="00BF2490">
              <w:t xml:space="preserve"> and</w:t>
            </w:r>
            <w:r w:rsidRPr="00BF2490">
              <w:rPr>
                <w:rFonts w:hint="eastAsia"/>
              </w:rPr>
              <w:t xml:space="preserve"> to undertake procurements without favouritism, bias or for personal gain</w:t>
            </w:r>
          </w:p>
          <w:p w14:paraId="09206198" w14:textId="19A5AF78" w:rsidR="001C5FD9" w:rsidRPr="0014658A" w:rsidRDefault="001C5FD9" w:rsidP="0014658A">
            <w:pPr>
              <w:pStyle w:val="Tablebullet"/>
              <w:spacing w:before="30" w:after="30"/>
              <w:contextualSpacing/>
              <w:cnfStyle w:val="000000000000" w:firstRow="0" w:lastRow="0" w:firstColumn="0" w:lastColumn="0" w:oddVBand="0" w:evenVBand="0" w:oddHBand="0" w:evenHBand="0" w:firstRowFirstColumn="0" w:firstRowLastColumn="0" w:lastRowFirstColumn="0" w:lastRowLastColumn="0"/>
              <w:rPr>
                <w:rFonts w:ascii="VIC" w:hAnsi="VIC"/>
                <w:szCs w:val="17"/>
              </w:rPr>
            </w:pPr>
            <w:r w:rsidRPr="0014658A">
              <w:rPr>
                <w:rFonts w:ascii="VIC" w:hAnsi="VIC"/>
                <w:szCs w:val="17"/>
              </w:rPr>
              <w:t>appropriately handle any offers of gifts, benefits and hospitality.</w:t>
            </w:r>
          </w:p>
          <w:p w14:paraId="3A4CABC8" w14:textId="044943B9" w:rsidR="001C5FD9" w:rsidRPr="009E7AC7" w:rsidRDefault="001C5FD9" w:rsidP="00B113D7">
            <w:pPr>
              <w:pStyle w:val="Tabletext"/>
              <w:spacing w:before="120"/>
              <w:cnfStyle w:val="000000000000" w:firstRow="0" w:lastRow="0" w:firstColumn="0" w:lastColumn="0" w:oddVBand="0" w:evenVBand="0" w:oddHBand="0" w:evenHBand="0" w:firstRowFirstColumn="0" w:firstRowLastColumn="0" w:lastRowFirstColumn="0" w:lastRowLastColumn="0"/>
            </w:pPr>
            <w:r w:rsidRPr="00504DD2">
              <w:rPr>
                <w:rFonts w:hint="eastAsia"/>
              </w:rPr>
              <w:t xml:space="preserve">Agencies may include aspiration to meet the </w:t>
            </w:r>
            <w:r w:rsidR="00BF2490">
              <w:t>c</w:t>
            </w:r>
            <w:r w:rsidRPr="00504DD2">
              <w:rPr>
                <w:rFonts w:hint="eastAsia"/>
              </w:rPr>
              <w:t xml:space="preserve">ode </w:t>
            </w:r>
            <w:r w:rsidR="00BF2490">
              <w:t xml:space="preserve">of conduct </w:t>
            </w:r>
            <w:r w:rsidRPr="00504DD2">
              <w:rPr>
                <w:rFonts w:hint="eastAsia"/>
              </w:rPr>
              <w:t>as a key performance indicator within a contract management strategy.</w:t>
            </w:r>
          </w:p>
          <w:p w14:paraId="2A66EDE6" w14:textId="6CB9EA5B" w:rsidR="001C5FD9" w:rsidRPr="00171CF8" w:rsidRDefault="00894832" w:rsidP="00B113D7">
            <w:pPr>
              <w:pStyle w:val="Tabletext"/>
              <w:cnfStyle w:val="000000000000" w:firstRow="0" w:lastRow="0" w:firstColumn="0" w:lastColumn="0" w:oddVBand="0" w:evenVBand="0" w:oddHBand="0" w:evenHBand="0" w:firstRowFirstColumn="0" w:firstRowLastColumn="0" w:lastRowFirstColumn="0" w:lastRowLastColumn="0"/>
              <w:rPr>
                <w:rStyle w:val="Hyperlink"/>
              </w:rPr>
            </w:pPr>
            <w:hyperlink r:id="rId247" w:history="1">
              <w:r w:rsidR="001C5FD9" w:rsidRPr="00171CF8">
                <w:rPr>
                  <w:rStyle w:val="Hyperlink"/>
                </w:rPr>
                <w:t>https://www.buying</w:t>
              </w:r>
              <w:bookmarkStart w:id="497" w:name="_Hlt145503533"/>
              <w:r w:rsidR="001C5FD9" w:rsidRPr="00171CF8">
                <w:rPr>
                  <w:rStyle w:val="Hyperlink"/>
                </w:rPr>
                <w:t>f</w:t>
              </w:r>
              <w:bookmarkEnd w:id="497"/>
              <w:r w:rsidR="001C5FD9" w:rsidRPr="00171CF8">
                <w:rPr>
                  <w:rStyle w:val="Hyperlink"/>
                </w:rPr>
                <w:t>or.vic.gov.au/supplier-code-conduct</w:t>
              </w:r>
            </w:hyperlink>
          </w:p>
          <w:p w14:paraId="49C16D04" w14:textId="33608784" w:rsidR="001C5FD9" w:rsidRPr="009E7AC7" w:rsidRDefault="00894832" w:rsidP="00B113D7">
            <w:pPr>
              <w:pStyle w:val="Tabletext"/>
              <w:cnfStyle w:val="000000000000" w:firstRow="0" w:lastRow="0" w:firstColumn="0" w:lastColumn="0" w:oddVBand="0" w:evenVBand="0" w:oddHBand="0" w:evenHBand="0" w:firstRowFirstColumn="0" w:firstRowLastColumn="0" w:lastRowFirstColumn="0" w:lastRowLastColumn="0"/>
              <w:rPr>
                <w:rFonts w:ascii="VIC" w:hAnsi="VIC"/>
                <w:szCs w:val="17"/>
              </w:rPr>
            </w:pPr>
            <w:hyperlink r:id="rId248" w:history="1">
              <w:r w:rsidR="001C5FD9" w:rsidRPr="00171CF8">
                <w:rPr>
                  <w:rStyle w:val="Hyperlink"/>
                </w:rPr>
                <w:t>https://www.buyingfor.vic.gov.au/supplie</w:t>
              </w:r>
              <w:bookmarkStart w:id="498" w:name="_Hlt145503537"/>
              <w:r w:rsidR="001C5FD9" w:rsidRPr="00171CF8">
                <w:rPr>
                  <w:rStyle w:val="Hyperlink"/>
                </w:rPr>
                <w:t>r</w:t>
              </w:r>
              <w:bookmarkEnd w:id="498"/>
              <w:r w:rsidR="001C5FD9" w:rsidRPr="00171CF8">
                <w:rPr>
                  <w:rStyle w:val="Hyperlink"/>
                </w:rPr>
                <w:t>-code-conduct-toolkit-and-document-library</w:t>
              </w:r>
            </w:hyperlink>
          </w:p>
        </w:tc>
        <w:tc>
          <w:tcPr>
            <w:tcW w:w="2430" w:type="dxa"/>
          </w:tcPr>
          <w:p w14:paraId="1C8011D7"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Tendering</w:t>
            </w:r>
          </w:p>
        </w:tc>
      </w:tr>
      <w:tr w:rsidR="001C5FD9" w:rsidRPr="004B5A4E" w14:paraId="6B07B8A1"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42C12EAB" w14:textId="77777777" w:rsidR="001C5FD9" w:rsidRPr="00F45635" w:rsidRDefault="001C5FD9" w:rsidP="00F7602B">
            <w:pPr>
              <w:rPr>
                <w:rFonts w:ascii="VIC" w:hAnsi="VIC"/>
                <w:szCs w:val="17"/>
              </w:rPr>
            </w:pPr>
            <w:r w:rsidRPr="00F45635">
              <w:rPr>
                <w:rFonts w:ascii="VIC" w:hAnsi="VIC"/>
                <w:szCs w:val="17"/>
              </w:rPr>
              <w:t>Tip Truck Policy</w:t>
            </w:r>
          </w:p>
          <w:p w14:paraId="08284026" w14:textId="1A6B0CC2"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17D525ED" wp14:editId="671CB875">
                  <wp:extent cx="411480" cy="411480"/>
                  <wp:effectExtent l="0" t="0" r="0" b="7620"/>
                  <wp:docPr id="1940597823" name="Graphic 1940597823"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0B31A61C" w14:textId="313CEAB6" w:rsidR="001C5FD9" w:rsidRPr="009E7AC7" w:rsidRDefault="001C5FD9" w:rsidP="00B113D7">
            <w:pPr>
              <w:pStyle w:val="Tabletext"/>
              <w:cnfStyle w:val="000000010000" w:firstRow="0" w:lastRow="0" w:firstColumn="0" w:lastColumn="0" w:oddVBand="0" w:evenVBand="0" w:oddHBand="0" w:evenHBand="1" w:firstRowFirstColumn="0" w:firstRowLastColumn="0" w:lastRowFirstColumn="0" w:lastRowLastColumn="0"/>
            </w:pPr>
            <w:r w:rsidRPr="00504DD2">
              <w:rPr>
                <w:rFonts w:hint="eastAsia"/>
              </w:rPr>
              <w:t xml:space="preserve">Mandates minimum rates of pay for tip truck owner drivers working on </w:t>
            </w:r>
            <w:r w:rsidR="007D22BC">
              <w:t>government</w:t>
            </w:r>
            <w:r w:rsidR="00DC395F" w:rsidRPr="00504DD2">
              <w:rPr>
                <w:rFonts w:hint="eastAsia"/>
              </w:rPr>
              <w:t>-</w:t>
            </w:r>
            <w:r w:rsidRPr="00504DD2">
              <w:rPr>
                <w:rFonts w:hint="eastAsia"/>
              </w:rPr>
              <w:t>funded construction projects</w:t>
            </w:r>
          </w:p>
        </w:tc>
        <w:tc>
          <w:tcPr>
            <w:tcW w:w="7020" w:type="dxa"/>
          </w:tcPr>
          <w:p w14:paraId="0ABE2B69" w14:textId="704AA084" w:rsidR="001C5FD9" w:rsidRPr="009E7AC7" w:rsidRDefault="00BF2490" w:rsidP="00B113D7">
            <w:pPr>
              <w:pStyle w:val="Tabletext"/>
              <w:cnfStyle w:val="000000010000" w:firstRow="0" w:lastRow="0" w:firstColumn="0" w:lastColumn="0" w:oddVBand="0" w:evenVBand="0" w:oddHBand="0" w:evenHBand="1" w:firstRowFirstColumn="0" w:firstRowLastColumn="0" w:lastRowFirstColumn="0" w:lastRowLastColumn="0"/>
            </w:pPr>
            <w:r>
              <w:t>This policy r</w:t>
            </w:r>
            <w:r w:rsidR="001C5FD9" w:rsidRPr="06BA7C73">
              <w:rPr>
                <w:rFonts w:hint="eastAsia"/>
              </w:rPr>
              <w:t xml:space="preserve">equires </w:t>
            </w:r>
            <w:r w:rsidR="0014658A">
              <w:t xml:space="preserve">that </w:t>
            </w:r>
            <w:r w:rsidR="001C5FD9" w:rsidRPr="06BA7C73">
              <w:rPr>
                <w:rFonts w:hint="eastAsia"/>
              </w:rPr>
              <w:t>agenc</w:t>
            </w:r>
            <w:r w:rsidR="00E25AC4">
              <w:t>y</w:t>
            </w:r>
            <w:r w:rsidR="001C5FD9" w:rsidRPr="06BA7C73">
              <w:rPr>
                <w:rFonts w:hint="eastAsia"/>
              </w:rPr>
              <w:t xml:space="preserve"> contracts require the </w:t>
            </w:r>
            <w:r w:rsidR="0049602C" w:rsidRPr="06BA7C73">
              <w:rPr>
                <w:rFonts w:hint="eastAsia"/>
              </w:rPr>
              <w:t xml:space="preserve">contractor </w:t>
            </w:r>
            <w:r w:rsidR="001C5FD9" w:rsidRPr="06BA7C73">
              <w:rPr>
                <w:rFonts w:hint="eastAsia"/>
              </w:rPr>
              <w:t>to ensure that any tip truck driver engaged in excavation work on a project, either directly or indirectly through one or more subcontractors, is paid according to the tip truck policy.</w:t>
            </w:r>
          </w:p>
          <w:p w14:paraId="3C940734" w14:textId="77777777" w:rsidR="001C5FD9" w:rsidRPr="009E7AC7" w:rsidRDefault="001C5FD9" w:rsidP="00B113D7">
            <w:pPr>
              <w:pStyle w:val="Tabletext"/>
              <w:cnfStyle w:val="000000010000" w:firstRow="0" w:lastRow="0" w:firstColumn="0" w:lastColumn="0" w:oddVBand="0" w:evenVBand="0" w:oddHBand="0" w:evenHBand="1" w:firstRowFirstColumn="0" w:firstRowLastColumn="0" w:lastRowFirstColumn="0" w:lastRowLastColumn="0"/>
              <w:rPr>
                <w:szCs w:val="17"/>
              </w:rPr>
            </w:pPr>
            <w:r w:rsidRPr="00504DD2">
              <w:rPr>
                <w:rFonts w:hint="eastAsia"/>
                <w:szCs w:val="17"/>
              </w:rPr>
              <w:t>Model clauses are available to support agencies enforce this requirement.</w:t>
            </w:r>
          </w:p>
          <w:p w14:paraId="15E5283D" w14:textId="193BA082" w:rsidR="001C5FD9" w:rsidRPr="009E7AC7" w:rsidRDefault="00894832" w:rsidP="00B113D7">
            <w:pPr>
              <w:pStyle w:val="Tabletext"/>
              <w:cnfStyle w:val="000000010000" w:firstRow="0" w:lastRow="0" w:firstColumn="0" w:lastColumn="0" w:oddVBand="0" w:evenVBand="0" w:oddHBand="0" w:evenHBand="1" w:firstRowFirstColumn="0" w:firstRowLastColumn="0" w:lastRowFirstColumn="0" w:lastRowLastColumn="0"/>
              <w:rPr>
                <w:color w:val="auto"/>
                <w:szCs w:val="17"/>
              </w:rPr>
            </w:pPr>
            <w:hyperlink r:id="rId249" w:history="1">
              <w:r w:rsidR="001C5FD9" w:rsidRPr="00504DD2">
                <w:rPr>
                  <w:rFonts w:hint="eastAsia"/>
                  <w:color w:val="53565A" w:themeColor="hyperlink"/>
                  <w:szCs w:val="17"/>
                  <w:u w:val="single"/>
                </w:rPr>
                <w:t>https://www.dtf.vic.gov.au/ministerial-directions-and-instructions-public-constru</w:t>
              </w:r>
              <w:bookmarkStart w:id="499" w:name="_Hlt145503563"/>
              <w:r w:rsidR="001C5FD9" w:rsidRPr="00504DD2">
                <w:rPr>
                  <w:rFonts w:hint="eastAsia"/>
                  <w:color w:val="53565A" w:themeColor="hyperlink"/>
                  <w:szCs w:val="17"/>
                  <w:u w:val="single"/>
                </w:rPr>
                <w:t>c</w:t>
              </w:r>
              <w:bookmarkEnd w:id="499"/>
              <w:r w:rsidR="001C5FD9" w:rsidRPr="00504DD2">
                <w:rPr>
                  <w:rFonts w:hint="eastAsia"/>
                  <w:color w:val="53565A" w:themeColor="hyperlink"/>
                  <w:szCs w:val="17"/>
                  <w:u w:val="single"/>
                </w:rPr>
                <w:t>tion-procurement/contractual-terms-an</w:t>
              </w:r>
              <w:bookmarkStart w:id="500" w:name="_Hlt145503686"/>
              <w:r w:rsidR="001C5FD9" w:rsidRPr="00504DD2">
                <w:rPr>
                  <w:rFonts w:hint="eastAsia"/>
                  <w:color w:val="53565A" w:themeColor="hyperlink"/>
                  <w:szCs w:val="17"/>
                  <w:u w:val="single"/>
                </w:rPr>
                <w:t>d</w:t>
              </w:r>
              <w:bookmarkEnd w:id="500"/>
              <w:r w:rsidR="001C5FD9" w:rsidRPr="00504DD2">
                <w:rPr>
                  <w:rFonts w:hint="eastAsia"/>
                  <w:color w:val="53565A" w:themeColor="hyperlink"/>
                  <w:szCs w:val="17"/>
                  <w:u w:val="single"/>
                </w:rPr>
                <w:t>-conditions-direction-and-instruction-72</w:t>
              </w:r>
            </w:hyperlink>
          </w:p>
        </w:tc>
        <w:tc>
          <w:tcPr>
            <w:tcW w:w="2430" w:type="dxa"/>
          </w:tcPr>
          <w:p w14:paraId="1345778B"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Contracting, contract management</w:t>
            </w:r>
          </w:p>
        </w:tc>
      </w:tr>
      <w:tr w:rsidR="001C5FD9" w:rsidRPr="004B5A4E" w14:paraId="5EFB05A3"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2242EDFA" w14:textId="3F683E5C" w:rsidR="001C5FD9" w:rsidRPr="00F45635" w:rsidRDefault="001A5D02" w:rsidP="00F7602B">
            <w:pPr>
              <w:rPr>
                <w:rFonts w:ascii="VIC" w:hAnsi="VIC"/>
                <w:szCs w:val="17"/>
              </w:rPr>
            </w:pPr>
            <w:r>
              <w:rPr>
                <w:rFonts w:ascii="VIC" w:hAnsi="VIC"/>
                <w:szCs w:val="17"/>
              </w:rPr>
              <w:t xml:space="preserve">Victoria’s </w:t>
            </w:r>
            <w:r w:rsidR="001C5FD9" w:rsidRPr="00F45635">
              <w:rPr>
                <w:rFonts w:ascii="VIC" w:hAnsi="VIC"/>
                <w:szCs w:val="17"/>
              </w:rPr>
              <w:t>Value Creation and Capture Framework</w:t>
            </w:r>
            <w:r w:rsidR="00BB4F77" w:rsidRPr="00F45635">
              <w:rPr>
                <w:rFonts w:ascii="VIC" w:hAnsi="VIC"/>
                <w:szCs w:val="17"/>
              </w:rPr>
              <w:t xml:space="preserve"> (VCC)</w:t>
            </w:r>
          </w:p>
          <w:p w14:paraId="15BE567C" w14:textId="6304117C" w:rsidR="001C5FD9" w:rsidRPr="00F45635" w:rsidRDefault="008F02FA" w:rsidP="00F7602B">
            <w:pPr>
              <w:rPr>
                <w:rFonts w:ascii="VIC" w:hAnsi="VIC"/>
                <w:szCs w:val="17"/>
              </w:rPr>
            </w:pPr>
            <w:r w:rsidRPr="00F45635">
              <w:rPr>
                <w:rFonts w:ascii="VIC SemiBold" w:hAnsi="VIC SemiBold"/>
                <w:noProof/>
                <w:color w:val="C00000"/>
                <w:szCs w:val="17"/>
              </w:rPr>
              <w:drawing>
                <wp:inline distT="0" distB="0" distL="0" distR="0" wp14:anchorId="5EE4E3A5" wp14:editId="0DFE1520">
                  <wp:extent cx="411480" cy="411480"/>
                  <wp:effectExtent l="0" t="0" r="7620" b="7620"/>
                  <wp:docPr id="90" name="Graphic 90"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c>
          <w:tcPr>
            <w:tcW w:w="2700" w:type="dxa"/>
          </w:tcPr>
          <w:p w14:paraId="42089236" w14:textId="41756739" w:rsidR="001C5FD9" w:rsidRPr="009E7AC7" w:rsidRDefault="001C5FD9" w:rsidP="00B113D7">
            <w:pPr>
              <w:pStyle w:val="Tabletext"/>
              <w:cnfStyle w:val="000000000000" w:firstRow="0" w:lastRow="0" w:firstColumn="0" w:lastColumn="0" w:oddVBand="0" w:evenVBand="0" w:oddHBand="0" w:evenHBand="0" w:firstRowFirstColumn="0" w:firstRowLastColumn="0" w:lastRowFirstColumn="0" w:lastRowLastColumn="0"/>
            </w:pPr>
            <w:r w:rsidRPr="00504DD2">
              <w:rPr>
                <w:rFonts w:hint="eastAsia"/>
              </w:rPr>
              <w:t>To maximise the value and benefits achieved on an investment and/or to identify and leverage revenue streams that can be used to partially or wholly fund the investment</w:t>
            </w:r>
          </w:p>
        </w:tc>
        <w:tc>
          <w:tcPr>
            <w:tcW w:w="7020" w:type="dxa"/>
          </w:tcPr>
          <w:p w14:paraId="5DDE002D" w14:textId="59849DF4" w:rsidR="001C5FD9" w:rsidRPr="009E7AC7" w:rsidRDefault="00BF2490" w:rsidP="00B113D7">
            <w:pPr>
              <w:pStyle w:val="Tabletext"/>
              <w:cnfStyle w:val="000000000000" w:firstRow="0" w:lastRow="0" w:firstColumn="0" w:lastColumn="0" w:oddVBand="0" w:evenVBand="0" w:oddHBand="0" w:evenHBand="0" w:firstRowFirstColumn="0" w:firstRowLastColumn="0" w:lastRowFirstColumn="0" w:lastRowLastColumn="0"/>
            </w:pPr>
            <w:r>
              <w:t>The framework r</w:t>
            </w:r>
            <w:r w:rsidR="001C5FD9" w:rsidRPr="1024227F">
              <w:rPr>
                <w:rFonts w:hint="eastAsia"/>
              </w:rPr>
              <w:t xml:space="preserve">equires agencies to consider </w:t>
            </w:r>
            <w:r w:rsidR="00C56F3D" w:rsidRPr="1024227F">
              <w:t>VCC</w:t>
            </w:r>
            <w:r w:rsidR="001C5FD9" w:rsidRPr="1024227F">
              <w:rPr>
                <w:rFonts w:hint="eastAsia"/>
              </w:rPr>
              <w:t xml:space="preserve"> opportunities for any relevant asset investment proposals submitted for budget funding. Agencies should:</w:t>
            </w:r>
          </w:p>
          <w:p w14:paraId="28B9A108" w14:textId="0951051C" w:rsidR="001C5FD9" w:rsidRPr="004F0C3E" w:rsidRDefault="00D00E6E" w:rsidP="001D2615">
            <w:pPr>
              <w:pStyle w:val="Tablebullet"/>
              <w:spacing w:before="30" w:after="30"/>
              <w:contextualSpacing/>
              <w:cnfStyle w:val="000000000000" w:firstRow="0" w:lastRow="0" w:firstColumn="0" w:lastColumn="0" w:oddVBand="0" w:evenVBand="0" w:oddHBand="0" w:evenHBand="0" w:firstRowFirstColumn="0" w:firstRowLastColumn="0" w:lastRowFirstColumn="0" w:lastRowLastColumn="0"/>
              <w:rPr>
                <w:szCs w:val="17"/>
              </w:rPr>
            </w:pPr>
            <w:r>
              <w:t>use</w:t>
            </w:r>
            <w:r w:rsidR="001C5FD9">
              <w:t xml:space="preserve"> market engagement processes to test the deliverability of VCC opportunities</w:t>
            </w:r>
          </w:p>
          <w:p w14:paraId="74636BD9" w14:textId="4FAC7115" w:rsidR="001C5FD9" w:rsidRPr="004F0C3E" w:rsidRDefault="00D00E6E" w:rsidP="001D2615">
            <w:pPr>
              <w:pStyle w:val="Tablebullet"/>
              <w:spacing w:before="30" w:after="30"/>
              <w:contextualSpacing/>
              <w:cnfStyle w:val="000000000000" w:firstRow="0" w:lastRow="0" w:firstColumn="0" w:lastColumn="0" w:oddVBand="0" w:evenVBand="0" w:oddHBand="0" w:evenHBand="0" w:firstRowFirstColumn="0" w:firstRowLastColumn="0" w:lastRowFirstColumn="0" w:lastRowLastColumn="0"/>
            </w:pPr>
            <w:r>
              <w:t>ensure</w:t>
            </w:r>
            <w:r w:rsidR="001C5FD9">
              <w:t xml:space="preserve"> VCC objectives, outcomes and requirements are clearly outlined in all procurement and contract documentation. The tenderer can provide additional VCC opportunities where appropriate. It may also be appropriate to allow tenderers to propose alternative approaches that offer value to </w:t>
            </w:r>
            <w:r w:rsidR="00DB26B4">
              <w:t>the Government</w:t>
            </w:r>
            <w:r w:rsidR="001C5FD9">
              <w:t>, in addition to lodging a compliant tender offering</w:t>
            </w:r>
          </w:p>
          <w:p w14:paraId="252D49A9" w14:textId="50B137AA" w:rsidR="001C5FD9" w:rsidRPr="004F0C3E" w:rsidRDefault="00D00E6E" w:rsidP="001D2615">
            <w:pPr>
              <w:pStyle w:val="Tablebullet"/>
              <w:spacing w:before="30" w:after="30"/>
              <w:contextualSpacing/>
              <w:cnfStyle w:val="000000000000" w:firstRow="0" w:lastRow="0" w:firstColumn="0" w:lastColumn="0" w:oddVBand="0" w:evenVBand="0" w:oddHBand="0" w:evenHBand="0" w:firstRowFirstColumn="0" w:firstRowLastColumn="0" w:lastRowFirstColumn="0" w:lastRowLastColumn="0"/>
            </w:pPr>
            <w:r>
              <w:t xml:space="preserve">include </w:t>
            </w:r>
            <w:r w:rsidR="001C5FD9">
              <w:t>a separate tender criterion for evaluating any relevant VCC mechanisms. The tender evaluation process should evaluate the extent to which a proposal will achieve the VCC objectives and outcomes</w:t>
            </w:r>
          </w:p>
          <w:p w14:paraId="556FAC8A" w14:textId="39B146A8" w:rsidR="001C5FD9" w:rsidRPr="004F0C3E" w:rsidRDefault="00D00E6E" w:rsidP="001D2615">
            <w:pPr>
              <w:pStyle w:val="Tablebullet"/>
              <w:spacing w:before="30" w:after="30"/>
              <w:contextualSpacing/>
              <w:cnfStyle w:val="000000000000" w:firstRow="0" w:lastRow="0" w:firstColumn="0" w:lastColumn="0" w:oddVBand="0" w:evenVBand="0" w:oddHBand="0" w:evenHBand="0" w:firstRowFirstColumn="0" w:firstRowLastColumn="0" w:lastRowFirstColumn="0" w:lastRowLastColumn="0"/>
            </w:pPr>
            <w:r>
              <w:t xml:space="preserve">identify </w:t>
            </w:r>
            <w:r w:rsidR="001C5FD9">
              <w:t>early if a VCC element is likely to influence contractual negotiations</w:t>
            </w:r>
          </w:p>
          <w:p w14:paraId="383B034C" w14:textId="257B0B7F" w:rsidR="001C5FD9" w:rsidRPr="004F0C3E" w:rsidRDefault="001C5FD9" w:rsidP="001D2615">
            <w:pPr>
              <w:pStyle w:val="Tablebullet"/>
              <w:spacing w:before="30" w:after="30"/>
              <w:contextualSpacing/>
              <w:cnfStyle w:val="000000000000" w:firstRow="0" w:lastRow="0" w:firstColumn="0" w:lastColumn="0" w:oddVBand="0" w:evenVBand="0" w:oddHBand="0" w:evenHBand="0" w:firstRowFirstColumn="0" w:firstRowLastColumn="0" w:lastRowFirstColumn="0" w:lastRowLastColumn="0"/>
              <w:rPr>
                <w:szCs w:val="17"/>
              </w:rPr>
            </w:pPr>
            <w:r>
              <w:t xml:space="preserve">provide </w:t>
            </w:r>
            <w:r w:rsidR="00F11B52">
              <w:t xml:space="preserve">the </w:t>
            </w:r>
            <w:r>
              <w:t xml:space="preserve">Government with adequate information about the delivery of the VCC plans when seeking necessary </w:t>
            </w:r>
            <w:r w:rsidR="00891AB0">
              <w:t>g</w:t>
            </w:r>
            <w:r>
              <w:t>overnment approvals.</w:t>
            </w:r>
          </w:p>
          <w:p w14:paraId="4AFA5A4B" w14:textId="01115F99" w:rsidR="001C5FD9" w:rsidRPr="00171CF8" w:rsidRDefault="00894832" w:rsidP="00F7602B">
            <w:pPr>
              <w:cnfStyle w:val="000000000000" w:firstRow="0" w:lastRow="0" w:firstColumn="0" w:lastColumn="0" w:oddVBand="0" w:evenVBand="0" w:oddHBand="0" w:evenHBand="0" w:firstRowFirstColumn="0" w:firstRowLastColumn="0" w:lastRowFirstColumn="0" w:lastRowLastColumn="0"/>
              <w:rPr>
                <w:rStyle w:val="Hyperlink"/>
              </w:rPr>
            </w:pPr>
            <w:hyperlink r:id="rId250" w:history="1">
              <w:r w:rsidR="001C5FD9" w:rsidRPr="00171CF8">
                <w:rPr>
                  <w:rStyle w:val="Hyperlink"/>
                </w:rPr>
                <w:t>www.vic.gov.au/value-cr</w:t>
              </w:r>
              <w:bookmarkStart w:id="501" w:name="_Hlt145503843"/>
              <w:r w:rsidR="001C5FD9" w:rsidRPr="00171CF8">
                <w:rPr>
                  <w:rStyle w:val="Hyperlink"/>
                </w:rPr>
                <w:t>e</w:t>
              </w:r>
              <w:bookmarkEnd w:id="501"/>
              <w:r w:rsidR="001C5FD9" w:rsidRPr="00171CF8">
                <w:rPr>
                  <w:rStyle w:val="Hyperlink"/>
                </w:rPr>
                <w:t>ation-and-capture-framework</w:t>
              </w:r>
            </w:hyperlink>
          </w:p>
        </w:tc>
        <w:tc>
          <w:tcPr>
            <w:tcW w:w="2430" w:type="dxa"/>
          </w:tcPr>
          <w:p w14:paraId="0166C75E"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PDDD, project scoping, tendering, tender evaluation, contracting, contract management</w:t>
            </w:r>
          </w:p>
        </w:tc>
      </w:tr>
      <w:tr w:rsidR="001C5FD9" w:rsidRPr="004B5A4E" w14:paraId="767FE0D2"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5F1429A9" w14:textId="701E148A" w:rsidR="001C5FD9" w:rsidRPr="00F45635" w:rsidRDefault="001C5FD9" w:rsidP="00F7602B">
            <w:pPr>
              <w:rPr>
                <w:rFonts w:ascii="VIC" w:hAnsi="VIC"/>
                <w:szCs w:val="17"/>
              </w:rPr>
            </w:pPr>
            <w:r w:rsidRPr="00F45635">
              <w:rPr>
                <w:rFonts w:ascii="VIC" w:hAnsi="VIC"/>
                <w:szCs w:val="17"/>
              </w:rPr>
              <w:t xml:space="preserve">Victorian Government </w:t>
            </w:r>
            <w:r w:rsidR="002035D5" w:rsidRPr="00F45635">
              <w:rPr>
                <w:rFonts w:ascii="VIC" w:hAnsi="VIC"/>
                <w:szCs w:val="17"/>
              </w:rPr>
              <w:t>P</w:t>
            </w:r>
            <w:r w:rsidR="002035D5">
              <w:rPr>
                <w:rFonts w:ascii="VIC" w:hAnsi="VIC"/>
                <w:szCs w:val="17"/>
              </w:rPr>
              <w:t xml:space="preserve">urchasing </w:t>
            </w:r>
            <w:r w:rsidRPr="00F45635">
              <w:rPr>
                <w:rFonts w:ascii="VIC" w:hAnsi="VIC"/>
                <w:szCs w:val="17"/>
              </w:rPr>
              <w:t>Board</w:t>
            </w:r>
            <w:r w:rsidR="009C2D05" w:rsidRPr="00F45635">
              <w:rPr>
                <w:rFonts w:ascii="VIC" w:hAnsi="VIC"/>
                <w:szCs w:val="17"/>
              </w:rPr>
              <w:t xml:space="preserve"> (VGPB)</w:t>
            </w:r>
          </w:p>
          <w:p w14:paraId="238F2FD5" w14:textId="071F13E3"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319D8B9D" wp14:editId="0401CF2B">
                  <wp:extent cx="411480" cy="411480"/>
                  <wp:effectExtent l="0" t="0" r="0" b="7620"/>
                  <wp:docPr id="416" name="Graphic 416"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Pr="00F45635">
              <w:rPr>
                <w:rFonts w:ascii="VIC SemiBold" w:hAnsi="VIC SemiBold"/>
                <w:noProof/>
                <w:color w:val="C00000"/>
                <w:szCs w:val="17"/>
              </w:rPr>
              <w:drawing>
                <wp:inline distT="0" distB="0" distL="0" distR="0" wp14:anchorId="7AD67165" wp14:editId="0FC931FF">
                  <wp:extent cx="422306" cy="411480"/>
                  <wp:effectExtent l="0" t="0" r="0" b="7620"/>
                  <wp:docPr id="426" name="Graphic 426" descr="Transparency and competi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ransparency and competition icon"/>
                          <pic:cNvPicPr/>
                        </pic:nvPicPr>
                        <pic:blipFill rotWithShape="1">
                          <a:blip r:embed="rId43" cstate="screen">
                            <a:extLst>
                              <a:ext uri="{28A0092B-C50C-407E-A947-70E740481C1C}">
                                <a14:useLocalDpi xmlns:a14="http://schemas.microsoft.com/office/drawing/2010/main"/>
                              </a:ext>
                              <a:ext uri="{96DAC541-7B7A-43D3-8B79-37D633B846F1}">
                                <asvg:svgBlip xmlns:asvg="http://schemas.microsoft.com/office/drawing/2016/SVG/main" r:embed="rId44"/>
                              </a:ext>
                            </a:extLst>
                          </a:blip>
                          <a:srcRect l="10264" t="11299" r="6530" b="7627"/>
                          <a:stretch/>
                        </pic:blipFill>
                        <pic:spPr bwMode="auto">
                          <a:xfrm>
                            <a:off x="0" y="0"/>
                            <a:ext cx="422306" cy="411480"/>
                          </a:xfrm>
                          <a:prstGeom prst="rect">
                            <a:avLst/>
                          </a:prstGeom>
                          <a:ln>
                            <a:noFill/>
                          </a:ln>
                          <a:extLst>
                            <a:ext uri="{53640926-AAD7-44D8-BBD7-CCE9431645EC}">
                              <a14:shadowObscured xmlns:a14="http://schemas.microsoft.com/office/drawing/2010/main"/>
                            </a:ext>
                          </a:extLst>
                        </pic:spPr>
                      </pic:pic>
                    </a:graphicData>
                  </a:graphic>
                </wp:inline>
              </w:drawing>
            </w:r>
            <w:r w:rsidRPr="00F45635">
              <w:rPr>
                <w:rFonts w:ascii="VIC SemiBold" w:hAnsi="VIC SemiBold"/>
                <w:noProof/>
                <w:color w:val="C00000"/>
                <w:szCs w:val="17"/>
              </w:rPr>
              <w:drawing>
                <wp:inline distT="0" distB="0" distL="0" distR="0" wp14:anchorId="4E4A9F04" wp14:editId="1FC33518">
                  <wp:extent cx="364557" cy="411480"/>
                  <wp:effectExtent l="0" t="0" r="0" b="7620"/>
                  <wp:docPr id="427" name="Graphic 427" descr="Prob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robity icon"/>
                          <pic:cNvPicPr/>
                        </pic:nvPicPr>
                        <pic:blipFill>
                          <a:blip r:embed="rId45" cstate="screen">
                            <a:extLst>
                              <a:ext uri="{28A0092B-C50C-407E-A947-70E740481C1C}">
                                <a14:useLocalDpi xmlns:a14="http://schemas.microsoft.com/office/drawing/2010/main"/>
                              </a:ext>
                              <a:ext uri="{96DAC541-7B7A-43D3-8B79-37D633B846F1}">
                                <asvg:svgBlip xmlns:asvg="http://schemas.microsoft.com/office/drawing/2016/SVG/main" r:embed="rId46"/>
                              </a:ext>
                            </a:extLst>
                          </a:blip>
                          <a:stretch>
                            <a:fillRect/>
                          </a:stretch>
                        </pic:blipFill>
                        <pic:spPr>
                          <a:xfrm>
                            <a:off x="0" y="0"/>
                            <a:ext cx="364557" cy="411480"/>
                          </a:xfrm>
                          <a:prstGeom prst="rect">
                            <a:avLst/>
                          </a:prstGeom>
                        </pic:spPr>
                      </pic:pic>
                    </a:graphicData>
                  </a:graphic>
                </wp:inline>
              </w:drawing>
            </w:r>
          </w:p>
          <w:p w14:paraId="472AC663" w14:textId="407C6910" w:rsidR="001C5FD9" w:rsidRPr="00F45635" w:rsidRDefault="00367DC9" w:rsidP="00F7602B">
            <w:pPr>
              <w:rPr>
                <w:rFonts w:ascii="VIC" w:hAnsi="VIC"/>
                <w:szCs w:val="17"/>
              </w:rPr>
            </w:pPr>
            <w:r w:rsidRPr="00F45635">
              <w:rPr>
                <w:rFonts w:ascii="VIC SemiBold" w:hAnsi="VIC SemiBold"/>
                <w:noProof/>
                <w:color w:val="C00000"/>
                <w:szCs w:val="17"/>
              </w:rPr>
              <w:drawing>
                <wp:inline distT="0" distB="0" distL="0" distR="0" wp14:anchorId="7FD76BD7" wp14:editId="06511FEE">
                  <wp:extent cx="405727" cy="411480"/>
                  <wp:effectExtent l="0" t="0" r="0" b="7620"/>
                  <wp:docPr id="436" name="Graphic 436" descr="Scalability and effici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calability and efficiency icon"/>
                          <pic:cNvPicPr/>
                        </pic:nvPicPr>
                        <pic:blipFill>
                          <a:blip r:embed="rId48" cstate="screen">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05727" cy="411480"/>
                          </a:xfrm>
                          <a:prstGeom prst="rect">
                            <a:avLst/>
                          </a:prstGeom>
                        </pic:spPr>
                      </pic:pic>
                    </a:graphicData>
                  </a:graphic>
                </wp:inline>
              </w:drawing>
            </w:r>
          </w:p>
        </w:tc>
        <w:tc>
          <w:tcPr>
            <w:tcW w:w="2700" w:type="dxa"/>
          </w:tcPr>
          <w:p w14:paraId="4F098CCB" w14:textId="0115B34A"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504DD2">
              <w:rPr>
                <w:rFonts w:ascii="VIC" w:hAnsi="VIC" w:hint="eastAsia"/>
                <w:szCs w:val="17"/>
              </w:rPr>
              <w:t>Prescribes policies for procuring goods and services other than building construction</w:t>
            </w:r>
          </w:p>
        </w:tc>
        <w:tc>
          <w:tcPr>
            <w:tcW w:w="7020" w:type="dxa"/>
          </w:tcPr>
          <w:p w14:paraId="3C6B36DE" w14:textId="2CE19989" w:rsidR="001C5FD9" w:rsidRPr="00171CF8" w:rsidRDefault="00BF2490" w:rsidP="00171CF8">
            <w:pPr>
              <w:pStyle w:val="Tabletext"/>
              <w:cnfStyle w:val="000000010000" w:firstRow="0" w:lastRow="0" w:firstColumn="0" w:lastColumn="0" w:oddVBand="0" w:evenVBand="0" w:oddHBand="0" w:evenHBand="1" w:firstRowFirstColumn="0" w:firstRowLastColumn="0" w:lastRowFirstColumn="0" w:lastRowLastColumn="0"/>
            </w:pPr>
            <w:r>
              <w:t>The VGPB r</w:t>
            </w:r>
            <w:r w:rsidRPr="00171CF8">
              <w:t xml:space="preserve">equires </w:t>
            </w:r>
            <w:r w:rsidR="001C5FD9" w:rsidRPr="00171CF8">
              <w:t>agencies to comply with procurement rules when procuring any professional services required to support project delivery.</w:t>
            </w:r>
          </w:p>
          <w:p w14:paraId="74E24E5B" w14:textId="14AEDA4B" w:rsidR="00BB4F77"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The VGPB manages several panels of pre</w:t>
            </w:r>
            <w:r w:rsidR="00F6549D">
              <w:t>qualified</w:t>
            </w:r>
            <w:r>
              <w:t xml:space="preserve"> practitioners that can be used to engage project advisers.</w:t>
            </w:r>
          </w:p>
          <w:p w14:paraId="7824A46F" w14:textId="4705015F" w:rsidR="001C5FD9" w:rsidRPr="00171CF8" w:rsidRDefault="00894832" w:rsidP="00B01118">
            <w:pPr>
              <w:pStyle w:val="Tabletext"/>
              <w:cnfStyle w:val="000000010000" w:firstRow="0" w:lastRow="0" w:firstColumn="0" w:lastColumn="0" w:oddVBand="0" w:evenVBand="0" w:oddHBand="0" w:evenHBand="1" w:firstRowFirstColumn="0" w:firstRowLastColumn="0" w:lastRowFirstColumn="0" w:lastRowLastColumn="0"/>
              <w:rPr>
                <w:rStyle w:val="Hyperlink"/>
              </w:rPr>
            </w:pPr>
            <w:hyperlink r:id="rId251" w:history="1">
              <w:r w:rsidR="007E0F9E">
                <w:rPr>
                  <w:rStyle w:val="Hyperlink"/>
                </w:rPr>
                <w:t>https://www.buyingfor.vic.gov.au</w:t>
              </w:r>
            </w:hyperlink>
          </w:p>
          <w:p w14:paraId="30C52299" w14:textId="45C3D250" w:rsidR="001C5FD9" w:rsidRPr="009E7AC7" w:rsidRDefault="00894832" w:rsidP="00B01118">
            <w:pPr>
              <w:pStyle w:val="Tabletext"/>
              <w:cnfStyle w:val="000000010000" w:firstRow="0" w:lastRow="0" w:firstColumn="0" w:lastColumn="0" w:oddVBand="0" w:evenVBand="0" w:oddHBand="0" w:evenHBand="1" w:firstRowFirstColumn="0" w:firstRowLastColumn="0" w:lastRowFirstColumn="0" w:lastRowLastColumn="0"/>
              <w:rPr>
                <w:rFonts w:ascii="VIC" w:hAnsi="VIC"/>
                <w:szCs w:val="17"/>
              </w:rPr>
            </w:pPr>
            <w:hyperlink r:id="rId252" w:history="1">
              <w:r w:rsidR="001C5FD9" w:rsidRPr="00171CF8">
                <w:rPr>
                  <w:rStyle w:val="Hyperlink"/>
                </w:rPr>
                <w:t>https://buyingfor.vic.gov.au/browse-government-contracts</w:t>
              </w:r>
            </w:hyperlink>
          </w:p>
        </w:tc>
        <w:tc>
          <w:tcPr>
            <w:tcW w:w="2430" w:type="dxa"/>
          </w:tcPr>
          <w:p w14:paraId="15CD0D31"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Tendering, tender evaluation, contracting</w:t>
            </w:r>
          </w:p>
        </w:tc>
      </w:tr>
      <w:tr w:rsidR="001C5FD9" w:rsidRPr="004B5A4E" w14:paraId="4F2F9544"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22E0D832" w14:textId="77777777" w:rsidR="001C5FD9" w:rsidRPr="00F45635" w:rsidRDefault="001C5FD9" w:rsidP="00F7602B">
            <w:pPr>
              <w:rPr>
                <w:rFonts w:ascii="VIC" w:hAnsi="VIC"/>
                <w:szCs w:val="17"/>
              </w:rPr>
            </w:pPr>
            <w:r w:rsidRPr="00F45635">
              <w:rPr>
                <w:rFonts w:ascii="VIC" w:hAnsi="VIC"/>
                <w:szCs w:val="17"/>
              </w:rPr>
              <w:t>Victorian Government Risk Management Framework</w:t>
            </w:r>
          </w:p>
          <w:p w14:paraId="26D2AC0A" w14:textId="4E081DD1"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286CB7FD" wp14:editId="6DDB2F50">
                  <wp:extent cx="411480" cy="411480"/>
                  <wp:effectExtent l="0" t="0" r="0" b="7620"/>
                  <wp:docPr id="417" name="Graphic 417"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7B1EC61C" w14:textId="35C1CD42"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zCs w:val="17"/>
              </w:rPr>
            </w:pPr>
            <w:r w:rsidRPr="00504DD2">
              <w:rPr>
                <w:rFonts w:ascii="VIC" w:hAnsi="VIC" w:hint="eastAsia"/>
                <w:szCs w:val="17"/>
              </w:rPr>
              <w:t>Describes the minimum risk management requirements agencies are required to meet to demonstrate that they are managing risk effectively</w:t>
            </w:r>
          </w:p>
        </w:tc>
        <w:tc>
          <w:tcPr>
            <w:tcW w:w="7020" w:type="dxa"/>
          </w:tcPr>
          <w:p w14:paraId="45EC167C" w14:textId="77777777" w:rsidR="00D26D5E" w:rsidRDefault="00891AB0" w:rsidP="00F7602B">
            <w:pPr>
              <w:cnfStyle w:val="000000000000" w:firstRow="0" w:lastRow="0" w:firstColumn="0" w:lastColumn="0" w:oddVBand="0" w:evenVBand="0" w:oddHBand="0" w:evenHBand="0" w:firstRowFirstColumn="0" w:firstRowLastColumn="0" w:lastRowFirstColumn="0" w:lastRowLastColumn="0"/>
              <w:rPr>
                <w:rFonts w:ascii="VIC" w:hAnsi="VIC"/>
                <w:szCs w:val="17"/>
              </w:rPr>
            </w:pPr>
            <w:r>
              <w:rPr>
                <w:rFonts w:ascii="VIC" w:hAnsi="VIC"/>
                <w:szCs w:val="17"/>
              </w:rPr>
              <w:t>The framework d</w:t>
            </w:r>
            <w:r w:rsidRPr="00504DD2">
              <w:rPr>
                <w:rFonts w:ascii="VIC" w:hAnsi="VIC" w:hint="eastAsia"/>
                <w:szCs w:val="17"/>
              </w:rPr>
              <w:t>escribes the minimum risk management requirements agencies are required to meet to demonstrate that they are managing risk effectively</w:t>
            </w:r>
            <w:r w:rsidR="00D26D5E">
              <w:rPr>
                <w:rFonts w:ascii="VIC" w:hAnsi="VIC"/>
                <w:szCs w:val="17"/>
              </w:rPr>
              <w:t>.</w:t>
            </w:r>
          </w:p>
          <w:p w14:paraId="66A30F23" w14:textId="41ED7D51" w:rsidR="001C5FD9" w:rsidRPr="00171CF8" w:rsidRDefault="00894832" w:rsidP="00F7602B">
            <w:pPr>
              <w:cnfStyle w:val="000000000000" w:firstRow="0" w:lastRow="0" w:firstColumn="0" w:lastColumn="0" w:oddVBand="0" w:evenVBand="0" w:oddHBand="0" w:evenHBand="0" w:firstRowFirstColumn="0" w:firstRowLastColumn="0" w:lastRowFirstColumn="0" w:lastRowLastColumn="0"/>
              <w:rPr>
                <w:rStyle w:val="Hyperlink"/>
              </w:rPr>
            </w:pPr>
            <w:hyperlink r:id="rId253" w:history="1">
              <w:r w:rsidR="00D26D5E" w:rsidRPr="00D26D5E">
                <w:rPr>
                  <w:rStyle w:val="Hyperlink"/>
                </w:rPr>
                <w:t>https://www.dtf.vic.gov.au/planning-budgeting-and-financial-reporting-frameworks/victorian-risk-management-f</w:t>
              </w:r>
              <w:bookmarkStart w:id="502" w:name="_Hlt145503901"/>
              <w:r w:rsidR="00D26D5E" w:rsidRPr="00D26D5E">
                <w:rPr>
                  <w:rStyle w:val="Hyperlink"/>
                </w:rPr>
                <w:t>r</w:t>
              </w:r>
              <w:bookmarkEnd w:id="502"/>
              <w:r w:rsidR="00D26D5E" w:rsidRPr="00D26D5E">
                <w:rPr>
                  <w:rStyle w:val="Hyperlink"/>
                </w:rPr>
                <w:t>amework-and-insurance-management-policy</w:t>
              </w:r>
            </w:hyperlink>
          </w:p>
        </w:tc>
        <w:tc>
          <w:tcPr>
            <w:tcW w:w="2430" w:type="dxa"/>
          </w:tcPr>
          <w:p w14:paraId="1888B25F"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Business case, PDDD, project design, tendering, contracting, contract management</w:t>
            </w:r>
          </w:p>
        </w:tc>
      </w:tr>
      <w:tr w:rsidR="001C5FD9" w:rsidRPr="004B5A4E" w14:paraId="2E4F76F5"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6F7E38BA" w14:textId="77777777" w:rsidR="001C5FD9" w:rsidRPr="00F45635" w:rsidRDefault="001C5FD9" w:rsidP="00F7602B">
            <w:pPr>
              <w:rPr>
                <w:rFonts w:ascii="VIC" w:hAnsi="VIC"/>
                <w:szCs w:val="17"/>
              </w:rPr>
            </w:pPr>
            <w:r w:rsidRPr="00F45635">
              <w:rPr>
                <w:rFonts w:ascii="VIC" w:hAnsi="VIC"/>
                <w:szCs w:val="17"/>
              </w:rPr>
              <w:t>Whole of Victorian Government Intellectual Property Policy</w:t>
            </w:r>
          </w:p>
          <w:p w14:paraId="58532E68" w14:textId="7A3222E6"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0D43A521" wp14:editId="77228C45">
                  <wp:extent cx="411480" cy="411480"/>
                  <wp:effectExtent l="0" t="0" r="0" b="7620"/>
                  <wp:docPr id="418" name="Graphic 418"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001C5FD9" w:rsidRPr="00F45635">
              <w:rPr>
                <w:rFonts w:ascii="VIC" w:hAnsi="VIC"/>
                <w:szCs w:val="17"/>
              </w:rPr>
              <w:t xml:space="preserve"> </w:t>
            </w:r>
            <w:r w:rsidR="00367DC9" w:rsidRPr="00F45635">
              <w:rPr>
                <w:rFonts w:ascii="VIC SemiBold" w:hAnsi="VIC SemiBold"/>
                <w:noProof/>
                <w:color w:val="C00000"/>
                <w:szCs w:val="17"/>
              </w:rPr>
              <w:drawing>
                <wp:inline distT="0" distB="0" distL="0" distR="0" wp14:anchorId="7071D846" wp14:editId="5A82E60C">
                  <wp:extent cx="411480" cy="411480"/>
                  <wp:effectExtent l="0" t="0" r="7620" b="7620"/>
                  <wp:docPr id="519" name="Graphic 519" descr="Continuous improve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ontinuous improvement icon"/>
                          <pic:cNvPicPr/>
                        </pic:nvPicPr>
                        <pic:blipFill>
                          <a:blip r:embed="rId52" cstate="screen">
                            <a:extLst>
                              <a:ext uri="{28A0092B-C50C-407E-A947-70E740481C1C}">
                                <a14:useLocalDpi xmlns:a14="http://schemas.microsoft.com/office/drawing/2010/main"/>
                              </a:ext>
                              <a:ext uri="{96DAC541-7B7A-43D3-8B79-37D633B846F1}">
                                <asvg:svgBlip xmlns:asvg="http://schemas.microsoft.com/office/drawing/2016/SVG/main" r:embed="rId53"/>
                              </a:ext>
                            </a:extLst>
                          </a:blip>
                          <a:stretch>
                            <a:fillRect/>
                          </a:stretch>
                        </pic:blipFill>
                        <pic:spPr>
                          <a:xfrm>
                            <a:off x="0" y="0"/>
                            <a:ext cx="411480" cy="411480"/>
                          </a:xfrm>
                          <a:prstGeom prst="rect">
                            <a:avLst/>
                          </a:prstGeom>
                        </pic:spPr>
                      </pic:pic>
                    </a:graphicData>
                  </a:graphic>
                </wp:inline>
              </w:drawing>
            </w:r>
          </w:p>
        </w:tc>
        <w:tc>
          <w:tcPr>
            <w:tcW w:w="2700" w:type="dxa"/>
          </w:tcPr>
          <w:p w14:paraId="0A2828EC" w14:textId="2A5A75EC"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504DD2">
              <w:rPr>
                <w:rFonts w:ascii="VIC" w:hAnsi="VIC" w:hint="eastAsia"/>
                <w:szCs w:val="17"/>
              </w:rPr>
              <w:t xml:space="preserve">Ensures that </w:t>
            </w:r>
            <w:r w:rsidR="00DB26B4">
              <w:rPr>
                <w:rFonts w:ascii="VIC" w:hAnsi="VIC" w:hint="eastAsia"/>
                <w:szCs w:val="17"/>
              </w:rPr>
              <w:t>the Government</w:t>
            </w:r>
            <w:r w:rsidRPr="00504DD2">
              <w:rPr>
                <w:rFonts w:ascii="VIC" w:hAnsi="VIC" w:hint="eastAsia"/>
                <w:szCs w:val="17"/>
              </w:rPr>
              <w:t xml:space="preserve"> manages its own and others</w:t>
            </w:r>
            <w:r w:rsidR="00344D3F">
              <w:rPr>
                <w:rFonts w:ascii="VIC" w:hAnsi="VIC"/>
                <w:szCs w:val="17"/>
              </w:rPr>
              <w:t>’</w:t>
            </w:r>
            <w:r w:rsidRPr="00504DD2">
              <w:rPr>
                <w:rFonts w:ascii="VIC" w:hAnsi="VIC" w:hint="eastAsia"/>
                <w:szCs w:val="17"/>
              </w:rPr>
              <w:t xml:space="preserve"> intellectual property appropriately</w:t>
            </w:r>
          </w:p>
        </w:tc>
        <w:tc>
          <w:tcPr>
            <w:tcW w:w="7020" w:type="dxa"/>
          </w:tcPr>
          <w:p w14:paraId="41B690BE" w14:textId="2C2EBE1F" w:rsidR="001C5FD9" w:rsidRPr="004F0C3E" w:rsidRDefault="00BF2490" w:rsidP="00171CF8">
            <w:pPr>
              <w:pStyle w:val="Tabletext"/>
              <w:cnfStyle w:val="000000010000" w:firstRow="0" w:lastRow="0" w:firstColumn="0" w:lastColumn="0" w:oddVBand="0" w:evenVBand="0" w:oddHBand="0" w:evenHBand="1" w:firstRowFirstColumn="0" w:firstRowLastColumn="0" w:lastRowFirstColumn="0" w:lastRowLastColumn="0"/>
            </w:pPr>
            <w:r>
              <w:t xml:space="preserve">This policy </w:t>
            </w:r>
            <w:r w:rsidR="00D26D5E">
              <w:t xml:space="preserve">describes how the Government can appropriately manage </w:t>
            </w:r>
            <w:r w:rsidR="00D26D5E" w:rsidRPr="00171CF8">
              <w:t>intellectual property</w:t>
            </w:r>
            <w:r w:rsidR="00D26D5E">
              <w:t xml:space="preserve"> by</w:t>
            </w:r>
            <w:r w:rsidR="001C5FD9">
              <w:t>:</w:t>
            </w:r>
          </w:p>
          <w:p w14:paraId="13DBACE8" w14:textId="5E7B6440" w:rsidR="001C5FD9" w:rsidRPr="004F0C3E" w:rsidRDefault="001C5FD9" w:rsidP="001D2615">
            <w:pPr>
              <w:pStyle w:val="Tablebullet"/>
              <w:cnfStyle w:val="000000010000" w:firstRow="0" w:lastRow="0" w:firstColumn="0" w:lastColumn="0" w:oddVBand="0" w:evenVBand="0" w:oddHBand="0" w:evenHBand="1" w:firstRowFirstColumn="0" w:firstRowLastColumn="0" w:lastRowFirstColumn="0" w:lastRowLastColumn="0"/>
            </w:pPr>
            <w:r>
              <w:t>address</w:t>
            </w:r>
            <w:r w:rsidR="00D26D5E">
              <w:t>ing</w:t>
            </w:r>
            <w:r>
              <w:t xml:space="preserve"> in an agreement any rights to intellectual property that may arise as a consequence of the procurement</w:t>
            </w:r>
          </w:p>
          <w:p w14:paraId="6D84F8A0" w14:textId="2E590AFF" w:rsidR="001C5FD9" w:rsidRPr="004F0C3E" w:rsidRDefault="001C5FD9" w:rsidP="001D2615">
            <w:pPr>
              <w:pStyle w:val="Tablebullet"/>
              <w:cnfStyle w:val="000000010000" w:firstRow="0" w:lastRow="0" w:firstColumn="0" w:lastColumn="0" w:oddVBand="0" w:evenVBand="0" w:oddHBand="0" w:evenHBand="1" w:firstRowFirstColumn="0" w:firstRowLastColumn="0" w:lastRowFirstColumn="0" w:lastRowLastColumn="0"/>
            </w:pPr>
            <w:r>
              <w:t>secur</w:t>
            </w:r>
            <w:r w:rsidR="00D26D5E">
              <w:t>ing</w:t>
            </w:r>
            <w:r>
              <w:t xml:space="preserve"> a licence to the intellectual property, only to the extent necessary to achieve the purposes of the procurement</w:t>
            </w:r>
          </w:p>
          <w:p w14:paraId="214302BF" w14:textId="5575107C" w:rsidR="001C5FD9" w:rsidRPr="004F0C3E" w:rsidRDefault="001C5FD9" w:rsidP="001D2615">
            <w:pPr>
              <w:pStyle w:val="Tablebullet"/>
              <w:cnfStyle w:val="000000010000" w:firstRow="0" w:lastRow="0" w:firstColumn="0" w:lastColumn="0" w:oddVBand="0" w:evenVBand="0" w:oddHBand="0" w:evenHBand="1" w:firstRowFirstColumn="0" w:firstRowLastColumn="0" w:lastRowFirstColumn="0" w:lastRowLastColumn="0"/>
            </w:pPr>
            <w:r>
              <w:t>only acquire</w:t>
            </w:r>
            <w:r w:rsidR="00E56FB4">
              <w:t>s</w:t>
            </w:r>
            <w:r>
              <w:t xml:space="preserve"> ownership of the intellectual property if a licence is not adequate in the circumstances.</w:t>
            </w:r>
          </w:p>
          <w:p w14:paraId="22CD0D2A" w14:textId="27F72449" w:rsidR="001C5FD9" w:rsidRPr="00171CF8" w:rsidRDefault="00894832" w:rsidP="00F7602B">
            <w:pPr>
              <w:cnfStyle w:val="000000010000" w:firstRow="0" w:lastRow="0" w:firstColumn="0" w:lastColumn="0" w:oddVBand="0" w:evenVBand="0" w:oddHBand="0" w:evenHBand="1" w:firstRowFirstColumn="0" w:firstRowLastColumn="0" w:lastRowFirstColumn="0" w:lastRowLastColumn="0"/>
              <w:rPr>
                <w:rStyle w:val="Hyperlink"/>
              </w:rPr>
            </w:pPr>
            <w:hyperlink r:id="rId254" w:history="1">
              <w:r w:rsidR="001C5FD9" w:rsidRPr="00171CF8">
                <w:rPr>
                  <w:rStyle w:val="Hyperlink"/>
                </w:rPr>
                <w:t>https://w</w:t>
              </w:r>
              <w:bookmarkStart w:id="503" w:name="_Hlt145504050"/>
              <w:r w:rsidR="001C5FD9" w:rsidRPr="00171CF8">
                <w:rPr>
                  <w:rStyle w:val="Hyperlink"/>
                </w:rPr>
                <w:t>w</w:t>
              </w:r>
              <w:bookmarkEnd w:id="503"/>
              <w:r w:rsidR="001C5FD9" w:rsidRPr="00171CF8">
                <w:rPr>
                  <w:rStyle w:val="Hyperlink"/>
                </w:rPr>
                <w:t>w.dtf.vic.gov.au/funds-programs-and-policies/intellectual-property-policy</w:t>
              </w:r>
            </w:hyperlink>
          </w:p>
        </w:tc>
        <w:tc>
          <w:tcPr>
            <w:tcW w:w="2430" w:type="dxa"/>
          </w:tcPr>
          <w:p w14:paraId="2F7ECB71"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 xml:space="preserve">Tendering, tender evaluation, contracting, contract management </w:t>
            </w:r>
          </w:p>
        </w:tc>
      </w:tr>
      <w:tr w:rsidR="001C5FD9" w:rsidRPr="004B5A4E" w14:paraId="668C1799"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14400" w:type="dxa"/>
            <w:gridSpan w:val="4"/>
          </w:tcPr>
          <w:p w14:paraId="399364BA" w14:textId="77777777" w:rsidR="001C5FD9" w:rsidRPr="00B01118" w:rsidRDefault="001C5FD9" w:rsidP="00B01118">
            <w:pPr>
              <w:pStyle w:val="Tabletext"/>
              <w:keepNext/>
              <w:rPr>
                <w:rFonts w:asciiTheme="majorHAnsi" w:hAnsiTheme="majorHAnsi"/>
                <w:sz w:val="18"/>
                <w:szCs w:val="20"/>
              </w:rPr>
            </w:pPr>
            <w:r w:rsidRPr="00B01118">
              <w:rPr>
                <w:rFonts w:asciiTheme="majorHAnsi" w:hAnsiTheme="majorHAnsi"/>
                <w:sz w:val="18"/>
              </w:rPr>
              <w:t>Commonwealth Government policies</w:t>
            </w:r>
          </w:p>
        </w:tc>
      </w:tr>
      <w:tr w:rsidR="001C5FD9" w:rsidRPr="004B5A4E" w14:paraId="4FADD552"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2772353B" w14:textId="77777777" w:rsidR="001C5FD9" w:rsidRPr="00F45635" w:rsidRDefault="001C5FD9" w:rsidP="00F7602B">
            <w:pPr>
              <w:rPr>
                <w:rFonts w:ascii="VIC" w:hAnsi="VIC"/>
                <w:szCs w:val="17"/>
              </w:rPr>
            </w:pPr>
            <w:r w:rsidRPr="00F45635">
              <w:rPr>
                <w:rFonts w:ascii="VIC" w:hAnsi="VIC"/>
                <w:szCs w:val="17"/>
              </w:rPr>
              <w:t>Australian Government Building and Construction OH&amp;S Accreditation Scheme</w:t>
            </w:r>
          </w:p>
          <w:p w14:paraId="6370DA72" w14:textId="53281670"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43F1AE9D" wp14:editId="29C49467">
                  <wp:extent cx="411480" cy="411480"/>
                  <wp:effectExtent l="0" t="0" r="0" b="7620"/>
                  <wp:docPr id="419" name="Graphic 419"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7B792239" w14:textId="1010F096"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b/>
                <w:szCs w:val="17"/>
              </w:rPr>
            </w:pPr>
            <w:r w:rsidRPr="00504DD2">
              <w:rPr>
                <w:rFonts w:ascii="VIC" w:hAnsi="VIC" w:hint="eastAsia"/>
                <w:szCs w:val="17"/>
              </w:rPr>
              <w:t>Enables the Australian Government to use its influence as a major construction client and provider of capital to improve the workplace safety performance of the building and construction industry</w:t>
            </w:r>
          </w:p>
        </w:tc>
        <w:tc>
          <w:tcPr>
            <w:tcW w:w="7020" w:type="dxa"/>
          </w:tcPr>
          <w:p w14:paraId="39B9197F" w14:textId="5FED5A2B" w:rsidR="001C5FD9" w:rsidRDefault="00BF2490" w:rsidP="00261724">
            <w:pPr>
              <w:pStyle w:val="Tabletext"/>
              <w:cnfStyle w:val="000000010000" w:firstRow="0" w:lastRow="0" w:firstColumn="0" w:lastColumn="0" w:oddVBand="0" w:evenVBand="0" w:oddHBand="0" w:evenHBand="1" w:firstRowFirstColumn="0" w:firstRowLastColumn="0" w:lastRowFirstColumn="0" w:lastRowLastColumn="0"/>
            </w:pPr>
            <w:r>
              <w:t>The scheme r</w:t>
            </w:r>
            <w:r w:rsidR="001C5FD9" w:rsidRPr="00171CF8">
              <w:t>equires agencies to only enter into head contracts with builders who are accredited under the Scheme where an investment is wholly or partially, directly or indirectly funded by the Austra</w:t>
            </w:r>
            <w:r w:rsidR="001C5FD9">
              <w:t>lian Govern</w:t>
            </w:r>
            <w:r w:rsidR="001C5FD9" w:rsidRPr="00171CF8">
              <w:t>ment.</w:t>
            </w:r>
          </w:p>
          <w:p w14:paraId="638F0690" w14:textId="0EC83188" w:rsidR="00D26D5E" w:rsidRPr="00261724" w:rsidRDefault="00894832" w:rsidP="00261724">
            <w:pPr>
              <w:pStyle w:val="Tabletext"/>
              <w:cnfStyle w:val="000000010000" w:firstRow="0" w:lastRow="0" w:firstColumn="0" w:lastColumn="0" w:oddVBand="0" w:evenVBand="0" w:oddHBand="0" w:evenHBand="1" w:firstRowFirstColumn="0" w:firstRowLastColumn="0" w:lastRowFirstColumn="0" w:lastRowLastColumn="0"/>
            </w:pPr>
            <w:hyperlink r:id="rId255" w:history="1">
              <w:r w:rsidR="00D26D5E" w:rsidRPr="00D26D5E">
                <w:rPr>
                  <w:rStyle w:val="Hyperlink"/>
                  <w:rFonts w:hint="eastAsia"/>
                </w:rPr>
                <w:t>https://www.fsc.gov.au/what-accreditation</w:t>
              </w:r>
            </w:hyperlink>
          </w:p>
        </w:tc>
        <w:tc>
          <w:tcPr>
            <w:tcW w:w="2430" w:type="dxa"/>
          </w:tcPr>
          <w:p w14:paraId="00FB9C75" w14:textId="77777777"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Tendering, contracting</w:t>
            </w:r>
          </w:p>
        </w:tc>
      </w:tr>
      <w:tr w:rsidR="001C5FD9" w:rsidRPr="004B5A4E" w14:paraId="31D2000C"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5ADD9A0F" w14:textId="01917E44" w:rsidR="001C5FD9" w:rsidRPr="00F45635" w:rsidRDefault="001C5FD9" w:rsidP="00F7602B">
            <w:pPr>
              <w:rPr>
                <w:rFonts w:ascii="VIC" w:hAnsi="VIC"/>
                <w:szCs w:val="17"/>
              </w:rPr>
            </w:pPr>
            <w:r w:rsidRPr="00F45635">
              <w:rPr>
                <w:rFonts w:ascii="VIC" w:hAnsi="VIC"/>
                <w:i/>
                <w:szCs w:val="17"/>
              </w:rPr>
              <w:t>Environment Protection and Biodiversity Conservation Act 1999</w:t>
            </w:r>
            <w:r w:rsidR="00386DB0" w:rsidRPr="00F45635">
              <w:rPr>
                <w:rFonts w:ascii="VIC" w:hAnsi="VIC"/>
                <w:szCs w:val="17"/>
              </w:rPr>
              <w:t xml:space="preserve"> </w:t>
            </w:r>
            <w:r w:rsidR="009B4E97">
              <w:rPr>
                <w:rFonts w:ascii="VIC" w:hAnsi="VIC"/>
                <w:szCs w:val="17"/>
              </w:rPr>
              <w:t xml:space="preserve">(Cth) </w:t>
            </w:r>
            <w:r w:rsidR="00386DB0" w:rsidRPr="00F45635">
              <w:rPr>
                <w:rFonts w:ascii="VIC" w:hAnsi="VIC"/>
                <w:szCs w:val="17"/>
              </w:rPr>
              <w:t>(EPBC Act)</w:t>
            </w:r>
          </w:p>
          <w:p w14:paraId="026C0CA4" w14:textId="00F8F9EA" w:rsidR="001C5FD9" w:rsidRPr="00F45635" w:rsidRDefault="00FA33F5" w:rsidP="00F7602B">
            <w:pPr>
              <w:rPr>
                <w:rFonts w:ascii="VIC" w:hAnsi="VIC"/>
                <w:szCs w:val="17"/>
              </w:rPr>
            </w:pPr>
            <w:r w:rsidRPr="00F45635">
              <w:rPr>
                <w:rFonts w:ascii="VIC SemiBold" w:hAnsi="VIC SemiBold"/>
                <w:noProof/>
                <w:color w:val="C00000"/>
                <w:szCs w:val="17"/>
              </w:rPr>
              <w:drawing>
                <wp:inline distT="0" distB="0" distL="0" distR="0" wp14:anchorId="6A982793" wp14:editId="6A331AA0">
                  <wp:extent cx="411480" cy="411480"/>
                  <wp:effectExtent l="0" t="0" r="0" b="7620"/>
                  <wp:docPr id="420" name="Graphic 420"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p>
        </w:tc>
        <w:tc>
          <w:tcPr>
            <w:tcW w:w="2700" w:type="dxa"/>
          </w:tcPr>
          <w:p w14:paraId="062DA53B" w14:textId="7AD9FEEC"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szCs w:val="17"/>
              </w:rPr>
            </w:pPr>
            <w:r w:rsidRPr="00504DD2">
              <w:rPr>
                <w:rFonts w:ascii="VIC" w:hAnsi="VIC" w:cs="Arial" w:hint="eastAsia"/>
                <w:color w:val="auto"/>
                <w:szCs w:val="17"/>
                <w:shd w:val="clear" w:color="auto" w:fill="FFFFFF"/>
              </w:rPr>
              <w:t>Provides a framework for protection of the Australian environment, including its biodiversity and its natural and culturally significant places</w:t>
            </w:r>
          </w:p>
        </w:tc>
        <w:tc>
          <w:tcPr>
            <w:tcW w:w="7020" w:type="dxa"/>
          </w:tcPr>
          <w:p w14:paraId="20287E03" w14:textId="35FAF15E" w:rsidR="001C5FD9" w:rsidRPr="00171CF8" w:rsidRDefault="00BF2490" w:rsidP="00171CF8">
            <w:pPr>
              <w:pStyle w:val="Tabletext"/>
              <w:cnfStyle w:val="000000000000" w:firstRow="0" w:lastRow="0" w:firstColumn="0" w:lastColumn="0" w:oddVBand="0" w:evenVBand="0" w:oddHBand="0" w:evenHBand="0" w:firstRowFirstColumn="0" w:firstRowLastColumn="0" w:lastRowFirstColumn="0" w:lastRowLastColumn="0"/>
              <w:rPr>
                <w:rStyle w:val="Hyperlink"/>
              </w:rPr>
            </w:pPr>
            <w:r>
              <w:t>This legislation r</w:t>
            </w:r>
            <w:r w:rsidR="001C5FD9" w:rsidRPr="00171CF8">
              <w:t xml:space="preserve">equires agencies to obtain environmental assessments and approvals from the Commonwealth Minister for the Environment and Water if a project activity will have or is likely to have a significant impact on matters of national environmental significance protected under the EPBC Act </w:t>
            </w:r>
            <w:r w:rsidR="001C5FD9">
              <w:t>(</w:t>
            </w:r>
            <w:r w:rsidR="00D26D5E">
              <w:t>relating to</w:t>
            </w:r>
            <w:r w:rsidR="001C5FD9">
              <w:t xml:space="preserve"> liste</w:t>
            </w:r>
            <w:r w:rsidR="001C5FD9" w:rsidRPr="00171CF8">
              <w:t>d threatened species, migratory species and Commonwealth marine areas).</w:t>
            </w:r>
          </w:p>
          <w:p w14:paraId="4C76FEB0" w14:textId="49BBDB7F" w:rsidR="001C5FD9" w:rsidRPr="00171CF8" w:rsidRDefault="00894832" w:rsidP="006C520A">
            <w:pPr>
              <w:cnfStyle w:val="000000000000" w:firstRow="0" w:lastRow="0" w:firstColumn="0" w:lastColumn="0" w:oddVBand="0" w:evenVBand="0" w:oddHBand="0" w:evenHBand="0" w:firstRowFirstColumn="0" w:firstRowLastColumn="0" w:lastRowFirstColumn="0" w:lastRowLastColumn="0"/>
              <w:rPr>
                <w:rFonts w:ascii="VIC" w:hAnsi="VIC"/>
                <w:szCs w:val="17"/>
                <w:u w:val="single"/>
              </w:rPr>
            </w:pPr>
            <w:hyperlink r:id="rId256" w:history="1">
              <w:r w:rsidR="001C5FD9" w:rsidRPr="00171CF8">
                <w:rPr>
                  <w:rStyle w:val="Hyperlink"/>
                </w:rPr>
                <w:t>http://classic.austlii.edu.au/au/legis/cth/consol_act/epabca1</w:t>
              </w:r>
              <w:bookmarkStart w:id="504" w:name="_Hlt145504216"/>
              <w:r w:rsidR="001C5FD9" w:rsidRPr="00171CF8">
                <w:rPr>
                  <w:rStyle w:val="Hyperlink"/>
                </w:rPr>
                <w:t>9</w:t>
              </w:r>
              <w:bookmarkEnd w:id="504"/>
              <w:r w:rsidR="001C5FD9" w:rsidRPr="00171CF8">
                <w:rPr>
                  <w:rStyle w:val="Hyperlink"/>
                </w:rPr>
                <w:t>99588</w:t>
              </w:r>
            </w:hyperlink>
            <w:r w:rsidR="001C5FD9" w:rsidRPr="00171CF8">
              <w:rPr>
                <w:rFonts w:ascii="VIC" w:hAnsi="VIC"/>
                <w:szCs w:val="17"/>
                <w:u w:val="single"/>
              </w:rPr>
              <w:t xml:space="preserve"> </w:t>
            </w:r>
          </w:p>
        </w:tc>
        <w:tc>
          <w:tcPr>
            <w:tcW w:w="2430" w:type="dxa"/>
          </w:tcPr>
          <w:p w14:paraId="0C158D14" w14:textId="77777777"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p>
        </w:tc>
      </w:tr>
      <w:tr w:rsidR="001C5FD9" w:rsidRPr="004B5A4E" w14:paraId="4D72E39C" w14:textId="77777777" w:rsidTr="00742E78">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250" w:type="dxa"/>
          </w:tcPr>
          <w:p w14:paraId="6058A6A5" w14:textId="7E066115" w:rsidR="001C5FD9" w:rsidRPr="00F45635" w:rsidRDefault="001C5FD9" w:rsidP="00F7602B">
            <w:pPr>
              <w:textAlignment w:val="baseline"/>
              <w:rPr>
                <w:rFonts w:ascii="VIC" w:hAnsi="VIC" w:cs="Segoe UI"/>
                <w:color w:val="232B39"/>
                <w:szCs w:val="17"/>
              </w:rPr>
            </w:pPr>
            <w:r w:rsidRPr="00F45635">
              <w:rPr>
                <w:rFonts w:ascii="VIC" w:hAnsi="VIC"/>
                <w:color w:val="232B39"/>
                <w:szCs w:val="17"/>
              </w:rPr>
              <w:t xml:space="preserve">National Public Private Partnership </w:t>
            </w:r>
            <w:r w:rsidR="001770DB">
              <w:rPr>
                <w:rFonts w:ascii="VIC" w:hAnsi="VIC"/>
                <w:color w:val="232B39"/>
                <w:szCs w:val="17"/>
              </w:rPr>
              <w:t>p</w:t>
            </w:r>
            <w:r w:rsidRPr="00F45635">
              <w:rPr>
                <w:rFonts w:ascii="VIC" w:hAnsi="VIC"/>
                <w:color w:val="232B39"/>
                <w:szCs w:val="17"/>
              </w:rPr>
              <w:t xml:space="preserve">olicy and </w:t>
            </w:r>
            <w:r w:rsidR="001770DB">
              <w:rPr>
                <w:rFonts w:ascii="VIC" w:hAnsi="VIC"/>
                <w:color w:val="232B39"/>
                <w:szCs w:val="17"/>
              </w:rPr>
              <w:t>g</w:t>
            </w:r>
            <w:r w:rsidRPr="00F45635">
              <w:rPr>
                <w:rFonts w:ascii="VIC" w:hAnsi="VIC"/>
                <w:color w:val="232B39"/>
                <w:szCs w:val="17"/>
              </w:rPr>
              <w:t>uidelines</w:t>
            </w:r>
            <w:r w:rsidRPr="00F45635" w:rsidDel="00177E31">
              <w:rPr>
                <w:rFonts w:ascii="Calibri" w:hAnsi="Calibri" w:cs="Calibri"/>
                <w:color w:val="232B39"/>
                <w:szCs w:val="17"/>
              </w:rPr>
              <w:t> </w:t>
            </w:r>
          </w:p>
          <w:p w14:paraId="02D62D44" w14:textId="2B432543" w:rsidR="001C5FD9" w:rsidRPr="00F45635" w:rsidRDefault="001C5FD9" w:rsidP="00FA33F5">
            <w:pPr>
              <w:textAlignment w:val="baseline"/>
              <w:rPr>
                <w:rFonts w:ascii="VIC" w:hAnsi="VIC" w:cs="Segoe UI"/>
                <w:color w:val="232B39"/>
                <w:szCs w:val="17"/>
              </w:rPr>
            </w:pPr>
            <w:r w:rsidRPr="00F45635">
              <w:rPr>
                <w:rFonts w:ascii="Calibri" w:hAnsi="Calibri" w:cs="Calibri"/>
                <w:color w:val="232B39"/>
                <w:szCs w:val="17"/>
              </w:rPr>
              <w:t> </w:t>
            </w:r>
            <w:r w:rsidR="008F02FA" w:rsidRPr="00F45635">
              <w:rPr>
                <w:rFonts w:ascii="VIC SemiBold" w:hAnsi="VIC SemiBold"/>
                <w:noProof/>
                <w:color w:val="C00000"/>
                <w:szCs w:val="17"/>
              </w:rPr>
              <w:drawing>
                <wp:inline distT="0" distB="0" distL="0" distR="0" wp14:anchorId="4839BF4D" wp14:editId="6A6CD02D">
                  <wp:extent cx="411480" cy="411480"/>
                  <wp:effectExtent l="0" t="0" r="7620" b="7620"/>
                  <wp:docPr id="91" name="Graphic 91"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r w:rsidRPr="00F45635">
              <w:rPr>
                <w:rFonts w:ascii="Calibri" w:hAnsi="Calibri" w:cs="Calibri"/>
                <w:color w:val="232B39"/>
                <w:szCs w:val="17"/>
              </w:rPr>
              <w:t xml:space="preserve"> </w:t>
            </w:r>
            <w:r w:rsidR="00FA33F5" w:rsidRPr="00F45635">
              <w:rPr>
                <w:rFonts w:ascii="Calibri" w:hAnsi="Calibri" w:cs="Calibri"/>
                <w:color w:val="232B39"/>
                <w:szCs w:val="17"/>
              </w:rPr>
              <w:t xml:space="preserve">  </w:t>
            </w:r>
            <w:r w:rsidR="00FA33F5" w:rsidRPr="00F45635">
              <w:rPr>
                <w:rFonts w:ascii="VIC SemiBold" w:hAnsi="VIC SemiBold"/>
                <w:noProof/>
                <w:color w:val="C00000"/>
                <w:szCs w:val="17"/>
              </w:rPr>
              <w:drawing>
                <wp:inline distT="0" distB="0" distL="0" distR="0" wp14:anchorId="66024472" wp14:editId="0008C2CD">
                  <wp:extent cx="411480" cy="411480"/>
                  <wp:effectExtent l="0" t="0" r="0" b="7620"/>
                  <wp:docPr id="421" name="Graphic 421"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00367DC9" w:rsidRPr="00F45635">
              <w:rPr>
                <w:rFonts w:ascii="VIC SemiBold" w:hAnsi="VIC SemiBold"/>
                <w:noProof/>
                <w:color w:val="C00000"/>
                <w:szCs w:val="17"/>
              </w:rPr>
              <w:drawing>
                <wp:inline distT="0" distB="0" distL="0" distR="0" wp14:anchorId="326F3550" wp14:editId="6F5D09D0">
                  <wp:extent cx="405727" cy="411480"/>
                  <wp:effectExtent l="0" t="0" r="0" b="7620"/>
                  <wp:docPr id="437" name="Graphic 437" descr="Scalability and effici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calability and efficiency icon"/>
                          <pic:cNvPicPr/>
                        </pic:nvPicPr>
                        <pic:blipFill>
                          <a:blip r:embed="rId48" cstate="screen">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05727" cy="411480"/>
                          </a:xfrm>
                          <a:prstGeom prst="rect">
                            <a:avLst/>
                          </a:prstGeom>
                        </pic:spPr>
                      </pic:pic>
                    </a:graphicData>
                  </a:graphic>
                </wp:inline>
              </w:drawing>
            </w:r>
          </w:p>
        </w:tc>
        <w:tc>
          <w:tcPr>
            <w:tcW w:w="2700" w:type="dxa"/>
          </w:tcPr>
          <w:p w14:paraId="6D9333CF" w14:textId="2C2DCC42" w:rsidR="001C5FD9" w:rsidRPr="009E7AC7" w:rsidRDefault="001C5FD9" w:rsidP="00F7602B">
            <w:pPr>
              <w:cnfStyle w:val="000000010000" w:firstRow="0" w:lastRow="0" w:firstColumn="0" w:lastColumn="0" w:oddVBand="0" w:evenVBand="0" w:oddHBand="0" w:evenHBand="1" w:firstRowFirstColumn="0" w:firstRowLastColumn="0" w:lastRowFirstColumn="0" w:lastRowLastColumn="0"/>
              <w:rPr>
                <w:rFonts w:ascii="VIC" w:hAnsi="VIC"/>
                <w:b/>
                <w:szCs w:val="17"/>
              </w:rPr>
            </w:pPr>
            <w:r w:rsidRPr="00504DD2">
              <w:rPr>
                <w:rFonts w:ascii="VIC" w:hAnsi="VIC" w:hint="eastAsia"/>
                <w:color w:val="232B39"/>
                <w:szCs w:val="17"/>
              </w:rPr>
              <w:t xml:space="preserve">Outlines policy and guidelines for delivery of public private partnerships </w:t>
            </w:r>
          </w:p>
        </w:tc>
        <w:tc>
          <w:tcPr>
            <w:tcW w:w="7020" w:type="dxa"/>
          </w:tcPr>
          <w:p w14:paraId="43378F8D" w14:textId="44FCD725" w:rsidR="001C5FD9" w:rsidRPr="00171CF8" w:rsidRDefault="00BF2490" w:rsidP="00171CF8">
            <w:pPr>
              <w:pStyle w:val="Tabletext"/>
              <w:cnfStyle w:val="000000010000" w:firstRow="0" w:lastRow="0" w:firstColumn="0" w:lastColumn="0" w:oddVBand="0" w:evenVBand="0" w:oddHBand="0" w:evenHBand="1" w:firstRowFirstColumn="0" w:firstRowLastColumn="0" w:lastRowFirstColumn="0" w:lastRowLastColumn="0"/>
            </w:pPr>
            <w:r>
              <w:t>These guidelines p</w:t>
            </w:r>
            <w:r w:rsidR="001C5FD9" w:rsidRPr="00171CF8">
              <w:t xml:space="preserve">rovide a consistent framework that </w:t>
            </w:r>
            <w:r w:rsidR="00D26D5E">
              <w:t>support</w:t>
            </w:r>
            <w:r w:rsidR="00D26D5E" w:rsidRPr="00171CF8">
              <w:t xml:space="preserve">s </w:t>
            </w:r>
            <w:r w:rsidR="001C5FD9" w:rsidRPr="00171CF8">
              <w:t>public and private sectors to work together to improve service delivery through private sector provision of public infrastructure and related services.</w:t>
            </w:r>
          </w:p>
          <w:p w14:paraId="458AEEA9" w14:textId="32D683E1"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171CF8">
              <w:t>These documents have been prepared and endorsed b</w:t>
            </w:r>
            <w:r>
              <w:t xml:space="preserve">y Infrastructure Australia and the state, territory and </w:t>
            </w:r>
            <w:r w:rsidR="00D26D5E">
              <w:t xml:space="preserve">Commonwealth </w:t>
            </w:r>
            <w:r>
              <w:t>governmen</w:t>
            </w:r>
            <w:r w:rsidRPr="00171CF8">
              <w:t>ts as an agreed framework for the delivery of PPP projects.</w:t>
            </w:r>
            <w:r w:rsidRPr="00600395" w:rsidDel="00177E31">
              <w:rPr>
                <w:rFonts w:ascii="Calibri" w:hAnsi="Calibri" w:cs="Calibri"/>
              </w:rPr>
              <w:t> </w:t>
            </w:r>
          </w:p>
          <w:p w14:paraId="7DF2AC72" w14:textId="326D8140" w:rsidR="001C5FD9" w:rsidRPr="00171CF8" w:rsidRDefault="00894832" w:rsidP="00171CF8">
            <w:pPr>
              <w:pStyle w:val="Tabletext"/>
              <w:cnfStyle w:val="000000010000" w:firstRow="0" w:lastRow="0" w:firstColumn="0" w:lastColumn="0" w:oddVBand="0" w:evenVBand="0" w:oddHBand="0" w:evenHBand="1" w:firstRowFirstColumn="0" w:firstRowLastColumn="0" w:lastRowFirstColumn="0" w:lastRowLastColumn="0"/>
              <w:rPr>
                <w:rStyle w:val="Hyperlink"/>
              </w:rPr>
            </w:pPr>
            <w:hyperlink r:id="rId257" w:anchor="anc_public-private" w:history="1">
              <w:r w:rsidR="001C5FD9" w:rsidRPr="00171CF8">
                <w:rPr>
                  <w:rStyle w:val="Hyperlink"/>
                </w:rPr>
                <w:t>https://www.infrastructure.gov.au/infrastructure-transport-vehicles/infrastructure-investment-proje</w:t>
              </w:r>
              <w:bookmarkStart w:id="505" w:name="_Hlt145504365"/>
              <w:r w:rsidR="001C5FD9" w:rsidRPr="00171CF8">
                <w:rPr>
                  <w:rStyle w:val="Hyperlink"/>
                </w:rPr>
                <w:t>c</w:t>
              </w:r>
              <w:bookmarkEnd w:id="505"/>
              <w:r w:rsidR="001C5FD9" w:rsidRPr="00171CF8">
                <w:rPr>
                  <w:rStyle w:val="Hyperlink"/>
                </w:rPr>
                <w:t>t-delivery/national-guidelines-infrastructure-project-delivery#a</w:t>
              </w:r>
              <w:bookmarkStart w:id="506" w:name="_Hlt145504435"/>
              <w:r w:rsidR="001C5FD9" w:rsidRPr="00171CF8">
                <w:rPr>
                  <w:rStyle w:val="Hyperlink"/>
                </w:rPr>
                <w:t>n</w:t>
              </w:r>
              <w:bookmarkEnd w:id="506"/>
              <w:r w:rsidR="001C5FD9" w:rsidRPr="00171CF8">
                <w:rPr>
                  <w:rStyle w:val="Hyperlink"/>
                </w:rPr>
                <w:t>c_public-private</w:t>
              </w:r>
            </w:hyperlink>
          </w:p>
        </w:tc>
        <w:tc>
          <w:tcPr>
            <w:tcW w:w="2430" w:type="dxa"/>
          </w:tcPr>
          <w:p w14:paraId="61CE968F" w14:textId="3439D17B" w:rsidR="001C5FD9" w:rsidRPr="00171CF8" w:rsidRDefault="001C5FD9" w:rsidP="00171CF8">
            <w:pPr>
              <w:pStyle w:val="Tabletext"/>
              <w:cnfStyle w:val="000000010000" w:firstRow="0" w:lastRow="0" w:firstColumn="0" w:lastColumn="0" w:oddVBand="0" w:evenVBand="0" w:oddHBand="0" w:evenHBand="1" w:firstRowFirstColumn="0" w:firstRowLastColumn="0" w:lastRowFirstColumn="0" w:lastRowLastColumn="0"/>
            </w:pPr>
            <w:r w:rsidRPr="00171CF8">
              <w:t>Whol</w:t>
            </w:r>
            <w:r>
              <w:t>e</w:t>
            </w:r>
            <w:r w:rsidR="00702128">
              <w:t xml:space="preserve"> </w:t>
            </w:r>
            <w:r>
              <w:t>of</w:t>
            </w:r>
            <w:r w:rsidR="00702128">
              <w:t xml:space="preserve"> </w:t>
            </w:r>
            <w:r>
              <w:t>inves</w:t>
            </w:r>
            <w:r w:rsidRPr="00171CF8">
              <w:t>tment lifecycle</w:t>
            </w:r>
            <w:r w:rsidRPr="00171CF8">
              <w:rPr>
                <w:rFonts w:ascii="Calibri" w:hAnsi="Calibri" w:cs="Calibri"/>
              </w:rPr>
              <w:t> </w:t>
            </w:r>
          </w:p>
        </w:tc>
      </w:tr>
      <w:tr w:rsidR="001C5FD9" w:rsidRPr="004B5A4E" w14:paraId="13C2DC01" w14:textId="77777777" w:rsidTr="00742E78">
        <w:trPr>
          <w:cantSplit w:val="0"/>
        </w:trPr>
        <w:tc>
          <w:tcPr>
            <w:cnfStyle w:val="001000000000" w:firstRow="0" w:lastRow="0" w:firstColumn="1" w:lastColumn="0" w:oddVBand="0" w:evenVBand="0" w:oddHBand="0" w:evenHBand="0" w:firstRowFirstColumn="0" w:firstRowLastColumn="0" w:lastRowFirstColumn="0" w:lastRowLastColumn="0"/>
            <w:tcW w:w="2250" w:type="dxa"/>
          </w:tcPr>
          <w:p w14:paraId="4B92B495" w14:textId="416751E7" w:rsidR="001C5FD9" w:rsidRPr="00F45635" w:rsidRDefault="001C5FD9" w:rsidP="00B01118">
            <w:pPr>
              <w:keepNext/>
              <w:textAlignment w:val="baseline"/>
              <w:rPr>
                <w:rFonts w:ascii="VIC" w:hAnsi="VIC" w:cs="Segoe UI"/>
                <w:color w:val="232B39"/>
                <w:szCs w:val="17"/>
              </w:rPr>
            </w:pPr>
            <w:r w:rsidRPr="00F45635">
              <w:rPr>
                <w:rFonts w:ascii="VIC" w:hAnsi="VIC"/>
                <w:color w:val="232B39"/>
                <w:szCs w:val="17"/>
              </w:rPr>
              <w:t xml:space="preserve">National </w:t>
            </w:r>
            <w:r w:rsidR="00CB3393">
              <w:rPr>
                <w:rFonts w:ascii="VIC" w:hAnsi="VIC"/>
                <w:color w:val="232B39"/>
                <w:szCs w:val="17"/>
              </w:rPr>
              <w:t>a</w:t>
            </w:r>
            <w:r w:rsidRPr="00F45635">
              <w:rPr>
                <w:rFonts w:ascii="VIC" w:hAnsi="VIC"/>
                <w:color w:val="232B39"/>
                <w:szCs w:val="17"/>
              </w:rPr>
              <w:t>llianc</w:t>
            </w:r>
            <w:r w:rsidR="00AB00E9">
              <w:rPr>
                <w:rFonts w:ascii="VIC" w:hAnsi="VIC"/>
                <w:color w:val="232B39"/>
                <w:szCs w:val="17"/>
              </w:rPr>
              <w:t>e contracting</w:t>
            </w:r>
            <w:r w:rsidRPr="00F45635">
              <w:rPr>
                <w:rFonts w:ascii="VIC" w:hAnsi="VIC"/>
                <w:color w:val="232B39"/>
                <w:szCs w:val="17"/>
              </w:rPr>
              <w:t xml:space="preserve"> </w:t>
            </w:r>
            <w:r w:rsidR="00AB00E9">
              <w:rPr>
                <w:rFonts w:ascii="VIC" w:hAnsi="VIC"/>
                <w:color w:val="232B39"/>
                <w:szCs w:val="17"/>
              </w:rPr>
              <w:t>p</w:t>
            </w:r>
            <w:r w:rsidR="00AB00E9" w:rsidRPr="00F45635">
              <w:rPr>
                <w:rFonts w:ascii="VIC" w:hAnsi="VIC"/>
                <w:color w:val="232B39"/>
                <w:szCs w:val="17"/>
              </w:rPr>
              <w:t xml:space="preserve">olicy </w:t>
            </w:r>
            <w:r w:rsidRPr="00F45635">
              <w:rPr>
                <w:rFonts w:ascii="VIC" w:hAnsi="VIC"/>
                <w:color w:val="232B39"/>
                <w:szCs w:val="17"/>
              </w:rPr>
              <w:t xml:space="preserve">and </w:t>
            </w:r>
            <w:r w:rsidR="00AB00E9">
              <w:rPr>
                <w:rFonts w:ascii="VIC" w:hAnsi="VIC"/>
                <w:color w:val="232B39"/>
                <w:szCs w:val="17"/>
              </w:rPr>
              <w:t>g</w:t>
            </w:r>
            <w:r w:rsidR="00AB00E9" w:rsidRPr="00F45635">
              <w:rPr>
                <w:rFonts w:ascii="VIC" w:hAnsi="VIC"/>
                <w:color w:val="232B39"/>
                <w:szCs w:val="17"/>
              </w:rPr>
              <w:t>uidelines</w:t>
            </w:r>
            <w:r w:rsidR="00AB00E9" w:rsidRPr="00F45635" w:rsidDel="00177E31">
              <w:rPr>
                <w:rFonts w:ascii="Calibri" w:hAnsi="Calibri" w:cs="Calibri"/>
                <w:color w:val="232B39"/>
                <w:szCs w:val="17"/>
              </w:rPr>
              <w:t> </w:t>
            </w:r>
          </w:p>
          <w:p w14:paraId="56269AF5" w14:textId="49F955B4" w:rsidR="001C5FD9" w:rsidRPr="00F45635" w:rsidRDefault="008F02FA" w:rsidP="00F7602B">
            <w:pPr>
              <w:rPr>
                <w:rFonts w:ascii="VIC" w:hAnsi="VIC"/>
                <w:szCs w:val="17"/>
              </w:rPr>
            </w:pPr>
            <w:r w:rsidRPr="00F45635">
              <w:rPr>
                <w:rFonts w:ascii="VIC SemiBold" w:hAnsi="VIC SemiBold"/>
                <w:noProof/>
                <w:color w:val="C00000"/>
                <w:szCs w:val="17"/>
              </w:rPr>
              <w:drawing>
                <wp:inline distT="0" distB="0" distL="0" distR="0" wp14:anchorId="5D3273D2" wp14:editId="73922B7C">
                  <wp:extent cx="411480" cy="411480"/>
                  <wp:effectExtent l="0" t="0" r="7620" b="7620"/>
                  <wp:docPr id="92" name="Graphic 92" descr="Value-for-money (Vf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Value-for-money (VfM) icon"/>
                          <pic:cNvPicPr/>
                        </pic:nvPicPr>
                        <pic:blipFill>
                          <a:blip r:embed="rId39" cstate="screen">
                            <a:extLst>
                              <a:ext uri="{28A0092B-C50C-407E-A947-70E740481C1C}">
                                <a14:useLocalDpi xmlns:a14="http://schemas.microsoft.com/office/drawing/2010/main"/>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r w:rsidR="001C5FD9" w:rsidRPr="00F45635">
              <w:rPr>
                <w:rFonts w:ascii="VIC" w:hAnsi="VIC"/>
                <w:szCs w:val="17"/>
              </w:rPr>
              <w:t xml:space="preserve"> </w:t>
            </w:r>
            <w:r w:rsidR="00FA33F5" w:rsidRPr="00F45635">
              <w:rPr>
                <w:rFonts w:ascii="VIC" w:hAnsi="VIC"/>
                <w:szCs w:val="17"/>
              </w:rPr>
              <w:t xml:space="preserve"> </w:t>
            </w:r>
            <w:r w:rsidR="00FA33F5" w:rsidRPr="00F45635">
              <w:rPr>
                <w:rFonts w:ascii="VIC SemiBold" w:hAnsi="VIC SemiBold"/>
                <w:noProof/>
                <w:color w:val="C00000"/>
                <w:szCs w:val="17"/>
              </w:rPr>
              <w:drawing>
                <wp:inline distT="0" distB="0" distL="0" distR="0" wp14:anchorId="1C4AFCE5" wp14:editId="03D49C23">
                  <wp:extent cx="411480" cy="411480"/>
                  <wp:effectExtent l="0" t="0" r="0" b="7620"/>
                  <wp:docPr id="422" name="Graphic 422" descr="Accountability commensurate with appropriate levels of authority and respon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ccountability commensurate with appropriate levels of authority and responsibility icon"/>
                          <pic:cNvPicPr/>
                        </pic:nvPicPr>
                        <pic:blipFill>
                          <a:blip r:embed="rId41" cstate="screen">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411480" cy="411480"/>
                          </a:xfrm>
                          <a:prstGeom prst="rect">
                            <a:avLst/>
                          </a:prstGeom>
                        </pic:spPr>
                      </pic:pic>
                    </a:graphicData>
                  </a:graphic>
                </wp:inline>
              </w:drawing>
            </w:r>
            <w:r w:rsidR="00367DC9" w:rsidRPr="00F45635">
              <w:rPr>
                <w:rFonts w:ascii="VIC SemiBold" w:hAnsi="VIC SemiBold"/>
                <w:noProof/>
                <w:color w:val="C00000"/>
                <w:szCs w:val="17"/>
              </w:rPr>
              <w:drawing>
                <wp:inline distT="0" distB="0" distL="0" distR="0" wp14:anchorId="1F0E1FCE" wp14:editId="7BE6F71A">
                  <wp:extent cx="405727" cy="411480"/>
                  <wp:effectExtent l="0" t="0" r="0" b="7620"/>
                  <wp:docPr id="438" name="Graphic 438" descr="Scalability and efficien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Scalability and efficiency icon"/>
                          <pic:cNvPicPr/>
                        </pic:nvPicPr>
                        <pic:blipFill>
                          <a:blip r:embed="rId48" cstate="screen">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405727" cy="411480"/>
                          </a:xfrm>
                          <a:prstGeom prst="rect">
                            <a:avLst/>
                          </a:prstGeom>
                        </pic:spPr>
                      </pic:pic>
                    </a:graphicData>
                  </a:graphic>
                </wp:inline>
              </w:drawing>
            </w:r>
          </w:p>
        </w:tc>
        <w:tc>
          <w:tcPr>
            <w:tcW w:w="2700" w:type="dxa"/>
          </w:tcPr>
          <w:p w14:paraId="22139940" w14:textId="77777777" w:rsidR="001C5FD9" w:rsidRPr="009E7AC7" w:rsidRDefault="001C5FD9" w:rsidP="00F7602B">
            <w:pPr>
              <w:cnfStyle w:val="000000000000" w:firstRow="0" w:lastRow="0" w:firstColumn="0" w:lastColumn="0" w:oddVBand="0" w:evenVBand="0" w:oddHBand="0" w:evenHBand="0" w:firstRowFirstColumn="0" w:firstRowLastColumn="0" w:lastRowFirstColumn="0" w:lastRowLastColumn="0"/>
              <w:rPr>
                <w:rFonts w:ascii="VIC" w:hAnsi="VIC"/>
                <w:b/>
                <w:szCs w:val="17"/>
                <w:highlight w:val="yellow"/>
              </w:rPr>
            </w:pPr>
            <w:r w:rsidRPr="00504DD2">
              <w:rPr>
                <w:rFonts w:ascii="VIC" w:hAnsi="VIC" w:hint="eastAsia"/>
                <w:color w:val="232B39"/>
                <w:szCs w:val="17"/>
              </w:rPr>
              <w:t>Outlines policies and guidelines for delivery of alliances</w:t>
            </w:r>
          </w:p>
        </w:tc>
        <w:tc>
          <w:tcPr>
            <w:tcW w:w="7020" w:type="dxa"/>
          </w:tcPr>
          <w:p w14:paraId="64EAE378" w14:textId="71650596" w:rsidR="001C5FD9" w:rsidRPr="00171CF8" w:rsidRDefault="00BF2490" w:rsidP="00171CF8">
            <w:pPr>
              <w:pStyle w:val="Tabletext"/>
              <w:cnfStyle w:val="000000000000" w:firstRow="0" w:lastRow="0" w:firstColumn="0" w:lastColumn="0" w:oddVBand="0" w:evenVBand="0" w:oddHBand="0" w:evenHBand="0" w:firstRowFirstColumn="0" w:firstRowLastColumn="0" w:lastRowFirstColumn="0" w:lastRowLastColumn="0"/>
            </w:pPr>
            <w:r>
              <w:t>These guidelines o</w:t>
            </w:r>
            <w:r w:rsidRPr="00171CF8">
              <w:t xml:space="preserve">utline </w:t>
            </w:r>
            <w:r w:rsidR="000F012B">
              <w:t>a</w:t>
            </w:r>
            <w:r w:rsidR="001C5FD9" w:rsidRPr="00171CF8">
              <w:t xml:space="preserve"> consistent national alliance contracting standard and promote best</w:t>
            </w:r>
            <w:r w:rsidR="00CD5156">
              <w:t>-</w:t>
            </w:r>
            <w:r w:rsidR="001C5FD9" w:rsidRPr="00171CF8">
              <w:t>practice approach</w:t>
            </w:r>
            <w:r w:rsidR="00D26D5E">
              <w:t>es</w:t>
            </w:r>
            <w:r w:rsidR="001C5FD9" w:rsidRPr="00171CF8">
              <w:t xml:space="preserve"> to alliancing.</w:t>
            </w:r>
          </w:p>
          <w:p w14:paraId="22256DC7" w14:textId="46EA71A0" w:rsidR="001C5FD9" w:rsidRPr="00171CF8" w:rsidRDefault="00D26D5E" w:rsidP="00171CF8">
            <w:pPr>
              <w:pStyle w:val="Tabletext"/>
              <w:cnfStyle w:val="000000000000" w:firstRow="0" w:lastRow="0" w:firstColumn="0" w:lastColumn="0" w:oddVBand="0" w:evenVBand="0" w:oddHBand="0" w:evenHBand="0" w:firstRowFirstColumn="0" w:firstRowLastColumn="0" w:lastRowFirstColumn="0" w:lastRowLastColumn="0"/>
            </w:pPr>
            <w:r>
              <w:t>J</w:t>
            </w:r>
            <w:r w:rsidR="001C5FD9" w:rsidRPr="00171CF8">
              <w:t xml:space="preserve">urisdictions can use </w:t>
            </w:r>
            <w:r>
              <w:t xml:space="preserve">this resource </w:t>
            </w:r>
            <w:r w:rsidR="001C5FD9" w:rsidRPr="00171CF8">
              <w:t>to inform their own policy and guideline development for alliance contracting of infrastructure.</w:t>
            </w:r>
          </w:p>
          <w:bookmarkStart w:id="507" w:name="OLE_LINK19"/>
          <w:bookmarkStart w:id="508" w:name="OLE_LINK20"/>
          <w:p w14:paraId="10F13673" w14:textId="2E043DD5" w:rsidR="001C5FD9" w:rsidRPr="00171CF8" w:rsidRDefault="0022036C" w:rsidP="00171CF8">
            <w:pPr>
              <w:pStyle w:val="Tabletext"/>
              <w:cnfStyle w:val="000000000000" w:firstRow="0" w:lastRow="0" w:firstColumn="0" w:lastColumn="0" w:oddVBand="0" w:evenVBand="0" w:oddHBand="0" w:evenHBand="0" w:firstRowFirstColumn="0" w:firstRowLastColumn="0" w:lastRowFirstColumn="0" w:lastRowLastColumn="0"/>
              <w:rPr>
                <w:rStyle w:val="Hyperlink"/>
              </w:rPr>
            </w:pPr>
            <w:r>
              <w:fldChar w:fldCharType="begin"/>
            </w:r>
            <w:r>
              <w:instrText>HYPERLINK "https://www.infrastructure.gov.au/infrastructure-transport-vehicles/infrastructure-investment-project-delivery/national-guidelines-infrastructure-project-delivery" \l "anc_alliance"</w:instrText>
            </w:r>
            <w:r>
              <w:fldChar w:fldCharType="separate"/>
            </w:r>
            <w:r w:rsidR="001C5FD9" w:rsidRPr="00171CF8">
              <w:rPr>
                <w:rStyle w:val="Hyperlink"/>
              </w:rPr>
              <w:t>https://www.infrastructure.gov.au/infrastructure-transport-vehicles/infrastructure-investment-project-delivery/national-guidelines-infrastructure-project-delivery#anc_alliance</w:t>
            </w:r>
            <w:r>
              <w:rPr>
                <w:rStyle w:val="Hyperlink"/>
              </w:rPr>
              <w:fldChar w:fldCharType="end"/>
            </w:r>
            <w:bookmarkEnd w:id="507"/>
            <w:bookmarkEnd w:id="508"/>
          </w:p>
        </w:tc>
        <w:tc>
          <w:tcPr>
            <w:tcW w:w="2430" w:type="dxa"/>
          </w:tcPr>
          <w:p w14:paraId="10C29460" w14:textId="2EF06F84" w:rsidR="001C5FD9" w:rsidRPr="00171CF8" w:rsidRDefault="001C5FD9" w:rsidP="00171CF8">
            <w:pPr>
              <w:pStyle w:val="Tabletext"/>
              <w:cnfStyle w:val="000000000000" w:firstRow="0" w:lastRow="0" w:firstColumn="0" w:lastColumn="0" w:oddVBand="0" w:evenVBand="0" w:oddHBand="0" w:evenHBand="0" w:firstRowFirstColumn="0" w:firstRowLastColumn="0" w:lastRowFirstColumn="0" w:lastRowLastColumn="0"/>
            </w:pPr>
            <w:r w:rsidRPr="00171CF8">
              <w:t>Business case, tendering, contractin</w:t>
            </w:r>
            <w:r>
              <w:t>g</w:t>
            </w:r>
            <w:r w:rsidR="00A22D12">
              <w:t>,</w:t>
            </w:r>
            <w:r>
              <w:t xml:space="preserve"> cont</w:t>
            </w:r>
            <w:r w:rsidRPr="00171CF8">
              <w:t>ract management</w:t>
            </w:r>
            <w:r w:rsidRPr="00171CF8">
              <w:rPr>
                <w:rFonts w:ascii="Calibri" w:hAnsi="Calibri" w:cs="Calibri"/>
              </w:rPr>
              <w:t> </w:t>
            </w:r>
          </w:p>
        </w:tc>
      </w:tr>
    </w:tbl>
    <w:p w14:paraId="55979922" w14:textId="77777777" w:rsidR="001C5FD9" w:rsidRDefault="001C5FD9">
      <w:pPr>
        <w:keepLines w:val="0"/>
        <w:spacing w:before="0" w:after="200" w:line="276" w:lineRule="auto"/>
      </w:pPr>
    </w:p>
    <w:p w14:paraId="0B1F60B7" w14:textId="77777777" w:rsidR="001C5FD9" w:rsidRDefault="001C5FD9">
      <w:pPr>
        <w:keepLines w:val="0"/>
        <w:spacing w:before="0" w:after="200" w:line="276" w:lineRule="auto"/>
        <w:sectPr w:rsidR="001C5FD9" w:rsidSect="005C167D">
          <w:headerReference w:type="default" r:id="rId258"/>
          <w:footerReference w:type="default" r:id="rId259"/>
          <w:pgSz w:w="16838" w:h="11906" w:orient="landscape" w:code="9"/>
          <w:pgMar w:top="1872" w:right="1296" w:bottom="1440" w:left="1296" w:header="706" w:footer="461" w:gutter="0"/>
          <w:cols w:space="708"/>
          <w:docGrid w:linePitch="360"/>
        </w:sectPr>
      </w:pPr>
    </w:p>
    <w:p w14:paraId="2ABF4E4B" w14:textId="22CACC53" w:rsidR="00470A29" w:rsidRDefault="008B6E3D" w:rsidP="001D2615">
      <w:pPr>
        <w:pStyle w:val="Appendixtitle"/>
        <w:tabs>
          <w:tab w:val="clear" w:pos="360"/>
          <w:tab w:val="left" w:pos="720"/>
        </w:tabs>
      </w:pPr>
      <w:bookmarkStart w:id="509" w:name="_Toc161321811"/>
      <w:r>
        <w:t xml:space="preserve">– </w:t>
      </w:r>
      <w:r w:rsidR="00106D36">
        <w:t>I</w:t>
      </w:r>
      <w:r w:rsidR="00B328AA" w:rsidRPr="00D6793F">
        <w:t>ssues influencing project delivery performance and success</w:t>
      </w:r>
      <w:bookmarkEnd w:id="509"/>
    </w:p>
    <w:tbl>
      <w:tblPr>
        <w:tblStyle w:val="DTFtexttable"/>
        <w:tblW w:w="9090" w:type="dxa"/>
        <w:tblLook w:val="0420" w:firstRow="1" w:lastRow="0" w:firstColumn="0" w:lastColumn="0" w:noHBand="0" w:noVBand="1"/>
      </w:tblPr>
      <w:tblGrid>
        <w:gridCol w:w="4500"/>
        <w:gridCol w:w="4590"/>
      </w:tblGrid>
      <w:tr w:rsidR="002D02ED" w:rsidRPr="00844BF2" w14:paraId="1EAA9D32" w14:textId="77777777" w:rsidTr="00367DC9">
        <w:trPr>
          <w:cnfStyle w:val="100000000000" w:firstRow="1" w:lastRow="0" w:firstColumn="0" w:lastColumn="0" w:oddVBand="0" w:evenVBand="0" w:oddHBand="0" w:evenHBand="0" w:firstRowFirstColumn="0" w:firstRowLastColumn="0" w:lastRowFirstColumn="0" w:lastRowLastColumn="0"/>
          <w:trHeight w:val="300"/>
        </w:trPr>
        <w:tc>
          <w:tcPr>
            <w:tcW w:w="9090" w:type="dxa"/>
            <w:gridSpan w:val="2"/>
          </w:tcPr>
          <w:p w14:paraId="0038D0B0" w14:textId="3A2D187F" w:rsidR="002D02ED" w:rsidRPr="00844BF2" w:rsidRDefault="002D02ED">
            <w:pPr>
              <w:pStyle w:val="Tableheader"/>
            </w:pPr>
            <w:r w:rsidRPr="00844BF2">
              <w:t xml:space="preserve">Project </w:t>
            </w:r>
            <w:r>
              <w:t>objective</w:t>
            </w:r>
            <w:r w:rsidRPr="00844BF2">
              <w:t>s</w:t>
            </w:r>
          </w:p>
        </w:tc>
      </w:tr>
      <w:tr w:rsidR="00B328AA" w14:paraId="74213B08" w14:textId="77777777" w:rsidTr="00367DC9">
        <w:trPr>
          <w:trHeight w:val="300"/>
        </w:trPr>
        <w:tc>
          <w:tcPr>
            <w:tcW w:w="9090" w:type="dxa"/>
            <w:gridSpan w:val="2"/>
          </w:tcPr>
          <w:p w14:paraId="3D6F5BCA" w14:textId="6153B8FF" w:rsidR="00B328AA" w:rsidRDefault="00B328AA" w:rsidP="00F7602B">
            <w:pPr>
              <w:rPr>
                <w:b/>
                <w:bCs/>
                <w:color w:val="FFFFFF" w:themeColor="background1"/>
              </w:rPr>
            </w:pPr>
            <w:r>
              <w:rPr>
                <w:noProof/>
              </w:rPr>
              <w:drawing>
                <wp:inline distT="0" distB="0" distL="0" distR="0" wp14:anchorId="7CF98D3D" wp14:editId="0CAC4730">
                  <wp:extent cx="177912" cy="177912"/>
                  <wp:effectExtent l="0" t="0" r="0" b="0"/>
                  <wp:docPr id="1924691234" name="Picture 1924691234"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rsidRPr="580BCC84">
              <w:t xml:space="preserve"> </w:t>
            </w:r>
            <w:r w:rsidRPr="00D85E18">
              <w:t>Assess the project</w:t>
            </w:r>
            <w:r w:rsidR="00344D3F">
              <w:t>’</w:t>
            </w:r>
            <w:r w:rsidRPr="00D85E18">
              <w:t>s objectives, including the social, economic, environmental, cultural, security, safety or operational client objectives for the project, as well as any desired legacy benefits</w:t>
            </w:r>
          </w:p>
        </w:tc>
      </w:tr>
      <w:tr w:rsidR="00B328AA" w14:paraId="3591BDBB" w14:textId="77777777" w:rsidTr="76AB2BEA">
        <w:trPr>
          <w:cnfStyle w:val="000000010000" w:firstRow="0" w:lastRow="0" w:firstColumn="0" w:lastColumn="0" w:oddVBand="0" w:evenVBand="0" w:oddHBand="0" w:evenHBand="1" w:firstRowFirstColumn="0" w:firstRowLastColumn="0" w:lastRowFirstColumn="0" w:lastRowLastColumn="0"/>
          <w:trHeight w:val="868"/>
        </w:trPr>
        <w:tc>
          <w:tcPr>
            <w:tcW w:w="4500" w:type="dxa"/>
          </w:tcPr>
          <w:p w14:paraId="39E29C44" w14:textId="77777777" w:rsidR="00B328AA" w:rsidRPr="00E841A4" w:rsidRDefault="09E74ADE" w:rsidP="001D2615">
            <w:pPr>
              <w:pStyle w:val="Tablebullet"/>
            </w:pPr>
            <w:r>
              <w:t>What are the project objectives?</w:t>
            </w:r>
          </w:p>
          <w:p w14:paraId="4591A802" w14:textId="56E69D8F" w:rsidR="00B328AA" w:rsidRDefault="09E74ADE" w:rsidP="001D2615">
            <w:pPr>
              <w:pStyle w:val="Tablebullet"/>
            </w:pPr>
            <w:r>
              <w:t>Are the</w:t>
            </w:r>
            <w:r w:rsidR="00590664">
              <w:t>y</w:t>
            </w:r>
            <w:r>
              <w:t xml:space="preserve"> specific, measurable, achievable, relevant and time</w:t>
            </w:r>
            <w:r w:rsidR="00400DB6">
              <w:t xml:space="preserve"> </w:t>
            </w:r>
            <w:r>
              <w:t>bound?</w:t>
            </w:r>
          </w:p>
          <w:p w14:paraId="7FE71D41" w14:textId="301A04EA" w:rsidR="00B328AA" w:rsidRDefault="09E74ADE" w:rsidP="001D2615">
            <w:pPr>
              <w:pStyle w:val="Tablebullet"/>
            </w:pPr>
            <w:r>
              <w:t xml:space="preserve">Have </w:t>
            </w:r>
            <w:r w:rsidR="00590664">
              <w:t xml:space="preserve">they </w:t>
            </w:r>
            <w:r>
              <w:t>been translated into sponsor requirements, for example</w:t>
            </w:r>
            <w:r w:rsidR="00590664">
              <w:t>,</w:t>
            </w:r>
            <w:r>
              <w:t xml:space="preserve"> in terms of quality, innovation, performance, timeliness, risk management</w:t>
            </w:r>
            <w:r w:rsidR="00590664">
              <w:t xml:space="preserve"> and</w:t>
            </w:r>
            <w:r>
              <w:t xml:space="preserve"> stakeholder/community needs?</w:t>
            </w:r>
          </w:p>
        </w:tc>
        <w:tc>
          <w:tcPr>
            <w:tcW w:w="4590" w:type="dxa"/>
          </w:tcPr>
          <w:p w14:paraId="605A4038" w14:textId="67823F98" w:rsidR="00B328AA" w:rsidRDefault="09E74ADE" w:rsidP="001D2615">
            <w:pPr>
              <w:pStyle w:val="Tablebullet"/>
            </w:pPr>
            <w:r>
              <w:t xml:space="preserve">Are there </w:t>
            </w:r>
            <w:r w:rsidR="00590664">
              <w:t xml:space="preserve">particular </w:t>
            </w:r>
            <w:r>
              <w:t>requirements or specifications that need to be met, for example</w:t>
            </w:r>
            <w:r w:rsidR="00590664">
              <w:t>,</w:t>
            </w:r>
            <w:r>
              <w:t xml:space="preserve"> legal and regulatory requirements?</w:t>
            </w:r>
          </w:p>
          <w:p w14:paraId="015E9D0F" w14:textId="77777777" w:rsidR="00B328AA" w:rsidRDefault="09E74ADE" w:rsidP="001D2615">
            <w:pPr>
              <w:pStyle w:val="Tablebullet"/>
            </w:pPr>
            <w:r>
              <w:t>How might these be translated into contractual requirements and performance measures?</w:t>
            </w:r>
          </w:p>
          <w:p w14:paraId="25BBED77" w14:textId="13D2F428" w:rsidR="00B328AA" w:rsidRDefault="09E74ADE" w:rsidP="001D2615">
            <w:pPr>
              <w:pStyle w:val="Tablebullet"/>
            </w:pPr>
            <w:r>
              <w:t>Is there a clear link between the project</w:t>
            </w:r>
            <w:r w:rsidR="00344D3F">
              <w:t>’</w:t>
            </w:r>
            <w:r>
              <w:t xml:space="preserve">s requirements, outputs, outcomes and benefits? </w:t>
            </w:r>
          </w:p>
        </w:tc>
      </w:tr>
      <w:tr w:rsidR="00B328AA" w:rsidRPr="00844BF2" w14:paraId="35321435" w14:textId="77777777" w:rsidTr="00367DC9">
        <w:trPr>
          <w:trHeight w:val="300"/>
        </w:trPr>
        <w:tc>
          <w:tcPr>
            <w:tcW w:w="9090" w:type="dxa"/>
            <w:gridSpan w:val="2"/>
            <w:shd w:val="clear" w:color="auto" w:fill="232B39" w:themeFill="text1"/>
          </w:tcPr>
          <w:p w14:paraId="3328898F" w14:textId="77777777" w:rsidR="00B328AA" w:rsidRPr="00844BF2" w:rsidRDefault="00B328AA" w:rsidP="00F7602B">
            <w:pPr>
              <w:pStyle w:val="Tableheader"/>
              <w:rPr>
                <w:rFonts w:asciiTheme="majorHAnsi" w:hAnsiTheme="majorHAnsi"/>
              </w:rPr>
            </w:pPr>
            <w:r w:rsidRPr="00844BF2">
              <w:rPr>
                <w:rFonts w:asciiTheme="majorHAnsi" w:hAnsiTheme="majorHAnsi"/>
              </w:rPr>
              <w:t>Project characteristics</w:t>
            </w:r>
          </w:p>
        </w:tc>
      </w:tr>
      <w:tr w:rsidR="00B328AA" w14:paraId="2F82ACA7" w14:textId="77777777" w:rsidTr="00367DC9">
        <w:trPr>
          <w:cnfStyle w:val="000000010000" w:firstRow="0" w:lastRow="0" w:firstColumn="0" w:lastColumn="0" w:oddVBand="0" w:evenVBand="0" w:oddHBand="0" w:evenHBand="1" w:firstRowFirstColumn="0" w:firstRowLastColumn="0" w:lastRowFirstColumn="0" w:lastRowLastColumn="0"/>
          <w:trHeight w:val="300"/>
        </w:trPr>
        <w:tc>
          <w:tcPr>
            <w:tcW w:w="9090" w:type="dxa"/>
            <w:gridSpan w:val="2"/>
          </w:tcPr>
          <w:p w14:paraId="5D3E0640" w14:textId="14E09BAF" w:rsidR="00B328AA" w:rsidRDefault="00B328AA" w:rsidP="00F7602B">
            <w:pPr>
              <w:rPr>
                <w:i/>
                <w:iCs/>
                <w:sz w:val="18"/>
                <w:szCs w:val="18"/>
              </w:rPr>
            </w:pPr>
            <w:r>
              <w:rPr>
                <w:noProof/>
              </w:rPr>
              <w:drawing>
                <wp:inline distT="0" distB="0" distL="0" distR="0" wp14:anchorId="4833B0D0" wp14:editId="0212F422">
                  <wp:extent cx="177912" cy="177912"/>
                  <wp:effectExtent l="0" t="0" r="0" b="0"/>
                  <wp:docPr id="1583467613" name="Picture 1583467613"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t xml:space="preserve"> </w:t>
            </w:r>
            <w:r w:rsidRPr="00D85E18">
              <w:rPr>
                <w:sz w:val="18"/>
              </w:rPr>
              <w:t>Assess the project</w:t>
            </w:r>
            <w:r w:rsidR="00344D3F">
              <w:rPr>
                <w:sz w:val="18"/>
              </w:rPr>
              <w:t>’</w:t>
            </w:r>
            <w:r w:rsidRPr="00D85E18">
              <w:rPr>
                <w:sz w:val="18"/>
              </w:rPr>
              <w:t>s scope, scale, location and value, site characteristics, construction complexity, commercial opportunities and key challenges</w:t>
            </w:r>
          </w:p>
        </w:tc>
      </w:tr>
      <w:tr w:rsidR="00B328AA" w14:paraId="666CD41D" w14:textId="77777777" w:rsidTr="76AB2BEA">
        <w:trPr>
          <w:trHeight w:val="300"/>
        </w:trPr>
        <w:tc>
          <w:tcPr>
            <w:tcW w:w="4500" w:type="dxa"/>
          </w:tcPr>
          <w:p w14:paraId="43264F9F" w14:textId="66BAED37" w:rsidR="00B328AA" w:rsidRPr="00F3023F" w:rsidRDefault="00590664" w:rsidP="001D2615">
            <w:pPr>
              <w:pStyle w:val="Tablebullet"/>
            </w:pPr>
            <w:r>
              <w:t xml:space="preserve">Can </w:t>
            </w:r>
            <w:r w:rsidR="09E74ADE">
              <w:t xml:space="preserve">the scope of the project and its outputs </w:t>
            </w:r>
            <w:r>
              <w:t xml:space="preserve">be </w:t>
            </w:r>
            <w:r w:rsidR="09E74ADE">
              <w:t>clearly defined?</w:t>
            </w:r>
            <w:r>
              <w:t xml:space="preserve"> If so, has it been?</w:t>
            </w:r>
          </w:p>
          <w:p w14:paraId="2FC94F25" w14:textId="2C2B31DF" w:rsidR="00B328AA" w:rsidRDefault="09E74ADE" w:rsidP="001D2615">
            <w:pPr>
              <w:pStyle w:val="Tablebullet"/>
            </w:pPr>
            <w:r>
              <w:t>What is the scale of the project (</w:t>
            </w:r>
            <w:r w:rsidR="00590664">
              <w:t>that is, the</w:t>
            </w:r>
            <w:r>
              <w:t xml:space="preserve"> capital value, operating life and replacement costs)?</w:t>
            </w:r>
          </w:p>
          <w:p w14:paraId="58EE03C0" w14:textId="77777777" w:rsidR="00B328AA" w:rsidRDefault="09E74ADE" w:rsidP="001D2615">
            <w:pPr>
              <w:pStyle w:val="Tablebullet"/>
            </w:pPr>
            <w:r>
              <w:t>What is the nature of the project (new build, or expansion/refurbishment/partial replacement of an existing asset)?</w:t>
            </w:r>
          </w:p>
          <w:p w14:paraId="3E12B744" w14:textId="1024F827" w:rsidR="00B328AA" w:rsidRDefault="09E74ADE" w:rsidP="001D2615">
            <w:pPr>
              <w:pStyle w:val="Tablebullet"/>
            </w:pPr>
            <w:r>
              <w:t>Is the project being delivered in a live operating environment (greenfield or brownfield)?</w:t>
            </w:r>
          </w:p>
          <w:p w14:paraId="6F0D6F5C" w14:textId="20476F76" w:rsidR="00B328AA" w:rsidRDefault="09E74ADE" w:rsidP="001D2615">
            <w:pPr>
              <w:pStyle w:val="Tablebullet"/>
            </w:pPr>
            <w:r>
              <w:t>Are there any commercial or alternative funding sources associated with project delivery and/or operations?</w:t>
            </w:r>
          </w:p>
        </w:tc>
        <w:tc>
          <w:tcPr>
            <w:tcW w:w="4590" w:type="dxa"/>
          </w:tcPr>
          <w:p w14:paraId="71761D72" w14:textId="77777777" w:rsidR="00B328AA" w:rsidRDefault="09E74ADE" w:rsidP="001D2615">
            <w:pPr>
              <w:pStyle w:val="Tablebullet"/>
            </w:pPr>
            <w:r>
              <w:t>How complex (technical/social/environmental/ stakeholders) is the project?</w:t>
            </w:r>
          </w:p>
          <w:p w14:paraId="5B549686" w14:textId="1F0568C2" w:rsidR="00B328AA" w:rsidRDefault="09E74ADE" w:rsidP="001D2615">
            <w:pPr>
              <w:pStyle w:val="Tablebullet"/>
            </w:pPr>
            <w:r>
              <w:t>Is the construction approach straightforward and established or complex with uncertainties, untested challenges and/or numerous interfaces?</w:t>
            </w:r>
          </w:p>
          <w:p w14:paraId="571F731C" w14:textId="77777777" w:rsidR="00B328AA" w:rsidRDefault="09E74ADE" w:rsidP="001D2615">
            <w:pPr>
              <w:pStyle w:val="Tablebullet"/>
            </w:pPr>
            <w:r>
              <w:t>What is the level of technology to be incorporated into the project?</w:t>
            </w:r>
          </w:p>
          <w:p w14:paraId="6C8FF09B" w14:textId="77777777" w:rsidR="00B328AA" w:rsidRDefault="09E74ADE" w:rsidP="001D2615">
            <w:pPr>
              <w:pStyle w:val="Tablebullet"/>
            </w:pPr>
            <w:r>
              <w:t>What is the influence of key stakeholders to project performance?</w:t>
            </w:r>
          </w:p>
          <w:p w14:paraId="690E58AD" w14:textId="77777777" w:rsidR="00B328AA" w:rsidRDefault="09E74ADE" w:rsidP="001D2615">
            <w:pPr>
              <w:pStyle w:val="Tablebullet"/>
            </w:pPr>
            <w:r>
              <w:t>Are there any unique or unusual circumstances or factors?</w:t>
            </w:r>
          </w:p>
        </w:tc>
      </w:tr>
      <w:tr w:rsidR="00B328AA" w:rsidRPr="00844BF2" w14:paraId="71F881CA" w14:textId="77777777" w:rsidTr="00367DC9">
        <w:trPr>
          <w:cnfStyle w:val="000000010000" w:firstRow="0" w:lastRow="0" w:firstColumn="0" w:lastColumn="0" w:oddVBand="0" w:evenVBand="0" w:oddHBand="0" w:evenHBand="1" w:firstRowFirstColumn="0" w:firstRowLastColumn="0" w:lastRowFirstColumn="0" w:lastRowLastColumn="0"/>
          <w:trHeight w:val="300"/>
        </w:trPr>
        <w:tc>
          <w:tcPr>
            <w:tcW w:w="9090" w:type="dxa"/>
            <w:gridSpan w:val="2"/>
            <w:shd w:val="clear" w:color="auto" w:fill="232B39" w:themeFill="text1"/>
          </w:tcPr>
          <w:p w14:paraId="7812529E" w14:textId="77777777" w:rsidR="00B328AA" w:rsidRPr="00844BF2" w:rsidRDefault="00B328AA" w:rsidP="00F7602B">
            <w:pPr>
              <w:pStyle w:val="Tableheader"/>
              <w:rPr>
                <w:rFonts w:asciiTheme="majorHAnsi" w:hAnsiTheme="majorHAnsi"/>
              </w:rPr>
            </w:pPr>
            <w:r w:rsidRPr="00844BF2">
              <w:rPr>
                <w:rFonts w:asciiTheme="majorHAnsi" w:hAnsiTheme="majorHAnsi"/>
              </w:rPr>
              <w:t>Operational requirements</w:t>
            </w:r>
          </w:p>
        </w:tc>
      </w:tr>
      <w:tr w:rsidR="00B328AA" w14:paraId="158847DE" w14:textId="77777777" w:rsidTr="00367DC9">
        <w:trPr>
          <w:trHeight w:val="300"/>
        </w:trPr>
        <w:tc>
          <w:tcPr>
            <w:tcW w:w="9090" w:type="dxa"/>
            <w:gridSpan w:val="2"/>
          </w:tcPr>
          <w:p w14:paraId="65980F1A" w14:textId="0FA80E4C" w:rsidR="00B328AA" w:rsidRDefault="00B328AA" w:rsidP="00F7602B">
            <w:pPr>
              <w:keepNext/>
              <w:rPr>
                <w:b/>
                <w:bCs/>
                <w:color w:val="FFFFFF" w:themeColor="background1"/>
              </w:rPr>
            </w:pPr>
            <w:r>
              <w:rPr>
                <w:noProof/>
              </w:rPr>
              <w:drawing>
                <wp:inline distT="0" distB="0" distL="0" distR="0" wp14:anchorId="2C2C644A" wp14:editId="3E103D9B">
                  <wp:extent cx="177912" cy="177912"/>
                  <wp:effectExtent l="0" t="0" r="0" b="0"/>
                  <wp:docPr id="665584882" name="Picture 665584882"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xmlns:dgm="http://schemas.openxmlformats.org/drawingml/2006/diagram" id="{5B39737E-ED1A-1A41-35CD-9A8A67E63A78}"/>
                              </a:ext>
                            </a:extLst>
                          </a:blip>
                          <a:stretch>
                            <a:fillRect/>
                          </a:stretch>
                        </pic:blipFill>
                        <pic:spPr>
                          <a:xfrm flipH="1">
                            <a:off x="0" y="0"/>
                            <a:ext cx="177912" cy="177912"/>
                          </a:xfrm>
                          <a:prstGeom prst="rect">
                            <a:avLst/>
                          </a:prstGeom>
                        </pic:spPr>
                      </pic:pic>
                    </a:graphicData>
                  </a:graphic>
                </wp:inline>
              </w:drawing>
            </w:r>
            <w:r>
              <w:t xml:space="preserve"> </w:t>
            </w:r>
            <w:r w:rsidRPr="56773D2E">
              <w:rPr>
                <w:sz w:val="18"/>
                <w:szCs w:val="18"/>
              </w:rPr>
              <w:t xml:space="preserve">Assess the level of core and non-core services, including what aspects </w:t>
            </w:r>
            <w:r w:rsidR="00590664">
              <w:rPr>
                <w:sz w:val="18"/>
                <w:szCs w:val="18"/>
              </w:rPr>
              <w:t xml:space="preserve">the </w:t>
            </w:r>
            <w:r w:rsidR="00D14159" w:rsidRPr="56773D2E">
              <w:rPr>
                <w:sz w:val="18"/>
                <w:szCs w:val="18"/>
              </w:rPr>
              <w:t xml:space="preserve">Government </w:t>
            </w:r>
            <w:r w:rsidRPr="56773D2E">
              <w:rPr>
                <w:sz w:val="18"/>
                <w:szCs w:val="18"/>
              </w:rPr>
              <w:t>needs to retain to ensure core service delivery</w:t>
            </w:r>
          </w:p>
        </w:tc>
      </w:tr>
      <w:tr w:rsidR="00B328AA" w14:paraId="7B0963A3" w14:textId="77777777" w:rsidTr="76AB2BEA">
        <w:trPr>
          <w:cnfStyle w:val="000000010000" w:firstRow="0" w:lastRow="0" w:firstColumn="0" w:lastColumn="0" w:oddVBand="0" w:evenVBand="0" w:oddHBand="0" w:evenHBand="1" w:firstRowFirstColumn="0" w:firstRowLastColumn="0" w:lastRowFirstColumn="0" w:lastRowLastColumn="0"/>
          <w:trHeight w:val="300"/>
        </w:trPr>
        <w:tc>
          <w:tcPr>
            <w:tcW w:w="4500" w:type="dxa"/>
          </w:tcPr>
          <w:p w14:paraId="2839C6F3" w14:textId="163B9A95" w:rsidR="00B328AA" w:rsidRPr="00F3023F" w:rsidRDefault="09E74ADE" w:rsidP="001D2615">
            <w:pPr>
              <w:pStyle w:val="Tablebullet"/>
            </w:pPr>
            <w:r>
              <w:t>What service delivery outcomes will be achieved?</w:t>
            </w:r>
          </w:p>
          <w:p w14:paraId="4B920DB3" w14:textId="70FB2E1B" w:rsidR="00B328AA" w:rsidRDefault="09E74ADE" w:rsidP="001D2615">
            <w:pPr>
              <w:pStyle w:val="Tablebullet"/>
            </w:pPr>
            <w:r>
              <w:t xml:space="preserve">What is the alignment to </w:t>
            </w:r>
            <w:r w:rsidR="003E4A30">
              <w:t>g</w:t>
            </w:r>
            <w:r w:rsidR="00D14159">
              <w:t xml:space="preserve">overnment </w:t>
            </w:r>
            <w:r>
              <w:t>policy and other stakeholder considerations?</w:t>
            </w:r>
          </w:p>
        </w:tc>
        <w:tc>
          <w:tcPr>
            <w:tcW w:w="4590" w:type="dxa"/>
          </w:tcPr>
          <w:p w14:paraId="3D24796C" w14:textId="3B9E316E" w:rsidR="00B328AA" w:rsidRDefault="09E74ADE" w:rsidP="001D2615">
            <w:pPr>
              <w:pStyle w:val="Tablebullet"/>
            </w:pPr>
            <w:r>
              <w:t>Is the project, or parts of it</w:t>
            </w:r>
            <w:r w:rsidR="0022036C">
              <w:t xml:space="preserve"> or</w:t>
            </w:r>
            <w:r>
              <w:t xml:space="preserve"> associated services suitable for delivery by a private sector provider?</w:t>
            </w:r>
          </w:p>
          <w:p w14:paraId="3B530591" w14:textId="77777777" w:rsidR="00B328AA" w:rsidRDefault="09E74ADE" w:rsidP="001D2615">
            <w:pPr>
              <w:pStyle w:val="Tablebullet"/>
            </w:pPr>
            <w:r>
              <w:t xml:space="preserve">Are recurrent service activities like operations and maintenance already being provided at scale and efficiently in the wider network? </w:t>
            </w:r>
          </w:p>
        </w:tc>
      </w:tr>
      <w:tr w:rsidR="00B328AA" w:rsidRPr="00844BF2" w14:paraId="6CC35E52" w14:textId="77777777" w:rsidTr="00470A29">
        <w:trPr>
          <w:trHeight w:val="300"/>
        </w:trPr>
        <w:tc>
          <w:tcPr>
            <w:tcW w:w="9090" w:type="dxa"/>
            <w:gridSpan w:val="2"/>
            <w:shd w:val="clear" w:color="auto" w:fill="232B39" w:themeFill="text1"/>
          </w:tcPr>
          <w:p w14:paraId="32406DDC" w14:textId="77777777" w:rsidR="00B328AA" w:rsidRPr="00844BF2" w:rsidRDefault="00B328AA" w:rsidP="00F7602B">
            <w:pPr>
              <w:pStyle w:val="Tableheader"/>
              <w:rPr>
                <w:rFonts w:asciiTheme="majorHAnsi" w:hAnsiTheme="majorHAnsi"/>
                <w:noProof/>
              </w:rPr>
            </w:pPr>
            <w:r w:rsidRPr="00844BF2">
              <w:rPr>
                <w:rFonts w:asciiTheme="majorHAnsi" w:hAnsiTheme="majorHAnsi"/>
              </w:rPr>
              <w:t xml:space="preserve">Delivery constraints/opportunities </w:t>
            </w:r>
          </w:p>
        </w:tc>
      </w:tr>
      <w:tr w:rsidR="00B328AA" w14:paraId="75E9AD20" w14:textId="77777777" w:rsidTr="00470A29">
        <w:trPr>
          <w:cnfStyle w:val="000000010000" w:firstRow="0" w:lastRow="0" w:firstColumn="0" w:lastColumn="0" w:oddVBand="0" w:evenVBand="0" w:oddHBand="0" w:evenHBand="1" w:firstRowFirstColumn="0" w:firstRowLastColumn="0" w:lastRowFirstColumn="0" w:lastRowLastColumn="0"/>
          <w:trHeight w:val="300"/>
        </w:trPr>
        <w:tc>
          <w:tcPr>
            <w:tcW w:w="9090" w:type="dxa"/>
            <w:gridSpan w:val="2"/>
            <w:shd w:val="clear" w:color="auto" w:fill="F2F2F2" w:themeFill="background1" w:themeFillShade="F2"/>
          </w:tcPr>
          <w:p w14:paraId="1E0661FB" w14:textId="55CC9588" w:rsidR="00B328AA" w:rsidRDefault="00B328AA" w:rsidP="008C3E66">
            <w:pPr>
              <w:keepNext/>
              <w:rPr>
                <w:b/>
                <w:bCs/>
                <w:color w:val="FFFFFF" w:themeColor="background1"/>
              </w:rPr>
            </w:pPr>
            <w:r>
              <w:rPr>
                <w:noProof/>
              </w:rPr>
              <w:drawing>
                <wp:inline distT="0" distB="0" distL="0" distR="0" wp14:anchorId="1018422C" wp14:editId="0DAF43D1">
                  <wp:extent cx="177912" cy="177912"/>
                  <wp:effectExtent l="0" t="0" r="0" b="0"/>
                  <wp:docPr id="407923389" name="Picture 407923389"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rsidRPr="56773D2E">
              <w:rPr>
                <w:sz w:val="18"/>
                <w:szCs w:val="18"/>
              </w:rPr>
              <w:t xml:space="preserve">Assess </w:t>
            </w:r>
            <w:r w:rsidR="00590664">
              <w:rPr>
                <w:sz w:val="18"/>
                <w:szCs w:val="18"/>
              </w:rPr>
              <w:t>project delivery</w:t>
            </w:r>
            <w:r w:rsidRPr="56773D2E">
              <w:rPr>
                <w:sz w:val="18"/>
                <w:szCs w:val="18"/>
              </w:rPr>
              <w:t xml:space="preserve"> issues including site status, planning and approval requirements and related network impacts</w:t>
            </w:r>
          </w:p>
        </w:tc>
      </w:tr>
      <w:tr w:rsidR="00B328AA" w14:paraId="12EE365E" w14:textId="77777777" w:rsidTr="00470A29">
        <w:trPr>
          <w:trHeight w:val="300"/>
        </w:trPr>
        <w:tc>
          <w:tcPr>
            <w:tcW w:w="4500" w:type="dxa"/>
          </w:tcPr>
          <w:p w14:paraId="20A3A7C0" w14:textId="77777777" w:rsidR="00B328AA" w:rsidRPr="00F3023F" w:rsidRDefault="09E74ADE" w:rsidP="001D2615">
            <w:pPr>
              <w:pStyle w:val="Tablebullet"/>
            </w:pPr>
            <w:r>
              <w:t>What are possible future developments on or around the site?</w:t>
            </w:r>
          </w:p>
          <w:p w14:paraId="416745CB" w14:textId="77777777" w:rsidR="00B328AA" w:rsidRDefault="09E74ADE" w:rsidP="001D2615">
            <w:pPr>
              <w:pStyle w:val="Tablebullet"/>
            </w:pPr>
            <w:r>
              <w:t>What is the nature of the land title?</w:t>
            </w:r>
          </w:p>
          <w:p w14:paraId="31ED5CCE" w14:textId="77777777" w:rsidR="00B328AA" w:rsidRDefault="09E74ADE" w:rsidP="001D2615">
            <w:pPr>
              <w:pStyle w:val="Tablebullet"/>
            </w:pPr>
            <w:r>
              <w:t>What are the geotechnical conditions?</w:t>
            </w:r>
          </w:p>
          <w:p w14:paraId="7A0E1F6D" w14:textId="5F1356E7" w:rsidR="00B328AA" w:rsidRPr="007E5B53" w:rsidRDefault="09E74ADE" w:rsidP="001D2615">
            <w:pPr>
              <w:pStyle w:val="Tablebullet"/>
            </w:pPr>
            <w:r>
              <w:t>Has a contamination investigation been undertaken?</w:t>
            </w:r>
          </w:p>
          <w:p w14:paraId="0AD89B93" w14:textId="6B121857" w:rsidR="00B328AA" w:rsidRPr="007E5B53" w:rsidRDefault="09E74ADE" w:rsidP="001D2615">
            <w:pPr>
              <w:pStyle w:val="Tablebullet"/>
            </w:pPr>
            <w:r>
              <w:t xml:space="preserve">Has an assessment of likely spoil </w:t>
            </w:r>
            <w:r w:rsidR="3B2D2B98">
              <w:t xml:space="preserve">volume to be </w:t>
            </w:r>
            <w:r>
              <w:t>generated by the project and the management of this spoil been completed?</w:t>
            </w:r>
          </w:p>
          <w:p w14:paraId="32D51D5C" w14:textId="77777777" w:rsidR="00B328AA" w:rsidRDefault="09E74ADE" w:rsidP="001D2615">
            <w:pPr>
              <w:pStyle w:val="Tablebullet"/>
            </w:pPr>
            <w:r>
              <w:t>Are there environmental considerations?</w:t>
            </w:r>
          </w:p>
          <w:p w14:paraId="34D42CC9" w14:textId="77777777" w:rsidR="00B328AA" w:rsidRDefault="09E74ADE" w:rsidP="001D2615">
            <w:pPr>
              <w:pStyle w:val="Tablebullet"/>
            </w:pPr>
            <w:r>
              <w:t>Are there cultural heritage considerations?</w:t>
            </w:r>
          </w:p>
          <w:p w14:paraId="4AC6F71B" w14:textId="77777777" w:rsidR="00B328AA" w:rsidRDefault="09E74ADE" w:rsidP="001D2615">
            <w:pPr>
              <w:pStyle w:val="Tablebullet"/>
            </w:pPr>
            <w:r>
              <w:t>Have extensive reviews of the site been done as part of the design development process?</w:t>
            </w:r>
          </w:p>
          <w:p w14:paraId="4E02A9B7" w14:textId="77777777" w:rsidR="00B328AA" w:rsidRDefault="09E74ADE" w:rsidP="001D2615">
            <w:pPr>
              <w:pStyle w:val="Tablebullet"/>
            </w:pPr>
            <w:r>
              <w:t>Are there specific planning authority and local stakeholder considerations?</w:t>
            </w:r>
          </w:p>
        </w:tc>
        <w:tc>
          <w:tcPr>
            <w:tcW w:w="4590" w:type="dxa"/>
          </w:tcPr>
          <w:p w14:paraId="5735A254" w14:textId="0ACCCC75" w:rsidR="00B328AA" w:rsidRDefault="09E74ADE" w:rsidP="001D2615">
            <w:pPr>
              <w:pStyle w:val="Tablebullet"/>
            </w:pPr>
            <w:r>
              <w:t>Establish how this project aligns with other related projects, initiatives, programs or proposals, including:</w:t>
            </w:r>
          </w:p>
          <w:p w14:paraId="0716C7E8" w14:textId="399E818A" w:rsidR="00FF16F5" w:rsidRPr="00E6753D" w:rsidRDefault="00590664" w:rsidP="001D2615">
            <w:pPr>
              <w:pStyle w:val="Tabledash"/>
            </w:pPr>
            <w:r>
              <w:t xml:space="preserve">the </w:t>
            </w:r>
            <w:r w:rsidR="008768AC">
              <w:t>n</w:t>
            </w:r>
            <w:r w:rsidR="008768AC" w:rsidRPr="580BCC84">
              <w:t xml:space="preserve">eed </w:t>
            </w:r>
            <w:r w:rsidR="00B328AA" w:rsidRPr="580BCC84">
              <w:t>to integrate into a broader program of work</w:t>
            </w:r>
          </w:p>
          <w:p w14:paraId="306C28BD" w14:textId="650237E7" w:rsidR="00FF16F5" w:rsidRPr="00E6753D" w:rsidRDefault="00590664" w:rsidP="001D2615">
            <w:pPr>
              <w:pStyle w:val="Tabledash"/>
            </w:pPr>
            <w:r>
              <w:t xml:space="preserve">the </w:t>
            </w:r>
            <w:r w:rsidR="008768AC">
              <w:t>e</w:t>
            </w:r>
            <w:r w:rsidR="008768AC" w:rsidRPr="580BCC84">
              <w:t>xtent</w:t>
            </w:r>
            <w:r w:rsidR="00B328AA" w:rsidRPr="580BCC84">
              <w:t xml:space="preserve"> </w:t>
            </w:r>
            <w:r>
              <w:t>to which</w:t>
            </w:r>
            <w:r w:rsidRPr="580BCC84">
              <w:t xml:space="preserve"> </w:t>
            </w:r>
            <w:r w:rsidR="00B328AA" w:rsidRPr="580BCC84">
              <w:t xml:space="preserve">the procurement decisions will impact </w:t>
            </w:r>
            <w:r>
              <w:t xml:space="preserve">on </w:t>
            </w:r>
            <w:r w:rsidR="00B328AA" w:rsidRPr="580BCC84">
              <w:t>related projects (including timing)</w:t>
            </w:r>
            <w:r w:rsidR="008768AC">
              <w:t>.</w:t>
            </w:r>
          </w:p>
          <w:p w14:paraId="44F5C8D9" w14:textId="21279719" w:rsidR="00B328AA" w:rsidRDefault="09E74ADE" w:rsidP="001D2615">
            <w:pPr>
              <w:pStyle w:val="Tablebullet"/>
            </w:pPr>
            <w:r>
              <w:t xml:space="preserve">Are there advantages to alternatively </w:t>
            </w:r>
            <w:r w:rsidR="009B2E09">
              <w:t xml:space="preserve">sequencing </w:t>
            </w:r>
            <w:r>
              <w:t xml:space="preserve">design and construction </w:t>
            </w:r>
            <w:r w:rsidR="009B2E09">
              <w:t>(</w:t>
            </w:r>
            <w:r>
              <w:t>identify opportunities to overlap design and construction or fast</w:t>
            </w:r>
            <w:r w:rsidR="009B2E09">
              <w:t>-</w:t>
            </w:r>
            <w:r>
              <w:t>track schedule</w:t>
            </w:r>
            <w:r w:rsidR="009B2E09">
              <w:t>)</w:t>
            </w:r>
            <w:r>
              <w:t xml:space="preserve"> or </w:t>
            </w:r>
            <w:r w:rsidR="000209A3">
              <w:t xml:space="preserve">leveraging </w:t>
            </w:r>
            <w:r>
              <w:t>other programs of work?</w:t>
            </w:r>
          </w:p>
          <w:p w14:paraId="78E20BDE" w14:textId="06DC6F6E" w:rsidR="0040032A" w:rsidRPr="002D6481" w:rsidRDefault="6A515759" w:rsidP="001D2615">
            <w:pPr>
              <w:pStyle w:val="Tablebullet"/>
            </w:pPr>
            <w:r>
              <w:t>Establish how the existing environment</w:t>
            </w:r>
            <w:r w:rsidR="63AAD15D">
              <w:t xml:space="preserve"> (</w:t>
            </w:r>
            <w:r w:rsidR="27054E89">
              <w:t>operations, service commissioning and related</w:t>
            </w:r>
            <w:r w:rsidR="1CAE7D26">
              <w:t xml:space="preserve"> </w:t>
            </w:r>
            <w:r>
              <w:t>network</w:t>
            </w:r>
            <w:r w:rsidR="02C02666">
              <w:t xml:space="preserve"> </w:t>
            </w:r>
            <w:r w:rsidR="27054E89">
              <w:t>impacts</w:t>
            </w:r>
            <w:r w:rsidR="63AAD15D">
              <w:t>)</w:t>
            </w:r>
            <w:r>
              <w:t xml:space="preserve"> </w:t>
            </w:r>
            <w:r w:rsidR="7912F14F">
              <w:t xml:space="preserve">may constrain or be </w:t>
            </w:r>
            <w:r w:rsidR="63AAD15D">
              <w:t>constrained</w:t>
            </w:r>
            <w:r w:rsidR="7912F14F">
              <w:t xml:space="preserve"> by the project</w:t>
            </w:r>
            <w:r w:rsidR="009B2E09">
              <w:t>.</w:t>
            </w:r>
          </w:p>
        </w:tc>
      </w:tr>
      <w:tr w:rsidR="00B328AA" w:rsidRPr="00844BF2" w14:paraId="73263096" w14:textId="77777777" w:rsidTr="00367DC9">
        <w:trPr>
          <w:cnfStyle w:val="000000010000" w:firstRow="0" w:lastRow="0" w:firstColumn="0" w:lastColumn="0" w:oddVBand="0" w:evenVBand="0" w:oddHBand="0" w:evenHBand="1" w:firstRowFirstColumn="0" w:firstRowLastColumn="0" w:lastRowFirstColumn="0" w:lastRowLastColumn="0"/>
          <w:trHeight w:val="300"/>
        </w:trPr>
        <w:tc>
          <w:tcPr>
            <w:tcW w:w="9090" w:type="dxa"/>
            <w:gridSpan w:val="2"/>
            <w:shd w:val="clear" w:color="auto" w:fill="232B39" w:themeFill="text1"/>
          </w:tcPr>
          <w:p w14:paraId="57A86B38" w14:textId="77777777" w:rsidR="00B328AA" w:rsidRPr="00844BF2" w:rsidRDefault="00B328AA" w:rsidP="00F7602B">
            <w:pPr>
              <w:pStyle w:val="Tableheader"/>
              <w:rPr>
                <w:rFonts w:asciiTheme="majorHAnsi" w:hAnsiTheme="majorHAnsi"/>
              </w:rPr>
            </w:pPr>
            <w:r w:rsidRPr="00844BF2">
              <w:rPr>
                <w:rFonts w:asciiTheme="majorHAnsi" w:hAnsiTheme="majorHAnsi"/>
              </w:rPr>
              <w:t>Time constraints</w:t>
            </w:r>
          </w:p>
        </w:tc>
      </w:tr>
      <w:tr w:rsidR="00B328AA" w14:paraId="249B4B89" w14:textId="77777777" w:rsidTr="00367DC9">
        <w:trPr>
          <w:trHeight w:val="300"/>
        </w:trPr>
        <w:tc>
          <w:tcPr>
            <w:tcW w:w="9090" w:type="dxa"/>
            <w:gridSpan w:val="2"/>
          </w:tcPr>
          <w:p w14:paraId="1B22E441" w14:textId="77777777" w:rsidR="00B328AA" w:rsidRDefault="00B328AA" w:rsidP="00F7602B">
            <w:pPr>
              <w:rPr>
                <w:i/>
                <w:iCs/>
                <w:sz w:val="18"/>
                <w:szCs w:val="18"/>
              </w:rPr>
            </w:pPr>
            <w:r>
              <w:rPr>
                <w:noProof/>
              </w:rPr>
              <w:drawing>
                <wp:inline distT="0" distB="0" distL="0" distR="0" wp14:anchorId="17C95463" wp14:editId="21B71AEE">
                  <wp:extent cx="177912" cy="177912"/>
                  <wp:effectExtent l="0" t="0" r="0" b="0"/>
                  <wp:docPr id="1239886116" name="Picture 1239886116"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rsidRPr="00D85E18">
              <w:rPr>
                <w:sz w:val="18"/>
              </w:rPr>
              <w:t>Assess the degree of flexibility in delivery timelines, drivers for target dates and consequences for not achieving them</w:t>
            </w:r>
          </w:p>
        </w:tc>
      </w:tr>
      <w:tr w:rsidR="00B328AA" w14:paraId="7C5D14B7" w14:textId="77777777" w:rsidTr="76AB2BEA">
        <w:trPr>
          <w:cnfStyle w:val="000000010000" w:firstRow="0" w:lastRow="0" w:firstColumn="0" w:lastColumn="0" w:oddVBand="0" w:evenVBand="0" w:oddHBand="0" w:evenHBand="1" w:firstRowFirstColumn="0" w:firstRowLastColumn="0" w:lastRowFirstColumn="0" w:lastRowLastColumn="0"/>
          <w:trHeight w:val="1363"/>
        </w:trPr>
        <w:tc>
          <w:tcPr>
            <w:tcW w:w="4500" w:type="dxa"/>
          </w:tcPr>
          <w:p w14:paraId="74AD89E7" w14:textId="1F28D7C4" w:rsidR="00B328AA" w:rsidRPr="00F3023F" w:rsidRDefault="1093289F" w:rsidP="001D2615">
            <w:pPr>
              <w:pStyle w:val="Tablebullet"/>
            </w:pPr>
            <w:r w:rsidRPr="47C76745">
              <w:t>Are</w:t>
            </w:r>
            <w:r w:rsidR="09E74ADE" w:rsidRPr="47C76745">
              <w:t xml:space="preserve"> there target </w:t>
            </w:r>
            <w:r w:rsidRPr="47C76745">
              <w:t>dates</w:t>
            </w:r>
            <w:r w:rsidR="09E74ADE" w:rsidRPr="47C76745">
              <w:t xml:space="preserve"> for commencement of operations</w:t>
            </w:r>
            <w:r w:rsidRPr="47C76745">
              <w:t xml:space="preserve"> and project completion?</w:t>
            </w:r>
          </w:p>
          <w:p w14:paraId="40905988" w14:textId="77777777" w:rsidR="00B328AA" w:rsidRDefault="09E74ADE" w:rsidP="001D2615">
            <w:pPr>
              <w:pStyle w:val="Tablebullet"/>
            </w:pPr>
            <w:r>
              <w:t>What are the drivers for the target date(s)?</w:t>
            </w:r>
          </w:p>
          <w:p w14:paraId="7CC77E8F" w14:textId="77777777" w:rsidR="00B328AA" w:rsidRDefault="09E74ADE" w:rsidP="001D2615">
            <w:pPr>
              <w:pStyle w:val="Tablebullet"/>
            </w:pPr>
            <w:r>
              <w:t>How fixed or flexible are these dates? Are there any critical deadlines and interdependencies?</w:t>
            </w:r>
          </w:p>
        </w:tc>
        <w:tc>
          <w:tcPr>
            <w:tcW w:w="4590" w:type="dxa"/>
          </w:tcPr>
          <w:p w14:paraId="0C4F3115" w14:textId="7811A14E" w:rsidR="00B328AA" w:rsidRDefault="09E74ADE" w:rsidP="001D2615">
            <w:pPr>
              <w:pStyle w:val="Tablebullet"/>
            </w:pPr>
            <w:r>
              <w:t>What are the consequences of not achieving the target date</w:t>
            </w:r>
            <w:r w:rsidR="000209A3">
              <w:t>(s)</w:t>
            </w:r>
            <w:r>
              <w:t>?</w:t>
            </w:r>
          </w:p>
          <w:p w14:paraId="551AB34B" w14:textId="7C7CC8DD" w:rsidR="00B328AA" w:rsidRDefault="09E74ADE" w:rsidP="001D2615">
            <w:pPr>
              <w:pStyle w:val="Tablebullet"/>
            </w:pPr>
            <w:r>
              <w:t>What is the importance of time certainty (having an assurance or guarantee that the project is delivered by the target date</w:t>
            </w:r>
            <w:r w:rsidR="000209A3">
              <w:t>(s)</w:t>
            </w:r>
            <w:r>
              <w:t>)?</w:t>
            </w:r>
          </w:p>
        </w:tc>
      </w:tr>
      <w:tr w:rsidR="00B328AA" w:rsidRPr="00844BF2" w14:paraId="422FB5E4" w14:textId="77777777" w:rsidTr="00367DC9">
        <w:trPr>
          <w:trHeight w:val="300"/>
        </w:trPr>
        <w:tc>
          <w:tcPr>
            <w:tcW w:w="9090" w:type="dxa"/>
            <w:gridSpan w:val="2"/>
            <w:shd w:val="clear" w:color="auto" w:fill="232B39" w:themeFill="text1"/>
          </w:tcPr>
          <w:p w14:paraId="19F0B3D5" w14:textId="77777777" w:rsidR="00B328AA" w:rsidRPr="00844BF2" w:rsidRDefault="00B328AA" w:rsidP="00F7602B">
            <w:pPr>
              <w:pStyle w:val="Tableheader"/>
              <w:rPr>
                <w:rFonts w:asciiTheme="majorHAnsi" w:hAnsiTheme="majorHAnsi"/>
              </w:rPr>
            </w:pPr>
            <w:r w:rsidRPr="00844BF2">
              <w:rPr>
                <w:rFonts w:asciiTheme="majorHAnsi" w:hAnsiTheme="majorHAnsi"/>
              </w:rPr>
              <w:t>Budget constraints</w:t>
            </w:r>
          </w:p>
        </w:tc>
      </w:tr>
      <w:tr w:rsidR="00B328AA" w14:paraId="2EF1F96D" w14:textId="77777777" w:rsidTr="00367DC9">
        <w:trPr>
          <w:cnfStyle w:val="000000010000" w:firstRow="0" w:lastRow="0" w:firstColumn="0" w:lastColumn="0" w:oddVBand="0" w:evenVBand="0" w:oddHBand="0" w:evenHBand="1" w:firstRowFirstColumn="0" w:firstRowLastColumn="0" w:lastRowFirstColumn="0" w:lastRowLastColumn="0"/>
          <w:trHeight w:val="300"/>
        </w:trPr>
        <w:tc>
          <w:tcPr>
            <w:tcW w:w="9090" w:type="dxa"/>
            <w:gridSpan w:val="2"/>
          </w:tcPr>
          <w:p w14:paraId="3B61B88E" w14:textId="77777777" w:rsidR="00B328AA" w:rsidRDefault="00B328AA" w:rsidP="00F7602B">
            <w:pPr>
              <w:keepNext/>
              <w:rPr>
                <w:i/>
                <w:iCs/>
                <w:sz w:val="18"/>
                <w:szCs w:val="18"/>
              </w:rPr>
            </w:pPr>
            <w:r>
              <w:rPr>
                <w:noProof/>
              </w:rPr>
              <w:drawing>
                <wp:inline distT="0" distB="0" distL="0" distR="0" wp14:anchorId="0890E273" wp14:editId="394BFBEB">
                  <wp:extent cx="177912" cy="177912"/>
                  <wp:effectExtent l="0" t="0" r="0" b="0"/>
                  <wp:docPr id="1745945059" name="Picture 1745945059"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rsidRPr="00D85E18">
              <w:rPr>
                <w:sz w:val="18"/>
              </w:rPr>
              <w:t>Assess the need for strict budget and price certainty and maturity of the cost estimate</w:t>
            </w:r>
            <w:r w:rsidRPr="580BCC84">
              <w:t xml:space="preserve"> </w:t>
            </w:r>
          </w:p>
        </w:tc>
      </w:tr>
      <w:tr w:rsidR="00B328AA" w14:paraId="5EB9FE8B" w14:textId="77777777" w:rsidTr="76AB2BEA">
        <w:trPr>
          <w:trHeight w:val="300"/>
        </w:trPr>
        <w:tc>
          <w:tcPr>
            <w:tcW w:w="4500" w:type="dxa"/>
          </w:tcPr>
          <w:p w14:paraId="13FA9C46" w14:textId="77777777" w:rsidR="00B328AA" w:rsidRPr="00F3023F" w:rsidRDefault="09E74ADE" w:rsidP="001D2615">
            <w:pPr>
              <w:pStyle w:val="Tablebullet"/>
            </w:pPr>
            <w:r>
              <w:t>How likely is the final cost to be under the forecast cost or approved budget for construction?</w:t>
            </w:r>
          </w:p>
          <w:p w14:paraId="1049DC76" w14:textId="7BEEA61A" w:rsidR="00B328AA" w:rsidRDefault="09E74ADE" w:rsidP="001D2615">
            <w:pPr>
              <w:pStyle w:val="Tablebullet"/>
            </w:pPr>
            <w:r>
              <w:t>Will flexibility be required to adjust elements of scope or design to align with forecast cost?</w:t>
            </w:r>
          </w:p>
          <w:p w14:paraId="7C9B42BA" w14:textId="39E17F3D" w:rsidR="00B328AA" w:rsidRDefault="09E74ADE" w:rsidP="001D2615">
            <w:pPr>
              <w:pStyle w:val="Tablebullet"/>
            </w:pPr>
            <w:r>
              <w:t>Is there a need for strict cost control by the client in construction and/or whole</w:t>
            </w:r>
            <w:r w:rsidR="00702128">
              <w:t>-</w:t>
            </w:r>
            <w:r>
              <w:t>of</w:t>
            </w:r>
            <w:r w:rsidR="00702128">
              <w:t>-</w:t>
            </w:r>
            <w:r>
              <w:t>life costs?</w:t>
            </w:r>
          </w:p>
          <w:p w14:paraId="6B5BCBAF" w14:textId="77777777" w:rsidR="00B328AA" w:rsidRDefault="09E74ADE" w:rsidP="001D2615">
            <w:pPr>
              <w:pStyle w:val="Tablebullet"/>
            </w:pPr>
            <w:r>
              <w:t xml:space="preserve">Is there a greater risk in cost overrun in construction or in managing costs during operation? </w:t>
            </w:r>
          </w:p>
        </w:tc>
        <w:tc>
          <w:tcPr>
            <w:tcW w:w="4590" w:type="dxa"/>
          </w:tcPr>
          <w:p w14:paraId="3BA1EAFE" w14:textId="39FF5D7E" w:rsidR="00B328AA" w:rsidRDefault="09E74ADE" w:rsidP="001D2615">
            <w:pPr>
              <w:pStyle w:val="Tablebullet"/>
            </w:pPr>
            <w:r>
              <w:t>Have risks been fully and suitably costed and has appropriate contingency been allocated?</w:t>
            </w:r>
          </w:p>
          <w:p w14:paraId="4DC0D3D6" w14:textId="3A8467AE" w:rsidR="00B328AA" w:rsidRDefault="09E74ADE" w:rsidP="001D2615">
            <w:pPr>
              <w:pStyle w:val="Tablebullet"/>
            </w:pPr>
            <w:r>
              <w:t xml:space="preserve">What is the degree of certainty about design and achievement of </w:t>
            </w:r>
            <w:r w:rsidR="41C83EFB">
              <w:t>KPIs</w:t>
            </w:r>
            <w:r>
              <w:t xml:space="preserve"> in design, construction and/or operations?</w:t>
            </w:r>
          </w:p>
          <w:p w14:paraId="798B901B" w14:textId="49154EB1" w:rsidR="00B328AA" w:rsidRDefault="09E74ADE" w:rsidP="001D2615">
            <w:pPr>
              <w:pStyle w:val="Tablebullet"/>
            </w:pPr>
            <w:r>
              <w:t>How critical is budget/price certainty at contract award and why?</w:t>
            </w:r>
          </w:p>
          <w:p w14:paraId="7A245411" w14:textId="77777777" w:rsidR="00B328AA" w:rsidRDefault="09E74ADE" w:rsidP="001D2615">
            <w:pPr>
              <w:pStyle w:val="Tablebullet"/>
            </w:pPr>
            <w:r>
              <w:t>If budget/price certainty is not critical at contract award, at what point during delivery is it required and why?</w:t>
            </w:r>
          </w:p>
        </w:tc>
      </w:tr>
      <w:tr w:rsidR="00B328AA" w:rsidRPr="00844BF2" w14:paraId="2BEE73EE" w14:textId="77777777" w:rsidTr="00470A29">
        <w:trPr>
          <w:cnfStyle w:val="000000010000" w:firstRow="0" w:lastRow="0" w:firstColumn="0" w:lastColumn="0" w:oddVBand="0" w:evenVBand="0" w:oddHBand="0" w:evenHBand="1" w:firstRowFirstColumn="0" w:firstRowLastColumn="0" w:lastRowFirstColumn="0" w:lastRowLastColumn="0"/>
          <w:trHeight w:val="300"/>
        </w:trPr>
        <w:tc>
          <w:tcPr>
            <w:tcW w:w="9090" w:type="dxa"/>
            <w:gridSpan w:val="2"/>
            <w:shd w:val="clear" w:color="auto" w:fill="232B39" w:themeFill="text1"/>
          </w:tcPr>
          <w:p w14:paraId="206709C4" w14:textId="77777777" w:rsidR="00B328AA" w:rsidRPr="00844BF2" w:rsidRDefault="00B328AA" w:rsidP="00F7602B">
            <w:pPr>
              <w:pStyle w:val="Tableheader"/>
              <w:rPr>
                <w:rFonts w:asciiTheme="majorHAnsi" w:hAnsiTheme="majorHAnsi"/>
              </w:rPr>
            </w:pPr>
            <w:r w:rsidRPr="00844BF2">
              <w:rPr>
                <w:rFonts w:asciiTheme="majorHAnsi" w:hAnsiTheme="majorHAnsi"/>
              </w:rPr>
              <w:t>Design requirements</w:t>
            </w:r>
          </w:p>
        </w:tc>
      </w:tr>
      <w:tr w:rsidR="00B328AA" w14:paraId="0136CB46" w14:textId="77777777" w:rsidTr="00470A29">
        <w:trPr>
          <w:trHeight w:val="300"/>
        </w:trPr>
        <w:tc>
          <w:tcPr>
            <w:tcW w:w="9090" w:type="dxa"/>
            <w:gridSpan w:val="2"/>
            <w:shd w:val="clear" w:color="auto" w:fill="F2F2F2" w:themeFill="background1" w:themeFillShade="F2"/>
          </w:tcPr>
          <w:p w14:paraId="75E22F20" w14:textId="2270BF1E" w:rsidR="00B328AA" w:rsidRDefault="00B328AA" w:rsidP="00D85E18">
            <w:pPr>
              <w:pStyle w:val="Tabletext"/>
              <w:rPr>
                <w:i/>
                <w:iCs/>
                <w:szCs w:val="18"/>
              </w:rPr>
            </w:pPr>
            <w:r>
              <w:rPr>
                <w:noProof/>
              </w:rPr>
              <w:drawing>
                <wp:inline distT="0" distB="0" distL="0" distR="0" wp14:anchorId="330C2B4E" wp14:editId="74E62D5E">
                  <wp:extent cx="177912" cy="177912"/>
                  <wp:effectExtent l="0" t="0" r="0" b="0"/>
                  <wp:docPr id="2003825840" name="Picture 2003825840"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arto="http://schemas.microsoft.com/office/word/2006/arto" xmlns:a16="http://schemas.microsoft.com/office/drawing/2014/main"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xmlns:dgm="http://schemas.openxmlformats.org/drawingml/2006/diagram" id="{5B39737E-ED1A-1A41-35CD-9A8A67E63A78}"/>
                              </a:ext>
                            </a:extLst>
                          </a:blip>
                          <a:stretch>
                            <a:fillRect/>
                          </a:stretch>
                        </pic:blipFill>
                        <pic:spPr>
                          <a:xfrm flipH="1">
                            <a:off x="0" y="0"/>
                            <a:ext cx="177912" cy="177912"/>
                          </a:xfrm>
                          <a:prstGeom prst="rect">
                            <a:avLst/>
                          </a:prstGeom>
                        </pic:spPr>
                      </pic:pic>
                    </a:graphicData>
                  </a:graphic>
                </wp:inline>
              </w:drawing>
            </w:r>
            <w:r w:rsidRPr="580BCC84">
              <w:t xml:space="preserve"> </w:t>
            </w:r>
            <w:r w:rsidRPr="00E614A1">
              <w:rPr>
                <w:sz w:val="18"/>
                <w:szCs w:val="18"/>
              </w:rPr>
              <w:t>Assess the project</w:t>
            </w:r>
            <w:r w:rsidR="00344D3F">
              <w:rPr>
                <w:sz w:val="18"/>
                <w:szCs w:val="18"/>
              </w:rPr>
              <w:t>’</w:t>
            </w:r>
            <w:r w:rsidRPr="00E614A1">
              <w:rPr>
                <w:sz w:val="18"/>
                <w:szCs w:val="18"/>
              </w:rPr>
              <w:t>s design maturity and needs, including design features, quality standards and the need to maintain control over the design and the need for innovation or change</w:t>
            </w:r>
            <w:r w:rsidR="006C00B1" w:rsidRPr="00E614A1">
              <w:rPr>
                <w:sz w:val="18"/>
                <w:szCs w:val="18"/>
              </w:rPr>
              <w:t>,</w:t>
            </w:r>
            <w:r w:rsidRPr="00E614A1">
              <w:rPr>
                <w:sz w:val="18"/>
                <w:szCs w:val="18"/>
              </w:rPr>
              <w:t xml:space="preserve"> during the design and construction phases</w:t>
            </w:r>
          </w:p>
        </w:tc>
      </w:tr>
      <w:tr w:rsidR="00B328AA" w14:paraId="04B8FE35" w14:textId="77777777" w:rsidTr="00470A29">
        <w:trPr>
          <w:cnfStyle w:val="000000010000" w:firstRow="0" w:lastRow="0" w:firstColumn="0" w:lastColumn="0" w:oddVBand="0" w:evenVBand="0" w:oddHBand="0" w:evenHBand="1" w:firstRowFirstColumn="0" w:firstRowLastColumn="0" w:lastRowFirstColumn="0" w:lastRowLastColumn="0"/>
          <w:trHeight w:val="300"/>
        </w:trPr>
        <w:tc>
          <w:tcPr>
            <w:tcW w:w="4500" w:type="dxa"/>
          </w:tcPr>
          <w:p w14:paraId="2E20FE98" w14:textId="77777777" w:rsidR="00B328AA" w:rsidRPr="00F3023F" w:rsidRDefault="09E74ADE" w:rsidP="001D2615">
            <w:pPr>
              <w:pStyle w:val="Tablebullet"/>
            </w:pPr>
            <w:r>
              <w:t>What is the completeness and adequacy of the project brief and functional technical or performance specifications?</w:t>
            </w:r>
          </w:p>
          <w:p w14:paraId="42D3CF9B" w14:textId="228B5C53" w:rsidR="00B328AA" w:rsidRDefault="09E74ADE" w:rsidP="001D2615">
            <w:pPr>
              <w:pStyle w:val="Tablebullet"/>
            </w:pPr>
            <w:r>
              <w:t>How far progressed is the design currently?</w:t>
            </w:r>
          </w:p>
          <w:p w14:paraId="52D0501A" w14:textId="31D6A7FE" w:rsidR="00B328AA" w:rsidRDefault="09E74ADE" w:rsidP="001D2615">
            <w:pPr>
              <w:pStyle w:val="Tablebullet"/>
            </w:pPr>
            <w:r>
              <w:t>Are there any areas of design uncertainty that cannot be resolved before tendering?</w:t>
            </w:r>
          </w:p>
          <w:p w14:paraId="1C9DCF10" w14:textId="4772BB2A" w:rsidR="00B328AA" w:rsidRDefault="09E74ADE" w:rsidP="001D2615">
            <w:pPr>
              <w:pStyle w:val="Tablebullet"/>
            </w:pPr>
            <w:r>
              <w:t>To what degree does the design need to be resolved before tendering or construction start</w:t>
            </w:r>
            <w:r w:rsidR="006C00B1">
              <w:t>s</w:t>
            </w:r>
            <w:r>
              <w:t>?</w:t>
            </w:r>
          </w:p>
          <w:p w14:paraId="6D1D5594" w14:textId="7C1990EE" w:rsidR="00B328AA" w:rsidRDefault="09E74ADE" w:rsidP="001D2615">
            <w:pPr>
              <w:pStyle w:val="Tablebullet"/>
            </w:pPr>
            <w:r>
              <w:t>Is a requirement for design flexibility during construction unavoidable? What is driving this need, and can it be addressed through other strategies or mitigations? If not, what degree of design flexibility during construction is required?</w:t>
            </w:r>
          </w:p>
          <w:p w14:paraId="1968F485" w14:textId="77777777" w:rsidR="00B328AA" w:rsidRDefault="09E74ADE" w:rsidP="001D2615">
            <w:pPr>
              <w:pStyle w:val="Tablebullet"/>
            </w:pPr>
            <w:r>
              <w:t>How much scope is there for alternative designs (and/or construction approaches)?</w:t>
            </w:r>
          </w:p>
          <w:p w14:paraId="6A795F91" w14:textId="77777777" w:rsidR="00B328AA" w:rsidRDefault="09E74ADE" w:rsidP="001D2615">
            <w:pPr>
              <w:pStyle w:val="Tablebullet"/>
            </w:pPr>
            <w:r>
              <w:t>What is the importance of certainty with respect to compliance with the design brief?</w:t>
            </w:r>
          </w:p>
        </w:tc>
        <w:tc>
          <w:tcPr>
            <w:tcW w:w="4590" w:type="dxa"/>
          </w:tcPr>
          <w:p w14:paraId="4D5421EE" w14:textId="7116FA7F" w:rsidR="00B328AA" w:rsidRDefault="09E74ADE" w:rsidP="001D2615">
            <w:pPr>
              <w:pStyle w:val="Tablebullet"/>
            </w:pPr>
            <w:r>
              <w:t xml:space="preserve">Does the asset have any special requirements with respect to design quality, specialisation, regulatory licensing or technological innovation, </w:t>
            </w:r>
            <w:r w:rsidR="088135D3">
              <w:t xml:space="preserve">that </w:t>
            </w:r>
            <w:r w:rsidR="66E33B0E">
              <w:t>require</w:t>
            </w:r>
            <w:r>
              <w:t xml:space="preserve"> close control and oversight of the design?</w:t>
            </w:r>
          </w:p>
          <w:p w14:paraId="2FA682A6" w14:textId="102CE7EB" w:rsidR="00B328AA" w:rsidRDefault="09E74ADE" w:rsidP="001D2615">
            <w:pPr>
              <w:pStyle w:val="Tablebullet"/>
            </w:pPr>
            <w:r>
              <w:t>How critical is it for the agency to retain control of design and what are the consequences for lower levels of control?</w:t>
            </w:r>
          </w:p>
          <w:p w14:paraId="21EEF652" w14:textId="3FC227AC" w:rsidR="00B328AA" w:rsidRDefault="00FB1C47" w:rsidP="001D2615">
            <w:pPr>
              <w:pStyle w:val="Tablebullet"/>
            </w:pPr>
            <w:r>
              <w:t>Are</w:t>
            </w:r>
            <w:r w:rsidR="09E74ADE">
              <w:t xml:space="preserve"> the level of redundancy and allowance for future upgrade/capacity resolved and agreed?</w:t>
            </w:r>
          </w:p>
          <w:p w14:paraId="676C5D5C" w14:textId="38B8DCB2" w:rsidR="00B328AA" w:rsidRDefault="09E74ADE" w:rsidP="001D2615">
            <w:pPr>
              <w:pStyle w:val="Tablebullet"/>
            </w:pPr>
            <w:r>
              <w:t>Is there a need for innovation in design? Are there opportunities to de</w:t>
            </w:r>
            <w:r w:rsidR="00A40F35">
              <w:t>-</w:t>
            </w:r>
            <w:r>
              <w:t>risk or improve delivery, operational and maintenance performance through design?</w:t>
            </w:r>
          </w:p>
          <w:p w14:paraId="43468DC1" w14:textId="77777777" w:rsidR="00B328AA" w:rsidRDefault="09E74ADE" w:rsidP="001D2615">
            <w:pPr>
              <w:pStyle w:val="Tablebullet"/>
            </w:pPr>
            <w:r>
              <w:t>What are the expected quality measures of the project in both project development (design, construction) and operations?</w:t>
            </w:r>
          </w:p>
        </w:tc>
      </w:tr>
      <w:tr w:rsidR="00B328AA" w:rsidRPr="00844BF2" w14:paraId="4C9ABB8B" w14:textId="77777777" w:rsidTr="00367DC9">
        <w:trPr>
          <w:trHeight w:val="300"/>
        </w:trPr>
        <w:tc>
          <w:tcPr>
            <w:tcW w:w="9090" w:type="dxa"/>
            <w:gridSpan w:val="2"/>
            <w:shd w:val="clear" w:color="auto" w:fill="232B39" w:themeFill="text1"/>
          </w:tcPr>
          <w:p w14:paraId="47FCE99B" w14:textId="77777777" w:rsidR="00B328AA" w:rsidRPr="00844BF2" w:rsidRDefault="00B328AA" w:rsidP="00F7602B">
            <w:pPr>
              <w:pStyle w:val="Tableheader"/>
              <w:rPr>
                <w:rFonts w:asciiTheme="majorHAnsi" w:hAnsiTheme="majorHAnsi"/>
              </w:rPr>
            </w:pPr>
            <w:r w:rsidRPr="00844BF2">
              <w:rPr>
                <w:rFonts w:asciiTheme="majorHAnsi" w:hAnsiTheme="majorHAnsi"/>
              </w:rPr>
              <w:t>Project risks and opportunities</w:t>
            </w:r>
          </w:p>
        </w:tc>
      </w:tr>
      <w:tr w:rsidR="00B328AA" w14:paraId="01B48FD6" w14:textId="77777777" w:rsidTr="00367DC9">
        <w:trPr>
          <w:cnfStyle w:val="000000010000" w:firstRow="0" w:lastRow="0" w:firstColumn="0" w:lastColumn="0" w:oddVBand="0" w:evenVBand="0" w:oddHBand="0" w:evenHBand="1" w:firstRowFirstColumn="0" w:firstRowLastColumn="0" w:lastRowFirstColumn="0" w:lastRowLastColumn="0"/>
          <w:trHeight w:val="300"/>
        </w:trPr>
        <w:tc>
          <w:tcPr>
            <w:tcW w:w="9090" w:type="dxa"/>
            <w:gridSpan w:val="2"/>
          </w:tcPr>
          <w:p w14:paraId="6719B456" w14:textId="2373351D" w:rsidR="00B328AA" w:rsidRPr="008A649B" w:rsidRDefault="33B7E21B" w:rsidP="00D85E18">
            <w:pPr>
              <w:pStyle w:val="Tabletext"/>
              <w:rPr>
                <w:i/>
                <w:sz w:val="18"/>
                <w:szCs w:val="18"/>
              </w:rPr>
            </w:pPr>
            <w:r>
              <w:rPr>
                <w:noProof/>
              </w:rPr>
              <w:drawing>
                <wp:inline distT="0" distB="0" distL="0" distR="0" wp14:anchorId="3D676DC7" wp14:editId="241DBC4D">
                  <wp:extent cx="177800" cy="177800"/>
                  <wp:effectExtent l="0" t="0" r="0" b="0"/>
                  <wp:docPr id="878030983" name="Picture 878030983"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030983"/>
                          <pic:cNvPicPr/>
                        </pic:nvPicPr>
                        <pic:blipFill>
                          <a:blip r:embed="rId98" cstate="screen">
                            <a:extLst>
                              <a:ext uri="{28A0092B-C50C-407E-A947-70E740481C1C}">
                                <a14:useLocalDpi xmlns:a14="http://schemas.microsoft.com/office/drawing/2010/main"/>
                              </a:ext>
                            </a:extLst>
                          </a:blip>
                          <a:stretch>
                            <a:fillRect/>
                          </a:stretch>
                        </pic:blipFill>
                        <pic:spPr>
                          <a:xfrm flipH="1">
                            <a:off x="0" y="0"/>
                            <a:ext cx="177800" cy="177800"/>
                          </a:xfrm>
                          <a:prstGeom prst="rect">
                            <a:avLst/>
                          </a:prstGeom>
                        </pic:spPr>
                      </pic:pic>
                    </a:graphicData>
                  </a:graphic>
                </wp:inline>
              </w:drawing>
            </w:r>
            <w:r w:rsidR="00B328AA" w:rsidRPr="00E614A1">
              <w:rPr>
                <w:sz w:val="18"/>
                <w:szCs w:val="18"/>
              </w:rPr>
              <w:t>Assess all major opportunities and risks outlined in the project</w:t>
            </w:r>
            <w:r w:rsidR="00344D3F">
              <w:rPr>
                <w:sz w:val="18"/>
                <w:szCs w:val="18"/>
              </w:rPr>
              <w:t>’</w:t>
            </w:r>
            <w:r w:rsidR="00B328AA" w:rsidRPr="00E614A1">
              <w:rPr>
                <w:sz w:val="18"/>
                <w:szCs w:val="18"/>
              </w:rPr>
              <w:t>s risk register, such as those relating to site issues, permits, design, materials and constructability, market conditions and capacity, public interest and stakeholder issues, and any project externalities that would change the project</w:t>
            </w:r>
            <w:r w:rsidR="00344D3F">
              <w:rPr>
                <w:sz w:val="18"/>
                <w:szCs w:val="18"/>
              </w:rPr>
              <w:t>’</w:t>
            </w:r>
            <w:r w:rsidR="00B328AA" w:rsidRPr="00E614A1">
              <w:rPr>
                <w:sz w:val="18"/>
                <w:szCs w:val="18"/>
              </w:rPr>
              <w:t>s risk profile if they were to materialise</w:t>
            </w:r>
          </w:p>
          <w:p w14:paraId="60283636" w14:textId="59EA3F8C" w:rsidR="00B328AA" w:rsidRDefault="00FB1C47" w:rsidP="00D85E18">
            <w:pPr>
              <w:pStyle w:val="Tabletext"/>
              <w:rPr>
                <w:b/>
                <w:bCs/>
                <w:color w:val="FFFFFF" w:themeColor="background1"/>
              </w:rPr>
            </w:pPr>
            <w:r w:rsidRPr="70DFE719">
              <w:rPr>
                <w:sz w:val="18"/>
                <w:szCs w:val="18"/>
              </w:rPr>
              <w:t>(</w:t>
            </w:r>
            <w:r w:rsidR="00B328AA" w:rsidRPr="70DFE719">
              <w:rPr>
                <w:sz w:val="18"/>
                <w:szCs w:val="18"/>
              </w:rPr>
              <w:t>Risk allocation and management has significant bearing on procurement and project delivery</w:t>
            </w:r>
            <w:r w:rsidRPr="70DFE719">
              <w:rPr>
                <w:sz w:val="18"/>
                <w:szCs w:val="18"/>
              </w:rPr>
              <w:t>,</w:t>
            </w:r>
            <w:r w:rsidR="00B328AA" w:rsidRPr="70DFE719">
              <w:rPr>
                <w:sz w:val="18"/>
                <w:szCs w:val="18"/>
              </w:rPr>
              <w:t xml:space="preserve"> and is considered further below.</w:t>
            </w:r>
            <w:r w:rsidRPr="70DFE719">
              <w:rPr>
                <w:sz w:val="18"/>
                <w:szCs w:val="18"/>
              </w:rPr>
              <w:t>)</w:t>
            </w:r>
          </w:p>
        </w:tc>
      </w:tr>
      <w:tr w:rsidR="00B328AA" w14:paraId="4845350E" w14:textId="77777777" w:rsidTr="00367DC9">
        <w:trPr>
          <w:trHeight w:val="300"/>
        </w:trPr>
        <w:tc>
          <w:tcPr>
            <w:tcW w:w="4500" w:type="dxa"/>
          </w:tcPr>
          <w:p w14:paraId="06FEAC88" w14:textId="038760FD" w:rsidR="00B328AA" w:rsidRPr="00F3023F" w:rsidRDefault="09E74ADE" w:rsidP="001D2615">
            <w:pPr>
              <w:pStyle w:val="Tablebullet"/>
            </w:pPr>
            <w:r>
              <w:t>What are the significant risks facing the project?</w:t>
            </w:r>
          </w:p>
          <w:p w14:paraId="732DA231" w14:textId="55175A52" w:rsidR="00B328AA" w:rsidRDefault="09E74ADE" w:rsidP="001D2615">
            <w:pPr>
              <w:pStyle w:val="Tablebullet"/>
            </w:pPr>
            <w:r>
              <w:t>What controls</w:t>
            </w:r>
            <w:r w:rsidR="003E3A42">
              <w:t xml:space="preserve"> or </w:t>
            </w:r>
            <w:r>
              <w:t>risk mitigations have been planned in the project?</w:t>
            </w:r>
          </w:p>
          <w:p w14:paraId="38B418E5" w14:textId="0766540E" w:rsidR="00B328AA" w:rsidRDefault="09E74ADE" w:rsidP="001D2615">
            <w:pPr>
              <w:pStyle w:val="Tablebullet"/>
            </w:pPr>
            <w:r>
              <w:t>How well placed is the client (sponsoring department and/or agency) to control these risks?</w:t>
            </w:r>
          </w:p>
          <w:p w14:paraId="702BD17F" w14:textId="43760037" w:rsidR="00B328AA" w:rsidRDefault="09E74ADE" w:rsidP="001D2615">
            <w:pPr>
              <w:pStyle w:val="Tablebullet"/>
            </w:pPr>
            <w:r>
              <w:t>Would a contractor be better placed to control any of these risks?</w:t>
            </w:r>
          </w:p>
          <w:p w14:paraId="5C10D9D7" w14:textId="77777777" w:rsidR="00B328AA" w:rsidRPr="00166278" w:rsidRDefault="09E74ADE" w:rsidP="001D2615">
            <w:pPr>
              <w:pStyle w:val="Tablebullet"/>
            </w:pPr>
            <w:r>
              <w:t>Are there risks that can be best managed collectively with joint input from all parties?</w:t>
            </w:r>
          </w:p>
          <w:p w14:paraId="0D81EBBE" w14:textId="0CDF00CF" w:rsidR="00B328AA" w:rsidRDefault="09E74ADE" w:rsidP="001D2615">
            <w:pPr>
              <w:pStyle w:val="Tablebullet"/>
            </w:pPr>
            <w:r>
              <w:t>Is the cost of allocating responsibility for the risk efficient or would a premium likely be charged that would not represent value</w:t>
            </w:r>
            <w:r w:rsidR="007334C6">
              <w:t>-</w:t>
            </w:r>
            <w:r>
              <w:t>for</w:t>
            </w:r>
            <w:r w:rsidR="007334C6">
              <w:t>-</w:t>
            </w:r>
            <w:r>
              <w:t>money?</w:t>
            </w:r>
          </w:p>
        </w:tc>
        <w:tc>
          <w:tcPr>
            <w:tcW w:w="4590" w:type="dxa"/>
          </w:tcPr>
          <w:p w14:paraId="4C3D9B4F" w14:textId="77777777" w:rsidR="00B328AA" w:rsidRDefault="09E74ADE" w:rsidP="001D2615">
            <w:pPr>
              <w:pStyle w:val="Tablebullet"/>
            </w:pPr>
            <w:r>
              <w:t>What is the current market ability to cost effectively price and manage these risks?</w:t>
            </w:r>
          </w:p>
          <w:p w14:paraId="727C03E2" w14:textId="699E9B1A" w:rsidR="00B328AA" w:rsidRDefault="09E74ADE" w:rsidP="001D2615">
            <w:pPr>
              <w:pStyle w:val="Tablebullet"/>
            </w:pPr>
            <w:r>
              <w:t>Are there any potential issues that may materially impact on the scope during the project (complex stakeholders</w:t>
            </w:r>
            <w:r w:rsidR="00344D3F">
              <w:t>’</w:t>
            </w:r>
            <w:r>
              <w:t xml:space="preserve"> relations, dependence on third-party input, significant unknown or unquantifiable risks)?</w:t>
            </w:r>
          </w:p>
          <w:p w14:paraId="1AADDB4E" w14:textId="3C495894" w:rsidR="00B328AA" w:rsidRDefault="09E74ADE" w:rsidP="001D2615">
            <w:pPr>
              <w:pStyle w:val="Tablebullet"/>
            </w:pPr>
            <w:r>
              <w:t>How stable is the delivery environment</w:t>
            </w:r>
            <w:r w:rsidR="00685850">
              <w:t>?</w:t>
            </w:r>
            <w:r>
              <w:t xml:space="preserve"> </w:t>
            </w:r>
            <w:r w:rsidR="00685850">
              <w:t>T</w:t>
            </w:r>
            <w:r>
              <w:t>o what extent might procurement decisions change if circumstances</w:t>
            </w:r>
            <w:r w:rsidR="00685850">
              <w:t>,</w:t>
            </w:r>
            <w:r>
              <w:t xml:space="preserve"> project characteristics or priorities changed?</w:t>
            </w:r>
          </w:p>
          <w:p w14:paraId="1AC30FE3" w14:textId="77777777" w:rsidR="00B328AA" w:rsidRDefault="09E74ADE" w:rsidP="001D2615">
            <w:pPr>
              <w:pStyle w:val="Tablebullet"/>
            </w:pPr>
            <w:r>
              <w:t>Are there any risk factors and particularly significant project risks that could not be effectively allocated, or that exceed client and/or market tolerance levels?</w:t>
            </w:r>
          </w:p>
        </w:tc>
      </w:tr>
      <w:tr w:rsidR="00B328AA" w:rsidRPr="00844BF2" w14:paraId="0AC80857" w14:textId="77777777" w:rsidTr="00470A29">
        <w:trPr>
          <w:cnfStyle w:val="000000010000" w:firstRow="0" w:lastRow="0" w:firstColumn="0" w:lastColumn="0" w:oddVBand="0" w:evenVBand="0" w:oddHBand="0" w:evenHBand="1" w:firstRowFirstColumn="0" w:firstRowLastColumn="0" w:lastRowFirstColumn="0" w:lastRowLastColumn="0"/>
          <w:trHeight w:val="300"/>
        </w:trPr>
        <w:tc>
          <w:tcPr>
            <w:tcW w:w="9090" w:type="dxa"/>
            <w:gridSpan w:val="2"/>
            <w:shd w:val="clear" w:color="auto" w:fill="232B39" w:themeFill="text1"/>
          </w:tcPr>
          <w:p w14:paraId="22113FC4" w14:textId="77777777" w:rsidR="00B328AA" w:rsidRPr="00844BF2" w:rsidRDefault="00B328AA" w:rsidP="00F7602B">
            <w:pPr>
              <w:pStyle w:val="Tableheader"/>
              <w:rPr>
                <w:rFonts w:asciiTheme="majorHAnsi" w:hAnsiTheme="majorHAnsi"/>
              </w:rPr>
            </w:pPr>
            <w:r w:rsidRPr="00844BF2">
              <w:rPr>
                <w:rFonts w:asciiTheme="majorHAnsi" w:hAnsiTheme="majorHAnsi"/>
              </w:rPr>
              <w:t xml:space="preserve">Client capacity and capability </w:t>
            </w:r>
          </w:p>
        </w:tc>
      </w:tr>
      <w:tr w:rsidR="00B328AA" w14:paraId="6284E744" w14:textId="77777777" w:rsidTr="00470A29">
        <w:trPr>
          <w:trHeight w:val="300"/>
        </w:trPr>
        <w:tc>
          <w:tcPr>
            <w:tcW w:w="9090" w:type="dxa"/>
            <w:gridSpan w:val="2"/>
            <w:shd w:val="clear" w:color="auto" w:fill="F2F2F2" w:themeFill="background1" w:themeFillShade="F2"/>
          </w:tcPr>
          <w:p w14:paraId="36F4A5AE" w14:textId="435E7FB5" w:rsidR="00B328AA" w:rsidRDefault="00B328AA" w:rsidP="00D85E18">
            <w:pPr>
              <w:pStyle w:val="Tabletext"/>
              <w:rPr>
                <w:b/>
                <w:bCs/>
                <w:color w:val="FFFFFF" w:themeColor="background1"/>
              </w:rPr>
            </w:pPr>
            <w:r>
              <w:rPr>
                <w:noProof/>
              </w:rPr>
              <w:drawing>
                <wp:inline distT="0" distB="0" distL="0" distR="0" wp14:anchorId="33A57C94" wp14:editId="6EA8F7E1">
                  <wp:extent cx="177912" cy="177912"/>
                  <wp:effectExtent l="0" t="0" r="0" b="0"/>
                  <wp:docPr id="1910920188" name="Picture 1910920188"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97" cstate="screen">
                            <a:extLst>
                              <a:ext uri="{28A0092B-C50C-407E-A947-70E740481C1C}">
                                <a14:useLocalDpi xmlns:a14="http://schemas.microsoft.com/office/drawing/2010/main"/>
                              </a:ext>
                              <a:ext uri="{FF2B5EF4-FFF2-40B4-BE49-F238E27FC236}">
                                <a16:creationId xmlns:adec="http://schemas.microsoft.com/office/drawing/2017/decorative" xmlns:dgm="http://schemas.openxmlformats.org/drawingml/2006/diagram"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16="http://schemas.microsoft.com/office/drawing/2014/main" xmlns:arto="http://schemas.microsoft.com/office/word/2006/arto" id="{5B39737E-ED1A-1A41-35CD-9A8A67E63A78}"/>
                              </a:ext>
                            </a:extLst>
                          </a:blip>
                          <a:stretch>
                            <a:fillRect/>
                          </a:stretch>
                        </pic:blipFill>
                        <pic:spPr>
                          <a:xfrm flipH="1">
                            <a:off x="0" y="0"/>
                            <a:ext cx="177912" cy="177912"/>
                          </a:xfrm>
                          <a:prstGeom prst="rect">
                            <a:avLst/>
                          </a:prstGeom>
                        </pic:spPr>
                      </pic:pic>
                    </a:graphicData>
                  </a:graphic>
                </wp:inline>
              </w:drawing>
            </w:r>
            <w:r w:rsidRPr="00E614A1">
              <w:rPr>
                <w:sz w:val="18"/>
                <w:szCs w:val="18"/>
              </w:rPr>
              <w:t>Assess client capability and capacity against the needs and complexity of project delivery requirements to determine whether current project delivery skills and resources are aligned to the project</w:t>
            </w:r>
            <w:r w:rsidR="00344D3F">
              <w:rPr>
                <w:sz w:val="18"/>
                <w:szCs w:val="18"/>
              </w:rPr>
              <w:t>’</w:t>
            </w:r>
            <w:r w:rsidRPr="00E614A1">
              <w:rPr>
                <w:sz w:val="18"/>
                <w:szCs w:val="18"/>
              </w:rPr>
              <w:t>s needs, the delivery environment and the client</w:t>
            </w:r>
            <w:r w:rsidR="00344D3F">
              <w:rPr>
                <w:sz w:val="18"/>
                <w:szCs w:val="18"/>
              </w:rPr>
              <w:t>’</w:t>
            </w:r>
            <w:r w:rsidRPr="00E614A1">
              <w:rPr>
                <w:sz w:val="18"/>
                <w:szCs w:val="18"/>
              </w:rPr>
              <w:t>s long-term role in the project outcomes</w:t>
            </w:r>
          </w:p>
        </w:tc>
      </w:tr>
      <w:tr w:rsidR="00B328AA" w14:paraId="43EDC980" w14:textId="77777777" w:rsidTr="00470A29">
        <w:trPr>
          <w:cnfStyle w:val="000000010000" w:firstRow="0" w:lastRow="0" w:firstColumn="0" w:lastColumn="0" w:oddVBand="0" w:evenVBand="0" w:oddHBand="0" w:evenHBand="1" w:firstRowFirstColumn="0" w:firstRowLastColumn="0" w:lastRowFirstColumn="0" w:lastRowLastColumn="0"/>
          <w:trHeight w:val="300"/>
        </w:trPr>
        <w:tc>
          <w:tcPr>
            <w:tcW w:w="4500" w:type="dxa"/>
          </w:tcPr>
          <w:p w14:paraId="1FA8FA7D" w14:textId="4E48C90F" w:rsidR="00B328AA" w:rsidRPr="00F3023F" w:rsidRDefault="09E74ADE" w:rsidP="001D2615">
            <w:pPr>
              <w:pStyle w:val="Tablebullet"/>
            </w:pPr>
            <w:r>
              <w:t>What is the capacity and capability of the client, and what entity structure (including their form, capacity and capability) would be optimal to deliver this project. This may include determining the:</w:t>
            </w:r>
          </w:p>
          <w:p w14:paraId="309E5EA2" w14:textId="61658EB3" w:rsidR="00B328AA" w:rsidRDefault="00E6753D" w:rsidP="001D2615">
            <w:pPr>
              <w:pStyle w:val="Tabledash"/>
            </w:pPr>
            <w:r>
              <w:t xml:space="preserve">need </w:t>
            </w:r>
            <w:r w:rsidR="09E74ADE">
              <w:t>for and/or benefit of maintaining design control</w:t>
            </w:r>
          </w:p>
          <w:p w14:paraId="610D24D0" w14:textId="1E712AC8" w:rsidR="00E6753D" w:rsidRPr="004B5A4E" w:rsidRDefault="00E6753D" w:rsidP="001D2615">
            <w:pPr>
              <w:pStyle w:val="Tabledash"/>
            </w:pPr>
            <w:r>
              <w:t xml:space="preserve">need </w:t>
            </w:r>
            <w:r w:rsidR="09E74ADE">
              <w:t>to integrate into a broader program of work</w:t>
            </w:r>
            <w:r>
              <w:t>.</w:t>
            </w:r>
          </w:p>
          <w:p w14:paraId="338C4CB3" w14:textId="7BB35607" w:rsidR="00B328AA" w:rsidRDefault="09E74ADE" w:rsidP="001D2615">
            <w:pPr>
              <w:pStyle w:val="Tablebullet"/>
            </w:pPr>
            <w:r>
              <w:t>Do the department and agency (the client) have the internal skills, resources and experience necessary to support the project?</w:t>
            </w:r>
          </w:p>
          <w:p w14:paraId="28673889" w14:textId="5320730B" w:rsidR="00B328AA" w:rsidRDefault="09E74ADE" w:rsidP="001D2615">
            <w:pPr>
              <w:pStyle w:val="Tablebullet"/>
            </w:pPr>
            <w:r>
              <w:t>How well do the client</w:t>
            </w:r>
            <w:r w:rsidR="00344D3F">
              <w:t>’</w:t>
            </w:r>
            <w:r>
              <w:t>s existing capabilities and experience align with project objectives, its delivery and operational needs and risks?</w:t>
            </w:r>
          </w:p>
          <w:p w14:paraId="1AF09A84" w14:textId="77777777" w:rsidR="00B328AA" w:rsidRDefault="09E74ADE" w:rsidP="001D2615">
            <w:pPr>
              <w:pStyle w:val="Tablebullet"/>
            </w:pPr>
            <w:r>
              <w:t>Does the lead department have the capability to clearly define its requirements?</w:t>
            </w:r>
          </w:p>
          <w:p w14:paraId="1B647D04" w14:textId="29F84C8C" w:rsidR="00B328AA" w:rsidRDefault="09E74ADE" w:rsidP="001D2615">
            <w:pPr>
              <w:pStyle w:val="Tablebullet"/>
            </w:pPr>
            <w:r>
              <w:t>Are the project delivery skills and resources core to the agency</w:t>
            </w:r>
            <w:r w:rsidR="00344D3F">
              <w:t>’</w:t>
            </w:r>
            <w:r>
              <w:t>s long-term role?</w:t>
            </w:r>
          </w:p>
        </w:tc>
        <w:tc>
          <w:tcPr>
            <w:tcW w:w="4590" w:type="dxa"/>
          </w:tcPr>
          <w:p w14:paraId="791CCBBB" w14:textId="5D8E9B9B" w:rsidR="00B328AA" w:rsidRDefault="09E74ADE" w:rsidP="001D2615">
            <w:pPr>
              <w:pStyle w:val="Tablebullet"/>
            </w:pPr>
            <w:r>
              <w:t>How established and mature is the client with project management, governance and administration</w:t>
            </w:r>
            <w:r w:rsidR="00AD5BC8">
              <w:t xml:space="preserve"> and</w:t>
            </w:r>
            <w:r>
              <w:t xml:space="preserve"> are the resources and budget available to support it? This could include considering whether:</w:t>
            </w:r>
          </w:p>
          <w:p w14:paraId="60C0B77F" w14:textId="70722BE6" w:rsidR="00B328AA" w:rsidRDefault="09E74ADE" w:rsidP="001D2615">
            <w:pPr>
              <w:pStyle w:val="Tabledash"/>
            </w:pPr>
            <w:r>
              <w:t>governance frameworks are established and effective</w:t>
            </w:r>
          </w:p>
          <w:p w14:paraId="62B7BEBF" w14:textId="359D5008" w:rsidR="00064974" w:rsidRPr="00E6753D" w:rsidRDefault="00064974" w:rsidP="001D2615">
            <w:pPr>
              <w:pStyle w:val="Tabledash"/>
            </w:pPr>
            <w:r>
              <w:t>the</w:t>
            </w:r>
            <w:r w:rsidR="09E74ADE">
              <w:t xml:space="preserve"> agency has implemented business plans and policies for project delivery or if these are in development</w:t>
            </w:r>
          </w:p>
          <w:p w14:paraId="27A726BE" w14:textId="77841ECF" w:rsidR="00064974" w:rsidRPr="00E6753D" w:rsidRDefault="09E74ADE" w:rsidP="001D2615">
            <w:pPr>
              <w:pStyle w:val="Tabledash"/>
            </w:pPr>
            <w:r>
              <w:t>these plans and policies are linked to the department</w:t>
            </w:r>
            <w:r w:rsidR="00344D3F">
              <w:t>’</w:t>
            </w:r>
            <w:r>
              <w:t>s strategic objectives</w:t>
            </w:r>
          </w:p>
          <w:p w14:paraId="560E8554" w14:textId="4B1084B6" w:rsidR="00064974" w:rsidRPr="00E6753D" w:rsidRDefault="00064974" w:rsidP="001D2615">
            <w:pPr>
              <w:pStyle w:val="Tabledash"/>
            </w:pPr>
            <w:r>
              <w:t>t</w:t>
            </w:r>
            <w:r w:rsidR="09E74ADE">
              <w:t>here is robust project performance monitoring and reporting in place</w:t>
            </w:r>
            <w:r>
              <w:t>.</w:t>
            </w:r>
          </w:p>
          <w:p w14:paraId="77D98864" w14:textId="77777777" w:rsidR="00B328AA" w:rsidRDefault="09E74ADE" w:rsidP="001D2615">
            <w:pPr>
              <w:pStyle w:val="Tablebullet"/>
            </w:pPr>
            <w:r>
              <w:t>Can the client reasonably and affordably access sufficient skills to perform the various roles and tasks required for the different procurement models (including the skills and resources to manage project consultancies)?</w:t>
            </w:r>
          </w:p>
          <w:p w14:paraId="6F5250AC" w14:textId="77777777" w:rsidR="00B328AA" w:rsidRDefault="09E74ADE" w:rsidP="001D2615">
            <w:pPr>
              <w:pStyle w:val="Tablebullet"/>
            </w:pPr>
            <w:r>
              <w:t>Are there available resources, including consultants and contractors skilled and experienced in this project type?</w:t>
            </w:r>
          </w:p>
        </w:tc>
      </w:tr>
      <w:tr w:rsidR="00B328AA" w:rsidRPr="00844BF2" w14:paraId="0FFC202E" w14:textId="77777777" w:rsidTr="00367DC9">
        <w:trPr>
          <w:trHeight w:val="300"/>
        </w:trPr>
        <w:tc>
          <w:tcPr>
            <w:tcW w:w="9090" w:type="dxa"/>
            <w:gridSpan w:val="2"/>
            <w:shd w:val="clear" w:color="auto" w:fill="232B39" w:themeFill="text1"/>
          </w:tcPr>
          <w:p w14:paraId="14580673" w14:textId="5F71E67D" w:rsidR="00B328AA" w:rsidRPr="00844BF2" w:rsidRDefault="00B328AA" w:rsidP="00F7602B">
            <w:pPr>
              <w:pStyle w:val="Tableheader"/>
              <w:rPr>
                <w:rFonts w:asciiTheme="majorHAnsi" w:hAnsiTheme="majorHAnsi"/>
              </w:rPr>
            </w:pPr>
            <w:r w:rsidRPr="00844BF2">
              <w:rPr>
                <w:rFonts w:asciiTheme="majorHAnsi" w:hAnsiTheme="majorHAnsi"/>
              </w:rPr>
              <w:t xml:space="preserve">Market </w:t>
            </w:r>
            <w:r w:rsidR="00AD58E4" w:rsidRPr="1140E6E5">
              <w:rPr>
                <w:rFonts w:asciiTheme="majorHAnsi" w:hAnsiTheme="majorHAnsi"/>
              </w:rPr>
              <w:t>capability</w:t>
            </w:r>
            <w:r w:rsidR="00AD58E4">
              <w:rPr>
                <w:rFonts w:asciiTheme="majorHAnsi" w:hAnsiTheme="majorHAnsi"/>
              </w:rPr>
              <w:t xml:space="preserve"> and capacity</w:t>
            </w:r>
            <w:r w:rsidRPr="00844BF2">
              <w:rPr>
                <w:rFonts w:asciiTheme="majorHAnsi" w:hAnsiTheme="majorHAnsi"/>
              </w:rPr>
              <w:t xml:space="preserve"> </w:t>
            </w:r>
          </w:p>
        </w:tc>
      </w:tr>
      <w:tr w:rsidR="00B328AA" w14:paraId="4627CDC7" w14:textId="77777777" w:rsidTr="00367DC9">
        <w:trPr>
          <w:cnfStyle w:val="000000010000" w:firstRow="0" w:lastRow="0" w:firstColumn="0" w:lastColumn="0" w:oddVBand="0" w:evenVBand="0" w:oddHBand="0" w:evenHBand="1" w:firstRowFirstColumn="0" w:firstRowLastColumn="0" w:lastRowFirstColumn="0" w:lastRowLastColumn="0"/>
          <w:trHeight w:val="300"/>
        </w:trPr>
        <w:tc>
          <w:tcPr>
            <w:tcW w:w="9090" w:type="dxa"/>
            <w:gridSpan w:val="2"/>
          </w:tcPr>
          <w:p w14:paraId="566B333E" w14:textId="4A6B3258" w:rsidR="00B328AA" w:rsidRPr="008A649B" w:rsidRDefault="00B328AA" w:rsidP="00D85E18">
            <w:pPr>
              <w:pStyle w:val="Tabletext"/>
              <w:rPr>
                <w:sz w:val="18"/>
                <w:szCs w:val="18"/>
              </w:rPr>
            </w:pPr>
            <w:r>
              <w:rPr>
                <w:noProof/>
              </w:rPr>
              <w:drawing>
                <wp:inline distT="0" distB="0" distL="0" distR="0" wp14:anchorId="633A62D4" wp14:editId="69A163E1">
                  <wp:extent cx="171450" cy="171450"/>
                  <wp:effectExtent l="0" t="0" r="0" b="0"/>
                  <wp:docPr id="158186511" name="Picture 158186511" title="Magnifying glass with solid f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186511"/>
                          <pic:cNvPicPr/>
                        </pic:nvPicPr>
                        <pic:blipFill>
                          <a:blip r:embed="rId99" cstate="screen">
                            <a:extLst>
                              <a:ext uri="{28A0092B-C50C-407E-A947-70E740481C1C}">
                                <a14:useLocalDpi xmlns:a14="http://schemas.microsoft.com/office/drawing/2010/main"/>
                              </a:ext>
                            </a:extLst>
                          </a:blip>
                          <a:srcRect r="-4089" b="-718"/>
                          <a:stretch>
                            <a:fillRect/>
                          </a:stretch>
                        </pic:blipFill>
                        <pic:spPr>
                          <a:xfrm>
                            <a:off x="0" y="0"/>
                            <a:ext cx="171450" cy="171450"/>
                          </a:xfrm>
                          <a:prstGeom prst="rect">
                            <a:avLst/>
                          </a:prstGeom>
                        </pic:spPr>
                      </pic:pic>
                    </a:graphicData>
                  </a:graphic>
                </wp:inline>
              </w:drawing>
            </w:r>
            <w:r w:rsidRPr="00E614A1">
              <w:rPr>
                <w:sz w:val="18"/>
                <w:szCs w:val="18"/>
              </w:rPr>
              <w:t>Assess the capability and capacity of contractors and suppliers to</w:t>
            </w:r>
            <w:r w:rsidRPr="33B86256">
              <w:rPr>
                <w:sz w:val="18"/>
                <w:szCs w:val="18"/>
              </w:rPr>
              <w:t xml:space="preserve"> deliver the project</w:t>
            </w:r>
            <w:r w:rsidR="00B229AF" w:rsidRPr="33B86256">
              <w:rPr>
                <w:sz w:val="18"/>
                <w:szCs w:val="18"/>
              </w:rPr>
              <w:t>,</w:t>
            </w:r>
            <w:r w:rsidRPr="33B86256">
              <w:rPr>
                <w:sz w:val="18"/>
                <w:szCs w:val="18"/>
              </w:rPr>
              <w:t xml:space="preserve"> including any weaknesses or risks in the market</w:t>
            </w:r>
          </w:p>
          <w:p w14:paraId="6999A3A5" w14:textId="313B8873" w:rsidR="00B328AA" w:rsidRDefault="00B229AF" w:rsidP="00D85E18">
            <w:pPr>
              <w:pStyle w:val="Tabletext"/>
              <w:rPr>
                <w:b/>
                <w:bCs/>
                <w:color w:val="FFFFFF" w:themeColor="background1"/>
              </w:rPr>
            </w:pPr>
            <w:r w:rsidRPr="33B86256">
              <w:rPr>
                <w:sz w:val="18"/>
                <w:szCs w:val="18"/>
              </w:rPr>
              <w:t>(</w:t>
            </w:r>
            <w:r w:rsidR="00B328AA" w:rsidRPr="33B86256">
              <w:rPr>
                <w:sz w:val="18"/>
                <w:szCs w:val="18"/>
              </w:rPr>
              <w:t>This assessment is often critical to assessing packaging options.</w:t>
            </w:r>
            <w:r w:rsidRPr="33B86256">
              <w:rPr>
                <w:sz w:val="18"/>
                <w:szCs w:val="18"/>
              </w:rPr>
              <w:t>)</w:t>
            </w:r>
          </w:p>
        </w:tc>
      </w:tr>
      <w:tr w:rsidR="00B328AA" w14:paraId="0A4D10D1" w14:textId="77777777" w:rsidTr="00367DC9">
        <w:trPr>
          <w:trHeight w:val="300"/>
        </w:trPr>
        <w:tc>
          <w:tcPr>
            <w:tcW w:w="4500" w:type="dxa"/>
          </w:tcPr>
          <w:p w14:paraId="000E2729" w14:textId="7870763F" w:rsidR="00B328AA" w:rsidRPr="00F3023F" w:rsidRDefault="09E74ADE" w:rsidP="001D2615">
            <w:pPr>
              <w:pStyle w:val="Tablebullet"/>
            </w:pPr>
            <w:r>
              <w:t>What are the current constraints in the market with respect to capital, labour</w:t>
            </w:r>
            <w:r w:rsidR="00AD5BC8">
              <w:t xml:space="preserve"> and</w:t>
            </w:r>
            <w:r>
              <w:t xml:space="preserve"> supply of goods and materials</w:t>
            </w:r>
            <w:r w:rsidR="00B229AF">
              <w:t>,</w:t>
            </w:r>
            <w:r>
              <w:t xml:space="preserve"> to determine risks and opportunities? This may include considering:</w:t>
            </w:r>
          </w:p>
          <w:p w14:paraId="02D9BC66" w14:textId="1B005432" w:rsidR="00FF16F5" w:rsidRPr="00E6753D" w:rsidRDefault="00B229AF" w:rsidP="001D2615">
            <w:pPr>
              <w:pStyle w:val="Tabledash"/>
            </w:pPr>
            <w:r>
              <w:t>the u</w:t>
            </w:r>
            <w:r w:rsidRPr="580BCC84">
              <w:t xml:space="preserve">pcoming </w:t>
            </w:r>
            <w:r w:rsidR="00B328AA" w:rsidRPr="580BCC84">
              <w:t>pipeline of comparable projects in Victoria and other jurisdictions</w:t>
            </w:r>
          </w:p>
          <w:p w14:paraId="758DBAC1" w14:textId="353CF266" w:rsidR="00FF16F5" w:rsidRPr="00E6753D" w:rsidRDefault="00B229AF" w:rsidP="001D2615">
            <w:pPr>
              <w:pStyle w:val="Tabledash"/>
            </w:pPr>
            <w:r>
              <w:t>a</w:t>
            </w:r>
            <w:r w:rsidRPr="580BCC84">
              <w:t xml:space="preserve">ggregate </w:t>
            </w:r>
            <w:r w:rsidR="00B328AA" w:rsidRPr="580BCC84">
              <w:t>exposure to commonly used contractors</w:t>
            </w:r>
          </w:p>
          <w:p w14:paraId="350A82E9" w14:textId="6D724900" w:rsidR="00FF16F5" w:rsidRPr="00E6753D" w:rsidRDefault="00B229AF" w:rsidP="001D2615">
            <w:pPr>
              <w:pStyle w:val="Tabledash"/>
            </w:pPr>
            <w:r>
              <w:t>s</w:t>
            </w:r>
            <w:r w:rsidRPr="580BCC84">
              <w:t xml:space="preserve">upply </w:t>
            </w:r>
            <w:r w:rsidR="00B328AA" w:rsidRPr="580BCC84">
              <w:t>chain constraints and any opportunities to proactively support this</w:t>
            </w:r>
          </w:p>
          <w:p w14:paraId="62B17FCD" w14:textId="11149916" w:rsidR="00FF16F5" w:rsidRPr="00E6753D" w:rsidRDefault="00B229AF" w:rsidP="001D2615">
            <w:pPr>
              <w:pStyle w:val="Tabledash"/>
            </w:pPr>
            <w:r>
              <w:t>a</w:t>
            </w:r>
            <w:r w:rsidRPr="580BCC84">
              <w:t xml:space="preserve">bility </w:t>
            </w:r>
            <w:r w:rsidR="00B328AA" w:rsidRPr="580BCC84">
              <w:t>to disaggregate supply and delivery contracts</w:t>
            </w:r>
          </w:p>
          <w:p w14:paraId="1C5602A2" w14:textId="7693CA92" w:rsidR="00FF16F5" w:rsidRPr="00E6753D" w:rsidRDefault="00B229AF" w:rsidP="001D2615">
            <w:pPr>
              <w:pStyle w:val="Tabledash"/>
            </w:pPr>
            <w:r>
              <w:t>c</w:t>
            </w:r>
            <w:r w:rsidRPr="580BCC84">
              <w:t xml:space="preserve">ommercial </w:t>
            </w:r>
            <w:r w:rsidR="00B328AA" w:rsidRPr="580BCC84">
              <w:t>opportunities to create contractor capacity to support this and/or subsequent projects</w:t>
            </w:r>
          </w:p>
          <w:p w14:paraId="617B91B7" w14:textId="3D26DE68" w:rsidR="00B328AA" w:rsidRDefault="7753027E" w:rsidP="001D2615">
            <w:pPr>
              <w:pStyle w:val="Tabledash"/>
            </w:pPr>
            <w:r>
              <w:t>o</w:t>
            </w:r>
            <w:r w:rsidR="00B328AA">
              <w:t>ptions</w:t>
            </w:r>
            <w:r w:rsidR="00B328AA" w:rsidRPr="007E5B53">
              <w:t xml:space="preserve"> and capacity for processing and/or disposal of contaminated spoil</w:t>
            </w:r>
            <w:r w:rsidR="00B229AF">
              <w:t>.</w:t>
            </w:r>
          </w:p>
        </w:tc>
        <w:tc>
          <w:tcPr>
            <w:tcW w:w="4590" w:type="dxa"/>
          </w:tcPr>
          <w:p w14:paraId="5C91F125" w14:textId="0958D91D" w:rsidR="00B328AA" w:rsidRDefault="00AD58E4" w:rsidP="001D2615">
            <w:pPr>
              <w:pStyle w:val="Tablebullet"/>
            </w:pPr>
            <w:r>
              <w:t>How might</w:t>
            </w:r>
            <w:r w:rsidR="09E74ADE">
              <w:t xml:space="preserve"> the capacity of the market to manage certain risks, or capture certain opportunities, inform project structuring or packaging?</w:t>
            </w:r>
          </w:p>
          <w:p w14:paraId="65DD0636" w14:textId="48572BE2" w:rsidR="00B328AA" w:rsidRDefault="09E74ADE" w:rsidP="001D2615">
            <w:pPr>
              <w:pStyle w:val="Tablebullet"/>
            </w:pPr>
            <w:r>
              <w:t>What risks is the market willing and able to accept (time and quality)? What risks is the market not able to price and manage efficiently (</w:t>
            </w:r>
            <w:r w:rsidR="00590664">
              <w:t xml:space="preserve">for example, </w:t>
            </w:r>
            <w:r>
              <w:t>certain types of contamination)?</w:t>
            </w:r>
          </w:p>
          <w:p w14:paraId="6B44236D" w14:textId="77777777" w:rsidR="00B328AA" w:rsidRDefault="09E74ADE" w:rsidP="001D2615">
            <w:pPr>
              <w:pStyle w:val="Tablebullet"/>
            </w:pPr>
            <w:r>
              <w:t>What is the availability of suitable contractors?</w:t>
            </w:r>
          </w:p>
          <w:p w14:paraId="300FF653" w14:textId="77777777" w:rsidR="00B328AA" w:rsidRDefault="09E74ADE" w:rsidP="001D2615">
            <w:pPr>
              <w:pStyle w:val="Tablebullet"/>
            </w:pPr>
            <w:r>
              <w:t>Is there evidence of a credible and competitive market to deliver what is proposed?</w:t>
            </w:r>
          </w:p>
          <w:p w14:paraId="6F698D04" w14:textId="0C94085A" w:rsidR="00B328AA" w:rsidRDefault="09E74ADE" w:rsidP="001D2615">
            <w:pPr>
              <w:pStyle w:val="Tablebullet"/>
            </w:pPr>
            <w:r>
              <w:t>What level of competition exists in the market and could this drive value</w:t>
            </w:r>
            <w:r w:rsidR="007334C6">
              <w:t>-</w:t>
            </w:r>
            <w:r>
              <w:t>for</w:t>
            </w:r>
            <w:r w:rsidR="007334C6">
              <w:t>-</w:t>
            </w:r>
            <w:r>
              <w:t>money?</w:t>
            </w:r>
          </w:p>
          <w:p w14:paraId="3F53BB81" w14:textId="77777777" w:rsidR="00B328AA" w:rsidRDefault="09E74ADE" w:rsidP="001D2615">
            <w:pPr>
              <w:pStyle w:val="Tablebullet"/>
            </w:pPr>
            <w:r>
              <w:t>What is the maturity/previous experience of contractors with capability and capacity to deliver?</w:t>
            </w:r>
          </w:p>
        </w:tc>
      </w:tr>
    </w:tbl>
    <w:p w14:paraId="7CF085BC" w14:textId="7B2EEF18" w:rsidR="00470A29" w:rsidRDefault="008B6E3D" w:rsidP="001D2615">
      <w:pPr>
        <w:pStyle w:val="Appendixtitle"/>
        <w:tabs>
          <w:tab w:val="clear" w:pos="360"/>
          <w:tab w:val="left" w:pos="720"/>
        </w:tabs>
      </w:pPr>
      <w:bookmarkStart w:id="510" w:name="_Ref160461869"/>
      <w:bookmarkStart w:id="511" w:name="_Toc161321812"/>
      <w:r>
        <w:t>–</w:t>
      </w:r>
      <w:r w:rsidR="668FC359">
        <w:t xml:space="preserve"> Preferred DTF two-stage </w:t>
      </w:r>
      <w:r w:rsidR="004736EB">
        <w:t>m</w:t>
      </w:r>
      <w:r w:rsidR="668FC359">
        <w:t xml:space="preserve">anaging </w:t>
      </w:r>
      <w:r w:rsidR="004736EB">
        <w:t>c</w:t>
      </w:r>
      <w:r w:rsidR="668FC359">
        <w:t>ontractor approach</w:t>
      </w:r>
      <w:bookmarkEnd w:id="510"/>
      <w:bookmarkEnd w:id="511"/>
    </w:p>
    <w:p w14:paraId="69E4640B" w14:textId="3DACDA75" w:rsidR="00254182" w:rsidRPr="00D6793F" w:rsidRDefault="00254182" w:rsidP="00254182">
      <w:pPr>
        <w:rPr>
          <w:color w:val="auto"/>
        </w:rPr>
      </w:pPr>
      <w:r w:rsidRPr="66E13F76">
        <w:rPr>
          <w:color w:val="auto"/>
        </w:rPr>
        <w:t>DTF</w:t>
      </w:r>
      <w:r w:rsidR="00344D3F">
        <w:rPr>
          <w:color w:val="auto"/>
        </w:rPr>
        <w:t>’</w:t>
      </w:r>
      <w:r w:rsidRPr="66E13F76">
        <w:rPr>
          <w:color w:val="auto"/>
        </w:rPr>
        <w:t xml:space="preserve">s preferred two-stage </w:t>
      </w:r>
      <w:r w:rsidR="005755F1">
        <w:rPr>
          <w:color w:val="auto"/>
        </w:rPr>
        <w:t>managing contractor (M</w:t>
      </w:r>
      <w:r w:rsidR="00FB73F5" w:rsidRPr="66E13F76">
        <w:rPr>
          <w:color w:val="auto"/>
        </w:rPr>
        <w:t>C</w:t>
      </w:r>
      <w:r w:rsidR="005755F1">
        <w:rPr>
          <w:color w:val="auto"/>
        </w:rPr>
        <w:t>)</w:t>
      </w:r>
      <w:r w:rsidRPr="66E13F76">
        <w:rPr>
          <w:color w:val="auto"/>
        </w:rPr>
        <w:t xml:space="preserve"> approach has the following key features.</w:t>
      </w:r>
    </w:p>
    <w:p w14:paraId="79DEE3DE" w14:textId="6F140D15" w:rsidR="00254182" w:rsidRPr="00D6793F" w:rsidRDefault="00254182" w:rsidP="00254182">
      <w:pPr>
        <w:rPr>
          <w:rFonts w:cstheme="minorHAnsi"/>
          <w:color w:val="auto"/>
        </w:rPr>
      </w:pPr>
      <w:r w:rsidRPr="00D6793F">
        <w:rPr>
          <w:rFonts w:cstheme="minorHAnsi"/>
          <w:color w:val="auto"/>
        </w:rPr>
        <w:t>The agency:</w:t>
      </w:r>
    </w:p>
    <w:p w14:paraId="76D8AEBC" w14:textId="59EE676D" w:rsidR="00254182" w:rsidRPr="00D6793F" w:rsidRDefault="55FA077C" w:rsidP="001D2615">
      <w:pPr>
        <w:pStyle w:val="Bullet1"/>
        <w:numPr>
          <w:ilvl w:val="0"/>
          <w:numId w:val="1"/>
        </w:numPr>
      </w:pPr>
      <w:r>
        <w:t>prepares the project brief</w:t>
      </w:r>
      <w:r w:rsidR="5560C386">
        <w:t>/</w:t>
      </w:r>
      <w:r w:rsidR="00FA4C66">
        <w:t>p</w:t>
      </w:r>
      <w:r>
        <w:t>rincipal</w:t>
      </w:r>
      <w:r w:rsidR="00344D3F">
        <w:t>’</w:t>
      </w:r>
      <w:r>
        <w:t xml:space="preserve">s </w:t>
      </w:r>
      <w:r w:rsidR="00FA4C66">
        <w:t>project requirements</w:t>
      </w:r>
      <w:r>
        <w:t>, and typically a preliminary (concept or schematic level) design using consultants directly engaged by the agency</w:t>
      </w:r>
    </w:p>
    <w:p w14:paraId="71B4627F" w14:textId="77777777" w:rsidR="00254182" w:rsidRPr="00D6793F" w:rsidRDefault="55FA077C" w:rsidP="001D2615">
      <w:pPr>
        <w:pStyle w:val="Bullet1"/>
        <w:numPr>
          <w:ilvl w:val="0"/>
          <w:numId w:val="1"/>
        </w:numPr>
      </w:pPr>
      <w:r>
        <w:t>prepares and lodges the planning application to the relevant authority</w:t>
      </w:r>
    </w:p>
    <w:p w14:paraId="30339A40" w14:textId="08B94317" w:rsidR="00254182" w:rsidRPr="00D6793F" w:rsidRDefault="5491B353" w:rsidP="001D2615">
      <w:pPr>
        <w:pStyle w:val="Bullet1"/>
        <w:numPr>
          <w:ilvl w:val="0"/>
          <w:numId w:val="1"/>
        </w:numPr>
      </w:pPr>
      <w:r w:rsidRPr="00D6793F">
        <w:t xml:space="preserve">develops a </w:t>
      </w:r>
      <w:r w:rsidR="003176D8">
        <w:t>t</w:t>
      </w:r>
      <w:r w:rsidRPr="00D6793F">
        <w:t xml:space="preserve">arget </w:t>
      </w:r>
      <w:r w:rsidR="003176D8">
        <w:t>c</w:t>
      </w:r>
      <w:r w:rsidR="003176D8" w:rsidRPr="00D6793F">
        <w:t xml:space="preserve">onstruction </w:t>
      </w:r>
      <w:r w:rsidR="003176D8">
        <w:t>c</w:t>
      </w:r>
      <w:r w:rsidR="003176D8" w:rsidRPr="00D6793F">
        <w:t>ost</w:t>
      </w:r>
      <w:r w:rsidR="003176D8">
        <w:t xml:space="preserve"> </w:t>
      </w:r>
      <w:r w:rsidR="00D82DBD">
        <w:t xml:space="preserve">(TCC), typically with the assistance of a quantity surveyor/cost estimator, and </w:t>
      </w:r>
      <w:r w:rsidR="0082405B">
        <w:t>t</w:t>
      </w:r>
      <w:r w:rsidR="00D82DBD">
        <w:t xml:space="preserve">arget </w:t>
      </w:r>
      <w:r w:rsidR="0082405B">
        <w:t>d</w:t>
      </w:r>
      <w:r w:rsidR="00D82DBD">
        <w:t>ate</w:t>
      </w:r>
      <w:r w:rsidR="0082405B">
        <w:t>(s)</w:t>
      </w:r>
      <w:r w:rsidR="00D82DBD">
        <w:t xml:space="preserve"> for completion</w:t>
      </w:r>
      <w:r w:rsidR="00DC350B">
        <w:rPr>
          <w:rFonts w:ascii="ZWAdobeF" w:hAnsi="ZWAdobeF" w:cs="ZWAdobeF"/>
          <w:color w:val="auto"/>
          <w:sz w:val="2"/>
          <w:szCs w:val="2"/>
        </w:rPr>
        <w:t>F</w:t>
      </w:r>
      <w:r w:rsidR="00254182" w:rsidRPr="00AD58E4">
        <w:rPr>
          <w:vertAlign w:val="superscript"/>
        </w:rPr>
        <w:footnoteReference w:id="18"/>
      </w:r>
    </w:p>
    <w:p w14:paraId="46B14352" w14:textId="3723DAD4" w:rsidR="00254182" w:rsidRPr="00D6793F" w:rsidRDefault="55FA077C" w:rsidP="001D2615">
      <w:pPr>
        <w:pStyle w:val="Bullet1"/>
        <w:numPr>
          <w:ilvl w:val="0"/>
          <w:numId w:val="1"/>
        </w:numPr>
      </w:pPr>
      <w:r>
        <w:t>competitively tenders with the tender documentation</w:t>
      </w:r>
      <w:r w:rsidR="00AD58E4">
        <w:t>,</w:t>
      </w:r>
      <w:r>
        <w:t xml:space="preserve"> including the </w:t>
      </w:r>
      <w:r w:rsidR="00FA4C66">
        <w:t xml:space="preserve">principal’s project requirements </w:t>
      </w:r>
      <w:r>
        <w:t xml:space="preserve">and may include the TCC and </w:t>
      </w:r>
      <w:r w:rsidR="0082405B">
        <w:t>t</w:t>
      </w:r>
      <w:r>
        <w:t xml:space="preserve">arget </w:t>
      </w:r>
      <w:r w:rsidR="0082405B">
        <w:t>date</w:t>
      </w:r>
      <w:r>
        <w:t>(s)</w:t>
      </w:r>
    </w:p>
    <w:p w14:paraId="197071DD" w14:textId="344558E0" w:rsidR="00254182" w:rsidRPr="00D6793F" w:rsidRDefault="55FA077C" w:rsidP="001D2615">
      <w:pPr>
        <w:pStyle w:val="Bullet1"/>
        <w:numPr>
          <w:ilvl w:val="0"/>
          <w:numId w:val="1"/>
        </w:numPr>
      </w:pPr>
      <w:r>
        <w:t xml:space="preserve">appoints the </w:t>
      </w:r>
      <w:r w:rsidR="00FB73F5">
        <w:t>MC</w:t>
      </w:r>
      <w:r>
        <w:t>, based on relevant experience, key project team members, management fees, overhead</w:t>
      </w:r>
      <w:r w:rsidR="087AE67D">
        <w:t xml:space="preserve"> and </w:t>
      </w:r>
      <w:r>
        <w:t>profit margins and in some instances risk pricing.</w:t>
      </w:r>
    </w:p>
    <w:p w14:paraId="169E4D14" w14:textId="4D52E0DC" w:rsidR="00254182" w:rsidRPr="00D6793F" w:rsidRDefault="00254182" w:rsidP="00254182">
      <w:pPr>
        <w:rPr>
          <w:rFonts w:cstheme="minorHAnsi"/>
          <w:color w:val="auto"/>
        </w:rPr>
      </w:pPr>
      <w:r w:rsidRPr="66E13F76">
        <w:rPr>
          <w:color w:val="auto"/>
        </w:rPr>
        <w:t xml:space="preserve">After appointment of the </w:t>
      </w:r>
      <w:r w:rsidR="00CB7F52" w:rsidRPr="66E13F76">
        <w:rPr>
          <w:color w:val="auto"/>
        </w:rPr>
        <w:t>MC</w:t>
      </w:r>
      <w:r w:rsidR="004F2763" w:rsidRPr="66E13F76">
        <w:rPr>
          <w:color w:val="auto"/>
        </w:rPr>
        <w:t>,</w:t>
      </w:r>
      <w:r w:rsidR="00CB7F52" w:rsidRPr="66E13F76">
        <w:rPr>
          <w:color w:val="auto"/>
        </w:rPr>
        <w:t xml:space="preserve"> the</w:t>
      </w:r>
      <w:r w:rsidRPr="66E13F76">
        <w:rPr>
          <w:color w:val="auto"/>
        </w:rPr>
        <w:t xml:space="preserve"> design team is typically novated to the </w:t>
      </w:r>
      <w:r w:rsidR="00FB73F5" w:rsidRPr="66E13F76">
        <w:rPr>
          <w:color w:val="auto"/>
        </w:rPr>
        <w:t>MC</w:t>
      </w:r>
      <w:r w:rsidRPr="66E13F76">
        <w:rPr>
          <w:color w:val="auto"/>
        </w:rPr>
        <w:t>.</w:t>
      </w:r>
      <w:r w:rsidR="00FA4C66">
        <w:rPr>
          <w:color w:val="auto"/>
        </w:rPr>
        <w:t xml:space="preserve"> </w:t>
      </w:r>
      <w:r w:rsidRPr="00D6793F">
        <w:rPr>
          <w:rFonts w:cstheme="minorHAnsi"/>
          <w:color w:val="auto"/>
        </w:rPr>
        <w:t xml:space="preserve">During Stage </w:t>
      </w:r>
      <w:r w:rsidR="0022036C">
        <w:rPr>
          <w:rFonts w:cstheme="minorHAnsi"/>
          <w:color w:val="auto"/>
        </w:rPr>
        <w:t>One</w:t>
      </w:r>
      <w:r w:rsidRPr="00D6793F">
        <w:rPr>
          <w:rFonts w:cstheme="minorHAnsi"/>
          <w:color w:val="auto"/>
        </w:rPr>
        <w:t xml:space="preserve"> the MC typically:</w:t>
      </w:r>
    </w:p>
    <w:p w14:paraId="51FFC105" w14:textId="55C28B82" w:rsidR="00254182" w:rsidRPr="00D6793F" w:rsidRDefault="55FA077C" w:rsidP="001D2615">
      <w:pPr>
        <w:pStyle w:val="Bullet1"/>
        <w:numPr>
          <w:ilvl w:val="0"/>
          <w:numId w:val="1"/>
        </w:numPr>
      </w:pPr>
      <w:r>
        <w:t>manages and coordinates the design documentation</w:t>
      </w:r>
      <w:r w:rsidR="004F2763">
        <w:t>,</w:t>
      </w:r>
      <w:r>
        <w:t xml:space="preserve"> including provision of buildability advice</w:t>
      </w:r>
    </w:p>
    <w:p w14:paraId="5B9CC4F7" w14:textId="77777777" w:rsidR="00254182" w:rsidRPr="00D6793F" w:rsidRDefault="55FA077C" w:rsidP="001D2615">
      <w:pPr>
        <w:pStyle w:val="Bullet1"/>
        <w:numPr>
          <w:ilvl w:val="0"/>
          <w:numId w:val="1"/>
        </w:numPr>
      </w:pPr>
      <w:r>
        <w:t>prepares documentation for planning and authority approvals and the subcontractor tender</w:t>
      </w:r>
    </w:p>
    <w:p w14:paraId="283D2401" w14:textId="1C2754E9" w:rsidR="00254182" w:rsidRPr="00D6793F" w:rsidRDefault="55FA077C" w:rsidP="001D2615">
      <w:pPr>
        <w:pStyle w:val="Bullet1"/>
        <w:numPr>
          <w:ilvl w:val="0"/>
          <w:numId w:val="1"/>
        </w:numPr>
      </w:pPr>
      <w:r>
        <w:t xml:space="preserve">identifies, tenders and potentially executes </w:t>
      </w:r>
      <w:r w:rsidR="004F2763">
        <w:t xml:space="preserve">the </w:t>
      </w:r>
      <w:r>
        <w:t>early works package(s)</w:t>
      </w:r>
    </w:p>
    <w:p w14:paraId="410DB98B" w14:textId="0347F3DB" w:rsidR="00D82DBD" w:rsidRPr="00D6793F" w:rsidRDefault="5491B353" w:rsidP="001D2615">
      <w:pPr>
        <w:pStyle w:val="Bullet1"/>
        <w:numPr>
          <w:ilvl w:val="0"/>
          <w:numId w:val="1"/>
        </w:numPr>
      </w:pPr>
      <w:r w:rsidRPr="00D6793F">
        <w:t xml:space="preserve">prepares and submits an offer with a </w:t>
      </w:r>
      <w:r w:rsidR="00FA4C66">
        <w:t>g</w:t>
      </w:r>
      <w:r w:rsidR="00FA4C66" w:rsidRPr="00D6793F">
        <w:t xml:space="preserve">uaranteed </w:t>
      </w:r>
      <w:r w:rsidR="00FA4C66">
        <w:t>c</w:t>
      </w:r>
      <w:r w:rsidR="00FA4C66" w:rsidRPr="00D6793F">
        <w:t xml:space="preserve">onstruction </w:t>
      </w:r>
      <w:r w:rsidR="00FA4C66">
        <w:t>s</w:t>
      </w:r>
      <w:r w:rsidR="00FA4C66" w:rsidRPr="00D6793F">
        <w:t>um</w:t>
      </w:r>
      <w:r w:rsidR="004541C2">
        <w:t xml:space="preserve"> (GCS)</w:t>
      </w:r>
      <w:r w:rsidR="00DC350B">
        <w:rPr>
          <w:rFonts w:ascii="ZWAdobeF" w:hAnsi="ZWAdobeF" w:cs="ZWAdobeF"/>
          <w:color w:val="auto"/>
          <w:sz w:val="2"/>
          <w:szCs w:val="2"/>
        </w:rPr>
        <w:t>17F</w:t>
      </w:r>
      <w:r w:rsidR="00254182" w:rsidRPr="00424098">
        <w:rPr>
          <w:vertAlign w:val="superscript"/>
        </w:rPr>
        <w:footnoteReference w:id="19"/>
      </w:r>
    </w:p>
    <w:p w14:paraId="7157E39B" w14:textId="4C7F6141" w:rsidR="00254182" w:rsidRPr="00C158A6" w:rsidRDefault="00254182" w:rsidP="00D82DBD">
      <w:r w:rsidRPr="00C158A6">
        <w:t xml:space="preserve">If approved, the MC proceeds to Stage </w:t>
      </w:r>
      <w:r w:rsidR="0022036C">
        <w:t>Two</w:t>
      </w:r>
      <w:r w:rsidR="004F2763" w:rsidRPr="00C158A6">
        <w:t>,</w:t>
      </w:r>
      <w:r w:rsidRPr="00C158A6">
        <w:t xml:space="preserve"> which typically includes:</w:t>
      </w:r>
    </w:p>
    <w:p w14:paraId="53C3B555" w14:textId="77777777" w:rsidR="00254182" w:rsidRPr="00D6793F" w:rsidRDefault="55FA077C" w:rsidP="001D2615">
      <w:pPr>
        <w:pStyle w:val="Bullet1"/>
        <w:numPr>
          <w:ilvl w:val="0"/>
          <w:numId w:val="1"/>
        </w:numPr>
      </w:pPr>
      <w:r>
        <w:t>completing any remaining early works, design, construction documentation and subcontractor tender documentation including coordination across trades</w:t>
      </w:r>
    </w:p>
    <w:p w14:paraId="161059D2" w14:textId="6F46D816" w:rsidR="00254182" w:rsidRPr="00D6793F" w:rsidRDefault="55FA077C" w:rsidP="001D2615">
      <w:pPr>
        <w:pStyle w:val="Bullet1"/>
        <w:numPr>
          <w:ilvl w:val="0"/>
          <w:numId w:val="1"/>
        </w:numPr>
      </w:pPr>
      <w:r>
        <w:t>competitively tendering the remaining works</w:t>
      </w:r>
      <w:r w:rsidR="5560C386">
        <w:t>/</w:t>
      </w:r>
      <w:r>
        <w:t>trade packages and progressively engaging subcontractors, typically consultation with and approval of the agency</w:t>
      </w:r>
    </w:p>
    <w:p w14:paraId="0C527BE6" w14:textId="0BDCAEC5" w:rsidR="00254182" w:rsidRPr="00D6793F" w:rsidRDefault="55FA077C" w:rsidP="001D2615">
      <w:pPr>
        <w:pStyle w:val="Bullet1"/>
        <w:numPr>
          <w:ilvl w:val="0"/>
          <w:numId w:val="1"/>
        </w:numPr>
      </w:pPr>
      <w:r>
        <w:t>managing the delivery of the works including control, coordination, administration and direction of all activities through to completion of the works, including commissioning on behalf of the project owner</w:t>
      </w:r>
    </w:p>
    <w:p w14:paraId="5367D948" w14:textId="77777777" w:rsidR="00254182" w:rsidRPr="00D6793F" w:rsidRDefault="55FA077C" w:rsidP="001D2615">
      <w:pPr>
        <w:pStyle w:val="Bullet1"/>
        <w:numPr>
          <w:ilvl w:val="0"/>
          <w:numId w:val="1"/>
        </w:numPr>
      </w:pPr>
      <w:r>
        <w:t>managing relevant defect liability work</w:t>
      </w:r>
      <w:r w:rsidR="5560C386">
        <w:t>/</w:t>
      </w:r>
      <w:r>
        <w:t>rectification.</w:t>
      </w:r>
    </w:p>
    <w:p w14:paraId="520777DF" w14:textId="7EE928F6" w:rsidR="00254182" w:rsidRPr="00D6793F" w:rsidRDefault="00254182" w:rsidP="00254182">
      <w:pPr>
        <w:rPr>
          <w:color w:val="auto"/>
        </w:rPr>
      </w:pPr>
      <w:r w:rsidRPr="6208A44F">
        <w:rPr>
          <w:color w:val="auto"/>
        </w:rPr>
        <w:t>If the MC fails to meet the agreed completion date(s)</w:t>
      </w:r>
      <w:r w:rsidR="004F2763" w:rsidRPr="6208A44F">
        <w:rPr>
          <w:color w:val="auto"/>
        </w:rPr>
        <w:t>,</w:t>
      </w:r>
      <w:r w:rsidRPr="6208A44F">
        <w:rPr>
          <w:color w:val="auto"/>
        </w:rPr>
        <w:t xml:space="preserve"> liquidated liabilities may apply. Limits to or conditions for self-performance of construction work by the </w:t>
      </w:r>
      <w:r w:rsidR="004F2763" w:rsidRPr="6208A44F">
        <w:rPr>
          <w:color w:val="auto"/>
        </w:rPr>
        <w:t>MC</w:t>
      </w:r>
      <w:r w:rsidRPr="6208A44F" w:rsidDel="005A0240">
        <w:rPr>
          <w:color w:val="auto"/>
        </w:rPr>
        <w:t xml:space="preserve"> </w:t>
      </w:r>
      <w:r w:rsidRPr="6208A44F">
        <w:rPr>
          <w:color w:val="auto"/>
        </w:rPr>
        <w:t>may also be set through the contract arrangements.</w:t>
      </w:r>
    </w:p>
    <w:p w14:paraId="038E8241" w14:textId="77777777" w:rsidR="00254182" w:rsidRPr="004E1D40" w:rsidRDefault="00254182" w:rsidP="00254182">
      <w:pPr>
        <w:rPr>
          <w:rFonts w:cstheme="minorHAnsi"/>
          <w:color w:val="auto"/>
        </w:rPr>
      </w:pPr>
      <w:r w:rsidRPr="00D6793F">
        <w:rPr>
          <w:rFonts w:cstheme="minorHAnsi"/>
          <w:color w:val="auto"/>
        </w:rPr>
        <w:t>The payment regime comprises</w:t>
      </w:r>
      <w:r w:rsidRPr="004507A0">
        <w:rPr>
          <w:rFonts w:cstheme="minorHAnsi"/>
          <w:color w:val="auto"/>
        </w:rPr>
        <w:t>:</w:t>
      </w:r>
    </w:p>
    <w:p w14:paraId="0D279BBB" w14:textId="645AF83A" w:rsidR="00254182" w:rsidRPr="00183725" w:rsidRDefault="55FA077C" w:rsidP="001D2615">
      <w:pPr>
        <w:pStyle w:val="Bullet1"/>
        <w:numPr>
          <w:ilvl w:val="0"/>
          <w:numId w:val="1"/>
        </w:numPr>
      </w:pPr>
      <w:r>
        <w:t xml:space="preserve">reimbursement for actual costs incurred for materials and subcontracts, including consultancy agreements that are contracted to the </w:t>
      </w:r>
      <w:r w:rsidR="004F2763">
        <w:t>MC</w:t>
      </w:r>
      <w:r>
        <w:t xml:space="preserve">, on an </w:t>
      </w:r>
      <w:r w:rsidR="007C7BD5">
        <w:t>open-book basis</w:t>
      </w:r>
    </w:p>
    <w:p w14:paraId="438E1D8A" w14:textId="4ED45951" w:rsidR="00254182" w:rsidRPr="00183725" w:rsidRDefault="55FA077C" w:rsidP="001D2615">
      <w:pPr>
        <w:pStyle w:val="Bullet1"/>
        <w:numPr>
          <w:ilvl w:val="0"/>
          <w:numId w:val="1"/>
        </w:numPr>
      </w:pPr>
      <w:r>
        <w:t>construction, and potentially design management fee (fixed price fee ($))</w:t>
      </w:r>
    </w:p>
    <w:p w14:paraId="3E101159" w14:textId="77777777" w:rsidR="00254182" w:rsidRPr="00183725" w:rsidRDefault="55FA077C" w:rsidP="001D2615">
      <w:pPr>
        <w:pStyle w:val="Bullet1"/>
        <w:numPr>
          <w:ilvl w:val="0"/>
          <w:numId w:val="1"/>
        </w:numPr>
      </w:pPr>
      <w:r>
        <w:t>preliminaries and on-site overheads (fixed % or $)</w:t>
      </w:r>
    </w:p>
    <w:p w14:paraId="0976517C" w14:textId="0EF7870F" w:rsidR="00254182" w:rsidRPr="00183725" w:rsidRDefault="55FA077C" w:rsidP="001D2615">
      <w:pPr>
        <w:pStyle w:val="Bullet1"/>
        <w:numPr>
          <w:ilvl w:val="0"/>
          <w:numId w:val="1"/>
        </w:numPr>
      </w:pPr>
      <w:r>
        <w:t>offsite overheads and profit (fixed %)</w:t>
      </w:r>
    </w:p>
    <w:p w14:paraId="1B20C6D5" w14:textId="77777777" w:rsidR="00254182" w:rsidRPr="00183725" w:rsidRDefault="55FA077C" w:rsidP="001D2615">
      <w:pPr>
        <w:pStyle w:val="Bullet1"/>
        <w:numPr>
          <w:ilvl w:val="0"/>
          <w:numId w:val="1"/>
        </w:numPr>
      </w:pPr>
      <w:r>
        <w:t>risk and contingency (fixed %).</w:t>
      </w:r>
    </w:p>
    <w:p w14:paraId="5378A97A" w14:textId="03D0F0ED" w:rsidR="00254182" w:rsidRPr="004E1D40" w:rsidRDefault="00254182" w:rsidP="00254182">
      <w:pPr>
        <w:rPr>
          <w:color w:val="auto"/>
        </w:rPr>
      </w:pPr>
      <w:r w:rsidRPr="6208A44F">
        <w:rPr>
          <w:color w:val="auto"/>
        </w:rPr>
        <w:t>In addition</w:t>
      </w:r>
      <w:r w:rsidR="00E669AC">
        <w:rPr>
          <w:color w:val="auto"/>
        </w:rPr>
        <w:t>,</w:t>
      </w:r>
      <w:r w:rsidRPr="6208A44F">
        <w:rPr>
          <w:color w:val="auto"/>
        </w:rPr>
        <w:t xml:space="preserve"> there are typically payments to incentivise management of costs, either as entitlement to a share of cost savings upon completion and</w:t>
      </w:r>
      <w:r w:rsidR="006B496E" w:rsidRPr="6208A44F">
        <w:rPr>
          <w:color w:val="auto"/>
        </w:rPr>
        <w:t>/</w:t>
      </w:r>
      <w:r w:rsidRPr="6208A44F">
        <w:rPr>
          <w:color w:val="auto"/>
        </w:rPr>
        <w:t xml:space="preserve">or performance payments based on the achievement of specific </w:t>
      </w:r>
      <w:r w:rsidR="005755F1">
        <w:rPr>
          <w:color w:val="auto"/>
        </w:rPr>
        <w:t>key result area</w:t>
      </w:r>
      <w:r w:rsidR="005755F1" w:rsidRPr="6208A44F">
        <w:rPr>
          <w:color w:val="auto"/>
        </w:rPr>
        <w:t>s</w:t>
      </w:r>
      <w:r w:rsidR="005755F1">
        <w:rPr>
          <w:color w:val="auto"/>
        </w:rPr>
        <w:t xml:space="preserve"> and key performance indicator</w:t>
      </w:r>
      <w:r w:rsidR="00EE7298" w:rsidRPr="6208A44F">
        <w:rPr>
          <w:color w:val="auto"/>
        </w:rPr>
        <w:t>s</w:t>
      </w:r>
      <w:r w:rsidRPr="6208A44F">
        <w:rPr>
          <w:color w:val="auto"/>
        </w:rPr>
        <w:t xml:space="preserve">. The share of savings arrangement is usually capped to disincentivise the MC from inflating the </w:t>
      </w:r>
      <w:r w:rsidR="00007661">
        <w:rPr>
          <w:color w:val="auto"/>
        </w:rPr>
        <w:t xml:space="preserve">GCS </w:t>
      </w:r>
      <w:r w:rsidR="005755F1">
        <w:rPr>
          <w:color w:val="auto"/>
        </w:rPr>
        <w:t>or warranted maximum price</w:t>
      </w:r>
      <w:r w:rsidRPr="6208A44F">
        <w:rPr>
          <w:color w:val="auto"/>
        </w:rPr>
        <w:t>.</w:t>
      </w:r>
    </w:p>
    <w:p w14:paraId="4AEFD60E" w14:textId="4BAA1546" w:rsidR="00254182" w:rsidRPr="004F3D2C" w:rsidRDefault="00254182" w:rsidP="00254182">
      <w:pPr>
        <w:rPr>
          <w:color w:val="auto"/>
        </w:rPr>
      </w:pPr>
      <w:r w:rsidRPr="6208A44F" w:rsidDel="00BF0585">
        <w:rPr>
          <w:color w:val="auto"/>
        </w:rPr>
        <w:t>While the MC is responsible for engaging subcontractors, and accordingly incurs some delivery risk,</w:t>
      </w:r>
      <w:r w:rsidRPr="6208A44F">
        <w:rPr>
          <w:color w:val="auto"/>
        </w:rPr>
        <w:t xml:space="preserve"> </w:t>
      </w:r>
      <w:r w:rsidRPr="6208A44F" w:rsidDel="00BF0585">
        <w:rPr>
          <w:color w:val="auto"/>
        </w:rPr>
        <w:t xml:space="preserve">typically the subcontracting is conducted in consultation with the agency, </w:t>
      </w:r>
      <w:r w:rsidRPr="6208A44F">
        <w:rPr>
          <w:color w:val="auto"/>
        </w:rPr>
        <w:t>wh</w:t>
      </w:r>
      <w:r w:rsidR="00EE7298" w:rsidRPr="6208A44F">
        <w:rPr>
          <w:color w:val="auto"/>
        </w:rPr>
        <w:t>ich</w:t>
      </w:r>
      <w:r w:rsidRPr="6208A44F" w:rsidDel="00BF0585">
        <w:rPr>
          <w:color w:val="auto"/>
        </w:rPr>
        <w:t xml:space="preserve"> retains the ultimate authority to approve or reject tenderers.</w:t>
      </w:r>
      <w:r w:rsidRPr="6208A44F">
        <w:rPr>
          <w:color w:val="auto"/>
        </w:rPr>
        <w:t xml:space="preserve"> </w:t>
      </w:r>
      <w:r w:rsidRPr="6208A44F" w:rsidDel="00BF0585">
        <w:rPr>
          <w:color w:val="auto"/>
        </w:rPr>
        <w:t xml:space="preserve">This level of collaboration enables the agency, in the role of </w:t>
      </w:r>
      <w:r w:rsidR="007D22BC" w:rsidRPr="6208A44F">
        <w:rPr>
          <w:color w:val="auto"/>
        </w:rPr>
        <w:t>p</w:t>
      </w:r>
      <w:r w:rsidRPr="6208A44F">
        <w:rPr>
          <w:color w:val="auto"/>
        </w:rPr>
        <w:t>rincipal</w:t>
      </w:r>
      <w:r w:rsidRPr="6208A44F" w:rsidDel="00BF0585">
        <w:rPr>
          <w:color w:val="auto"/>
        </w:rPr>
        <w:t xml:space="preserve">, to maintain reasonable control over the design process </w:t>
      </w:r>
      <w:r w:rsidR="00EE7298" w:rsidRPr="6208A44F">
        <w:rPr>
          <w:color w:val="auto"/>
        </w:rPr>
        <w:t>(</w:t>
      </w:r>
      <w:r w:rsidRPr="6208A44F" w:rsidDel="00BF0585">
        <w:rPr>
          <w:color w:val="auto"/>
        </w:rPr>
        <w:t>and</w:t>
      </w:r>
      <w:r w:rsidR="00EE7298" w:rsidRPr="6208A44F">
        <w:rPr>
          <w:color w:val="auto"/>
        </w:rPr>
        <w:t>,</w:t>
      </w:r>
      <w:r w:rsidRPr="6208A44F" w:rsidDel="00BF0585">
        <w:rPr>
          <w:color w:val="auto"/>
        </w:rPr>
        <w:t xml:space="preserve"> where appropriate</w:t>
      </w:r>
      <w:r w:rsidR="00EE7298" w:rsidRPr="6208A44F">
        <w:rPr>
          <w:color w:val="auto"/>
        </w:rPr>
        <w:t>,</w:t>
      </w:r>
      <w:r w:rsidRPr="6208A44F" w:rsidDel="00BF0585">
        <w:rPr>
          <w:color w:val="auto"/>
        </w:rPr>
        <w:t xml:space="preserve"> construction</w:t>
      </w:r>
      <w:r w:rsidR="00EE7298" w:rsidRPr="6208A44F">
        <w:rPr>
          <w:color w:val="auto"/>
        </w:rPr>
        <w:t>)</w:t>
      </w:r>
      <w:r w:rsidRPr="6208A44F" w:rsidDel="00BF0585">
        <w:rPr>
          <w:color w:val="auto"/>
        </w:rPr>
        <w:t>, particularly when the works are occurring in complex environments.</w:t>
      </w:r>
    </w:p>
    <w:p w14:paraId="0A330F7A" w14:textId="77777777" w:rsidR="00470A29" w:rsidRDefault="008B6E3D" w:rsidP="001D2615">
      <w:pPr>
        <w:pStyle w:val="Appendixtitle"/>
        <w:tabs>
          <w:tab w:val="clear" w:pos="360"/>
          <w:tab w:val="left" w:pos="720"/>
        </w:tabs>
      </w:pPr>
      <w:bookmarkStart w:id="512" w:name="_Toc139452898"/>
      <w:bookmarkStart w:id="513" w:name="_Toc25662739"/>
      <w:bookmarkStart w:id="514" w:name="_Ref160461900"/>
      <w:bookmarkStart w:id="515" w:name="_Toc161321813"/>
      <w:r>
        <w:t>–</w:t>
      </w:r>
      <w:r w:rsidR="446730AE">
        <w:t xml:space="preserve"> </w:t>
      </w:r>
      <w:bookmarkStart w:id="516" w:name="_Toc139452900"/>
      <w:bookmarkEnd w:id="512"/>
      <w:r w:rsidR="446730AE">
        <w:t>Common elements and considerations of the procurement plan</w:t>
      </w:r>
      <w:bookmarkEnd w:id="513"/>
      <w:bookmarkEnd w:id="514"/>
      <w:bookmarkEnd w:id="516"/>
      <w:bookmarkEnd w:id="515"/>
    </w:p>
    <w:p w14:paraId="3B4CC973" w14:textId="04B4C0A9" w:rsidR="003324A3" w:rsidRPr="00387024" w:rsidRDefault="003324A3" w:rsidP="00F06070">
      <w:r w:rsidRPr="00387024">
        <w:t xml:space="preserve">Agencies are required to develop a procurement plan to guide a procurement from tender development through to contract award. The purpose of the procurement plan is to identify and document the tender approach and strategy </w:t>
      </w:r>
      <w:r w:rsidR="00FB73F5">
        <w:t>that has</w:t>
      </w:r>
      <w:r w:rsidR="00FB73F5" w:rsidRPr="00387024">
        <w:t xml:space="preserve"> </w:t>
      </w:r>
      <w:r w:rsidRPr="00387024">
        <w:t>the highest potential of delivering the best procurement outcome on balance for the given project.</w:t>
      </w:r>
    </w:p>
    <w:p w14:paraId="0BD90617" w14:textId="3BD4AEAF" w:rsidR="003324A3" w:rsidRPr="00387024" w:rsidRDefault="003324A3" w:rsidP="00F06070">
      <w:r w:rsidRPr="00387024">
        <w:t>There is no one-size-fits-all procurement plan</w:t>
      </w:r>
      <w:r w:rsidR="00FA4C66">
        <w:t xml:space="preserve"> –</w:t>
      </w:r>
      <w:r w:rsidRPr="00387024">
        <w:t xml:space="preserve"> </w:t>
      </w:r>
      <w:r w:rsidR="00FA4C66">
        <w:t xml:space="preserve">its </w:t>
      </w:r>
      <w:r w:rsidRPr="00387024">
        <w:t>content will be project</w:t>
      </w:r>
      <w:r w:rsidR="006E3A96">
        <w:rPr>
          <w:rFonts w:hint="eastAsia"/>
        </w:rPr>
        <w:t xml:space="preserve"> </w:t>
      </w:r>
      <w:r w:rsidRPr="00387024">
        <w:t>dependent. This appendix outlines some suggested content elements</w:t>
      </w:r>
      <w:r>
        <w:t>;</w:t>
      </w:r>
      <w:r w:rsidRPr="00387024">
        <w:t xml:space="preserve"> however</w:t>
      </w:r>
      <w:r>
        <w:t>,</w:t>
      </w:r>
      <w:r w:rsidRPr="00387024">
        <w:t xml:space="preserve"> it is indicative only and is not exhaustive. It should not be viewed as a template.</w:t>
      </w:r>
    </w:p>
    <w:p w14:paraId="544C8AB9" w14:textId="6A241F7B" w:rsidR="00F25D81" w:rsidRDefault="00A23826" w:rsidP="00F25D81">
      <w:pPr>
        <w:pStyle w:val="Caption"/>
      </w:pPr>
      <w:bookmarkStart w:id="517" w:name="_Toc145621366"/>
      <w:bookmarkStart w:id="518" w:name="_Toc146097260"/>
      <w:r>
        <w:t xml:space="preserve">Table </w:t>
      </w:r>
      <w:r w:rsidR="00F25D81">
        <w:fldChar w:fldCharType="begin"/>
      </w:r>
      <w:r w:rsidR="00F25D81">
        <w:instrText>SEQ Table \* ARABIC</w:instrText>
      </w:r>
      <w:r w:rsidR="00F25D81">
        <w:fldChar w:fldCharType="separate"/>
      </w:r>
      <w:r w:rsidR="008A4B3E">
        <w:rPr>
          <w:noProof/>
        </w:rPr>
        <w:t>18</w:t>
      </w:r>
      <w:r w:rsidR="00F25D81">
        <w:fldChar w:fldCharType="end"/>
      </w:r>
      <w:r w:rsidR="00E958D5">
        <w:t xml:space="preserve"> –</w:t>
      </w:r>
      <w:r w:rsidR="00F25D81" w:rsidRPr="00A45884">
        <w:t xml:space="preserve"> Common elements of the procurement plan</w:t>
      </w:r>
      <w:bookmarkEnd w:id="517"/>
      <w:bookmarkEnd w:id="518"/>
    </w:p>
    <w:tbl>
      <w:tblPr>
        <w:tblStyle w:val="DTFtexttable"/>
        <w:tblW w:w="9090" w:type="dxa"/>
        <w:tblLook w:val="06A0" w:firstRow="1" w:lastRow="0" w:firstColumn="1" w:lastColumn="0" w:noHBand="1" w:noVBand="1"/>
      </w:tblPr>
      <w:tblGrid>
        <w:gridCol w:w="2656"/>
        <w:gridCol w:w="6434"/>
      </w:tblGrid>
      <w:tr w:rsidR="00CB7F52" w:rsidRPr="00387024" w14:paraId="00E21897" w14:textId="77777777" w:rsidTr="76AB2BE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56" w:type="dxa"/>
          </w:tcPr>
          <w:p w14:paraId="5675C2E3" w14:textId="77777777" w:rsidR="00CB7F52" w:rsidRPr="00387024" w:rsidRDefault="00CB7F52" w:rsidP="00F7602B">
            <w:pPr>
              <w:pStyle w:val="Tableheader"/>
            </w:pPr>
            <w:r w:rsidRPr="00387024">
              <w:t>Content element</w:t>
            </w:r>
          </w:p>
        </w:tc>
        <w:tc>
          <w:tcPr>
            <w:tcW w:w="6434" w:type="dxa"/>
          </w:tcPr>
          <w:p w14:paraId="7EC25920" w14:textId="77777777" w:rsidR="00CB7F52" w:rsidRPr="00387024" w:rsidRDefault="00CB7F52" w:rsidP="00F7602B">
            <w:pPr>
              <w:pStyle w:val="Tableheader"/>
              <w:cnfStyle w:val="100000000000" w:firstRow="1" w:lastRow="0" w:firstColumn="0" w:lastColumn="0" w:oddVBand="0" w:evenVBand="0" w:oddHBand="0" w:evenHBand="0" w:firstRowFirstColumn="0" w:firstRowLastColumn="0" w:lastRowFirstColumn="0" w:lastRowLastColumn="0"/>
            </w:pPr>
            <w:r w:rsidRPr="00387024">
              <w:t>Description</w:t>
            </w:r>
          </w:p>
        </w:tc>
      </w:tr>
      <w:tr w:rsidR="00CB7F52" w:rsidRPr="00387024" w14:paraId="6490D979" w14:textId="77777777" w:rsidTr="76AB2BEA">
        <w:tc>
          <w:tcPr>
            <w:cnfStyle w:val="001000000000" w:firstRow="0" w:lastRow="0" w:firstColumn="1" w:lastColumn="0" w:oddVBand="0" w:evenVBand="0" w:oddHBand="0" w:evenHBand="0" w:firstRowFirstColumn="0" w:firstRowLastColumn="0" w:lastRowFirstColumn="0" w:lastRowLastColumn="0"/>
            <w:tcW w:w="2656" w:type="dxa"/>
          </w:tcPr>
          <w:p w14:paraId="7CD604FC" w14:textId="776762D6" w:rsidR="00CB7F52" w:rsidRPr="00C97A0B" w:rsidRDefault="00CB7F52" w:rsidP="00F25D81">
            <w:pPr>
              <w:pStyle w:val="Tabletext"/>
              <w:rPr>
                <w:rFonts w:asciiTheme="majorHAnsi" w:hAnsiTheme="majorHAnsi"/>
              </w:rPr>
            </w:pPr>
            <w:r w:rsidRPr="00C97A0B">
              <w:rPr>
                <w:rFonts w:asciiTheme="majorHAnsi" w:hAnsiTheme="majorHAnsi"/>
              </w:rPr>
              <w:t>Confirm preferred procurement method</w:t>
            </w:r>
          </w:p>
        </w:tc>
        <w:tc>
          <w:tcPr>
            <w:tcW w:w="6434" w:type="dxa"/>
          </w:tcPr>
          <w:p w14:paraId="398A373A" w14:textId="22984E41" w:rsidR="00CB7F52" w:rsidRPr="00387024" w:rsidRDefault="00CB7F52" w:rsidP="00F25D81">
            <w:pPr>
              <w:pStyle w:val="Tabletext"/>
              <w:cnfStyle w:val="000000000000" w:firstRow="0" w:lastRow="0" w:firstColumn="0" w:lastColumn="0" w:oddVBand="0" w:evenVBand="0" w:oddHBand="0" w:evenHBand="0" w:firstRowFirstColumn="0" w:firstRowLastColumn="0" w:lastRowFirstColumn="0" w:lastRowLastColumn="0"/>
            </w:pPr>
            <w:r w:rsidRPr="00387024">
              <w:t xml:space="preserve">Outline the preferred procurement methodology identified in the </w:t>
            </w:r>
            <w:r>
              <w:t>p</w:t>
            </w:r>
            <w:r w:rsidRPr="00387024">
              <w:t xml:space="preserve">rocurement </w:t>
            </w:r>
            <w:r>
              <w:t>s</w:t>
            </w:r>
            <w:r w:rsidRPr="00387024">
              <w:t>trategy</w:t>
            </w:r>
            <w:r w:rsidR="69B3CDA1">
              <w:t>.</w:t>
            </w:r>
          </w:p>
          <w:p w14:paraId="06757EDF" w14:textId="2BB96051" w:rsidR="00CB7F52" w:rsidRPr="00387024" w:rsidRDefault="00CB7F52" w:rsidP="00F25D81">
            <w:pPr>
              <w:pStyle w:val="Tabletext"/>
              <w:cnfStyle w:val="000000000000" w:firstRow="0" w:lastRow="0" w:firstColumn="0" w:lastColumn="0" w:oddVBand="0" w:evenVBand="0" w:oddHBand="0" w:evenHBand="0" w:firstRowFirstColumn="0" w:firstRowLastColumn="0" w:lastRowFirstColumn="0" w:lastRowLastColumn="0"/>
            </w:pPr>
            <w:r w:rsidRPr="00387024">
              <w:t xml:space="preserve">Procurement teams should confirm whether they agree with the preferred approach. If not, </w:t>
            </w:r>
            <w:r w:rsidR="00FA4C66">
              <w:t xml:space="preserve">they should </w:t>
            </w:r>
            <w:r w:rsidRPr="00387024">
              <w:t xml:space="preserve">provide justification for the proposed alternative. </w:t>
            </w:r>
          </w:p>
        </w:tc>
      </w:tr>
      <w:tr w:rsidR="2DA1C254" w14:paraId="3AC28CA5" w14:textId="77777777" w:rsidTr="76AB2BEA">
        <w:trPr>
          <w:trHeight w:val="300"/>
        </w:trPr>
        <w:tc>
          <w:tcPr>
            <w:cnfStyle w:val="001000000000" w:firstRow="0" w:lastRow="0" w:firstColumn="1" w:lastColumn="0" w:oddVBand="0" w:evenVBand="0" w:oddHBand="0" w:evenHBand="0" w:firstRowFirstColumn="0" w:firstRowLastColumn="0" w:lastRowFirstColumn="0" w:lastRowLastColumn="0"/>
            <w:tcW w:w="2656" w:type="dxa"/>
          </w:tcPr>
          <w:p w14:paraId="565C1C1F" w14:textId="52213551" w:rsidR="2DA1C254" w:rsidRDefault="2DA1C254" w:rsidP="2DA1C254">
            <w:pPr>
              <w:pStyle w:val="Tabletext"/>
              <w:rPr>
                <w:rFonts w:asciiTheme="majorHAnsi" w:hAnsiTheme="majorHAnsi"/>
              </w:rPr>
            </w:pPr>
            <w:r w:rsidRPr="2DA1C254">
              <w:rPr>
                <w:rFonts w:asciiTheme="majorHAnsi" w:hAnsiTheme="majorHAnsi"/>
              </w:rPr>
              <w:t>Summarise project</w:t>
            </w:r>
            <w:r w:rsidR="00FA4C66">
              <w:rPr>
                <w:rFonts w:asciiTheme="majorHAnsi" w:hAnsiTheme="majorHAnsi"/>
              </w:rPr>
              <w:t xml:space="preserve"> and its</w:t>
            </w:r>
            <w:r w:rsidR="27E307B1" w:rsidRPr="342C477B">
              <w:rPr>
                <w:rFonts w:asciiTheme="majorHAnsi" w:hAnsiTheme="majorHAnsi"/>
              </w:rPr>
              <w:t xml:space="preserve"> </w:t>
            </w:r>
            <w:r w:rsidRPr="2DA1C254">
              <w:rPr>
                <w:rFonts w:asciiTheme="majorHAnsi" w:hAnsiTheme="majorHAnsi"/>
              </w:rPr>
              <w:t xml:space="preserve">objectives </w:t>
            </w:r>
            <w:r w:rsidRPr="342C477B">
              <w:rPr>
                <w:rFonts w:asciiTheme="majorHAnsi" w:hAnsiTheme="majorHAnsi"/>
              </w:rPr>
              <w:t xml:space="preserve">and </w:t>
            </w:r>
            <w:r w:rsidR="08A8BF9B" w:rsidRPr="342C477B">
              <w:rPr>
                <w:rFonts w:asciiTheme="majorHAnsi" w:hAnsiTheme="majorHAnsi"/>
              </w:rPr>
              <w:t>timelines</w:t>
            </w:r>
            <w:r w:rsidRPr="342C477B">
              <w:rPr>
                <w:rFonts w:asciiTheme="majorHAnsi" w:hAnsiTheme="majorHAnsi"/>
              </w:rPr>
              <w:t xml:space="preserve"> </w:t>
            </w:r>
          </w:p>
        </w:tc>
        <w:tc>
          <w:tcPr>
            <w:tcW w:w="6434" w:type="dxa"/>
          </w:tcPr>
          <w:p w14:paraId="6287A729" w14:textId="098FC9F8" w:rsidR="2DA1C254" w:rsidRDefault="2DA1C254" w:rsidP="2DA1C254">
            <w:pPr>
              <w:pStyle w:val="Tabletext"/>
              <w:cnfStyle w:val="000000000000" w:firstRow="0" w:lastRow="0" w:firstColumn="0" w:lastColumn="0" w:oddVBand="0" w:evenVBand="0" w:oddHBand="0" w:evenHBand="0" w:firstRowFirstColumn="0" w:firstRowLastColumn="0" w:lastRowFirstColumn="0" w:lastRowLastColumn="0"/>
            </w:pPr>
            <w:r>
              <w:t xml:space="preserve">Provide an overview of the project and </w:t>
            </w:r>
            <w:r w:rsidR="00FA4C66">
              <w:t xml:space="preserve">its </w:t>
            </w:r>
            <w:r>
              <w:t>objectives, as detailed in the business case or form of project approval</w:t>
            </w:r>
            <w:r w:rsidR="005548F2">
              <w:t>.</w:t>
            </w:r>
          </w:p>
          <w:p w14:paraId="64E5E2FE" w14:textId="04B716FE" w:rsidR="2DA1C254" w:rsidRDefault="2DA1C254" w:rsidP="2DA1C254">
            <w:pPr>
              <w:pStyle w:val="Tabletext"/>
              <w:cnfStyle w:val="000000000000" w:firstRow="0" w:lastRow="0" w:firstColumn="0" w:lastColumn="0" w:oddVBand="0" w:evenVBand="0" w:oddHBand="0" w:evenHBand="0" w:firstRowFirstColumn="0" w:firstRowLastColumn="0" w:lastRowFirstColumn="0" w:lastRowLastColumn="0"/>
            </w:pPr>
            <w:r>
              <w:t>Identify key project milestones and timelines.</w:t>
            </w:r>
          </w:p>
        </w:tc>
      </w:tr>
      <w:tr w:rsidR="00CB7F52" w:rsidRPr="00387024" w14:paraId="5688DD7B" w14:textId="77777777" w:rsidTr="76AB2BEA">
        <w:tc>
          <w:tcPr>
            <w:cnfStyle w:val="001000000000" w:firstRow="0" w:lastRow="0" w:firstColumn="1" w:lastColumn="0" w:oddVBand="0" w:evenVBand="0" w:oddHBand="0" w:evenHBand="0" w:firstRowFirstColumn="0" w:firstRowLastColumn="0" w:lastRowFirstColumn="0" w:lastRowLastColumn="0"/>
            <w:tcW w:w="2656" w:type="dxa"/>
          </w:tcPr>
          <w:p w14:paraId="23F3D418" w14:textId="05662AB2" w:rsidR="00CB7F52" w:rsidRPr="00C97A0B" w:rsidRDefault="00CB7F52" w:rsidP="00F25D81">
            <w:pPr>
              <w:pStyle w:val="Tabletext"/>
              <w:rPr>
                <w:rFonts w:asciiTheme="majorHAnsi" w:hAnsiTheme="majorHAnsi"/>
              </w:rPr>
            </w:pPr>
            <w:r w:rsidRPr="00C97A0B">
              <w:rPr>
                <w:rFonts w:asciiTheme="majorHAnsi" w:hAnsiTheme="majorHAnsi"/>
              </w:rPr>
              <w:t xml:space="preserve">Confirm </w:t>
            </w:r>
            <w:r w:rsidR="5D06EA64" w:rsidRPr="2DA1C254">
              <w:rPr>
                <w:rFonts w:asciiTheme="majorHAnsi" w:hAnsiTheme="majorHAnsi"/>
              </w:rPr>
              <w:t xml:space="preserve">procurement budget, </w:t>
            </w:r>
            <w:r w:rsidRPr="00C97A0B">
              <w:rPr>
                <w:rFonts w:asciiTheme="majorHAnsi" w:hAnsiTheme="majorHAnsi"/>
              </w:rPr>
              <w:t>funding</w:t>
            </w:r>
            <w:r w:rsidR="001B64FC">
              <w:rPr>
                <w:rFonts w:asciiTheme="majorHAnsi" w:hAnsiTheme="majorHAnsi"/>
              </w:rPr>
              <w:t xml:space="preserve"> </w:t>
            </w:r>
            <w:r w:rsidRPr="00C97A0B">
              <w:rPr>
                <w:rFonts w:asciiTheme="majorHAnsi" w:hAnsiTheme="majorHAnsi"/>
              </w:rPr>
              <w:t>and approvals</w:t>
            </w:r>
          </w:p>
        </w:tc>
        <w:tc>
          <w:tcPr>
            <w:tcW w:w="6434" w:type="dxa"/>
          </w:tcPr>
          <w:p w14:paraId="5C1C6E17" w14:textId="77777777" w:rsidR="00CB7F52" w:rsidRPr="00387024" w:rsidRDefault="00CB7F52" w:rsidP="00F25D81">
            <w:pPr>
              <w:pStyle w:val="Tabletext"/>
              <w:cnfStyle w:val="000000000000" w:firstRow="0" w:lastRow="0" w:firstColumn="0" w:lastColumn="0" w:oddVBand="0" w:evenVBand="0" w:oddHBand="0" w:evenHBand="0" w:firstRowFirstColumn="0" w:firstRowLastColumn="0" w:lastRowFirstColumn="0" w:lastRowLastColumn="0"/>
            </w:pPr>
            <w:r w:rsidRPr="00387024">
              <w:t>Confirm the project funding.</w:t>
            </w:r>
          </w:p>
          <w:p w14:paraId="49B84C3C" w14:textId="77777777" w:rsidR="00CB7F52" w:rsidRPr="00387024" w:rsidRDefault="00CB7F52" w:rsidP="00F25D81">
            <w:pPr>
              <w:pStyle w:val="Tabletext"/>
              <w:cnfStyle w:val="000000000000" w:firstRow="0" w:lastRow="0" w:firstColumn="0" w:lastColumn="0" w:oddVBand="0" w:evenVBand="0" w:oddHBand="0" w:evenHBand="0" w:firstRowFirstColumn="0" w:firstRowLastColumn="0" w:lastRowFirstColumn="0" w:lastRowLastColumn="0"/>
            </w:pPr>
            <w:r w:rsidRPr="00387024">
              <w:t>Confirm financial and ministerial approvals for the project.</w:t>
            </w:r>
          </w:p>
          <w:p w14:paraId="3E517882" w14:textId="761F587E" w:rsidR="00CB7F52" w:rsidRPr="00387024" w:rsidRDefault="159129FA" w:rsidP="00F25D81">
            <w:pPr>
              <w:pStyle w:val="Tabletext"/>
              <w:cnfStyle w:val="000000000000" w:firstRow="0" w:lastRow="0" w:firstColumn="0" w:lastColumn="0" w:oddVBand="0" w:evenVBand="0" w:oddHBand="0" w:evenHBand="0" w:firstRowFirstColumn="0" w:firstRowLastColumn="0" w:lastRowFirstColumn="0" w:lastRowLastColumn="0"/>
            </w:pPr>
            <w:r>
              <w:t>Develop a budget for the procurement stage of the project. This should include all advisers and due diligence for the duration of the procurement. This may be a subset of the project budget for project delivery.</w:t>
            </w:r>
            <w:r w:rsidR="001B64FC">
              <w:t xml:space="preserve"> </w:t>
            </w:r>
            <w:r w:rsidR="00FA4C66">
              <w:t>The plan should d</w:t>
            </w:r>
            <w:r w:rsidR="00FA4C66" w:rsidRPr="00387024">
              <w:t xml:space="preserve">emonstrate </w:t>
            </w:r>
            <w:r w:rsidR="00CB7F52" w:rsidRPr="00387024">
              <w:t>that financial controls are in place for the procurement.</w:t>
            </w:r>
          </w:p>
        </w:tc>
      </w:tr>
      <w:tr w:rsidR="246ABF3F" w14:paraId="02768A7A" w14:textId="77777777" w:rsidTr="00DF07F8">
        <w:trPr>
          <w:trHeight w:val="300"/>
        </w:trPr>
        <w:tc>
          <w:tcPr>
            <w:cnfStyle w:val="001000000000" w:firstRow="0" w:lastRow="0" w:firstColumn="1" w:lastColumn="0" w:oddVBand="0" w:evenVBand="0" w:oddHBand="0" w:evenHBand="0" w:firstRowFirstColumn="0" w:firstRowLastColumn="0" w:lastRowFirstColumn="0" w:lastRowLastColumn="0"/>
            <w:tcW w:w="0" w:type="dxa"/>
          </w:tcPr>
          <w:p w14:paraId="1D479172" w14:textId="40592D37" w:rsidR="5CD6C1B4" w:rsidRDefault="5CD6C1B4">
            <w:pPr>
              <w:pStyle w:val="Tabletext"/>
              <w:rPr>
                <w:rFonts w:asciiTheme="majorHAnsi" w:hAnsiTheme="majorHAnsi"/>
              </w:rPr>
            </w:pPr>
            <w:r w:rsidRPr="6689E6A3">
              <w:rPr>
                <w:rFonts w:asciiTheme="majorHAnsi" w:hAnsiTheme="majorHAnsi"/>
              </w:rPr>
              <w:t xml:space="preserve">Summarise governance and resourcing arrangements </w:t>
            </w:r>
          </w:p>
        </w:tc>
        <w:tc>
          <w:tcPr>
            <w:tcW w:w="0" w:type="dxa"/>
          </w:tcPr>
          <w:p w14:paraId="550C9D9B" w14:textId="6D5E0277" w:rsidR="5CD6C1B4" w:rsidRDefault="5CD6C1B4" w:rsidP="5CD6C1B4">
            <w:pPr>
              <w:pStyle w:val="Tabletext"/>
              <w:cnfStyle w:val="000000000000" w:firstRow="0" w:lastRow="0" w:firstColumn="0" w:lastColumn="0" w:oddVBand="0" w:evenVBand="0" w:oddHBand="0" w:evenHBand="0" w:firstRowFirstColumn="0" w:firstRowLastColumn="0" w:lastRowFirstColumn="0" w:lastRowLastColumn="0"/>
            </w:pPr>
            <w:r>
              <w:t xml:space="preserve">See </w:t>
            </w:r>
            <w:r w:rsidR="003E7751">
              <w:t xml:space="preserve">Section </w:t>
            </w:r>
            <w:r w:rsidR="006947D7">
              <w:fldChar w:fldCharType="begin" w:fldLock="1"/>
            </w:r>
            <w:r w:rsidR="006947D7">
              <w:instrText xml:space="preserve"> REF _Ref144390802 \r \h </w:instrText>
            </w:r>
            <w:r w:rsidR="00FA72F1">
              <w:instrText xml:space="preserve"> \* MERGEFORMAT </w:instrText>
            </w:r>
            <w:r w:rsidR="006947D7">
              <w:fldChar w:fldCharType="separate"/>
            </w:r>
            <w:r w:rsidR="003D4A19">
              <w:t>5.1</w:t>
            </w:r>
            <w:r w:rsidR="006947D7">
              <w:fldChar w:fldCharType="end"/>
            </w:r>
            <w:r>
              <w:t xml:space="preserve"> </w:t>
            </w:r>
            <w:r w:rsidR="00234C2A">
              <w:t>of th</w:t>
            </w:r>
            <w:r w:rsidR="00FA4C66">
              <w:t>ese</w:t>
            </w:r>
            <w:r w:rsidR="00234C2A">
              <w:t xml:space="preserve"> guide</w:t>
            </w:r>
            <w:r w:rsidR="00FA4C66">
              <w:t>lines</w:t>
            </w:r>
            <w:r>
              <w:t>.</w:t>
            </w:r>
          </w:p>
          <w:p w14:paraId="7AC34289" w14:textId="22E412AF" w:rsidR="5CD6C1B4" w:rsidRDefault="5CD6C1B4" w:rsidP="5CD6C1B4">
            <w:pPr>
              <w:pStyle w:val="Tabletext"/>
              <w:cnfStyle w:val="000000000000" w:firstRow="0" w:lastRow="0" w:firstColumn="0" w:lastColumn="0" w:oddVBand="0" w:evenVBand="0" w:oddHBand="0" w:evenHBand="0" w:firstRowFirstColumn="0" w:firstRowLastColumn="0" w:lastRowFirstColumn="0" w:lastRowLastColumn="0"/>
            </w:pPr>
            <w:r>
              <w:t>Identify the resourcing structure for the procurement stage of the project (noting this may have changed significantly from the business case stage).</w:t>
            </w:r>
          </w:p>
          <w:p w14:paraId="60994324" w14:textId="351D2537" w:rsidR="5CD6C1B4" w:rsidRDefault="5CD6C1B4" w:rsidP="5CD6C1B4">
            <w:pPr>
              <w:pStyle w:val="Tabletext"/>
              <w:cnfStyle w:val="000000000000" w:firstRow="0" w:lastRow="0" w:firstColumn="0" w:lastColumn="0" w:oddVBand="0" w:evenVBand="0" w:oddHBand="0" w:evenHBand="0" w:firstRowFirstColumn="0" w:firstRowLastColumn="0" w:lastRowFirstColumn="0" w:lastRowLastColumn="0"/>
            </w:pPr>
            <w:r>
              <w:t>Identify the advisory services required for the duration of the procurement.</w:t>
            </w:r>
          </w:p>
          <w:p w14:paraId="714BC079" w14:textId="51C264CF" w:rsidR="5CD6C1B4" w:rsidRDefault="5CD6C1B4" w:rsidP="00FA4C66">
            <w:pPr>
              <w:pStyle w:val="Tabletext"/>
              <w:cnfStyle w:val="000000000000" w:firstRow="0" w:lastRow="0" w:firstColumn="0" w:lastColumn="0" w:oddVBand="0" w:evenVBand="0" w:oddHBand="0" w:evenHBand="0" w:firstRowFirstColumn="0" w:firstRowLastColumn="0" w:lastRowFirstColumn="0" w:lastRowLastColumn="0"/>
            </w:pPr>
            <w:r>
              <w:t xml:space="preserve">Confirm project governance and approval </w:t>
            </w:r>
            <w:r w:rsidR="7A79B9F0">
              <w:t>processes</w:t>
            </w:r>
            <w:r w:rsidR="00FA4C66">
              <w:t>, and c</w:t>
            </w:r>
            <w:r w:rsidR="363F8FA5">
              <w:t>onsider</w:t>
            </w:r>
            <w:r w:rsidR="00405508">
              <w:t xml:space="preserve"> documenting</w:t>
            </w:r>
            <w:r w:rsidR="00FA4C66">
              <w:t xml:space="preserve"> these</w:t>
            </w:r>
            <w:r w:rsidR="0F627ED4">
              <w:t xml:space="preserve"> in </w:t>
            </w:r>
            <w:r w:rsidR="6BF082B5">
              <w:t xml:space="preserve">a </w:t>
            </w:r>
            <w:r w:rsidR="0F627ED4">
              <w:t>separate governance plan</w:t>
            </w:r>
            <w:r w:rsidR="00405508">
              <w:t>.</w:t>
            </w:r>
          </w:p>
        </w:tc>
      </w:tr>
      <w:tr w:rsidR="6689E6A3" w14:paraId="2845B22D" w14:textId="77777777" w:rsidTr="76AB2BEA">
        <w:trPr>
          <w:trHeight w:val="300"/>
        </w:trPr>
        <w:tc>
          <w:tcPr>
            <w:cnfStyle w:val="001000000000" w:firstRow="0" w:lastRow="0" w:firstColumn="1" w:lastColumn="0" w:oddVBand="0" w:evenVBand="0" w:oddHBand="0" w:evenHBand="0" w:firstRowFirstColumn="0" w:firstRowLastColumn="0" w:lastRowFirstColumn="0" w:lastRowLastColumn="0"/>
            <w:tcW w:w="2656" w:type="dxa"/>
          </w:tcPr>
          <w:p w14:paraId="0E0FC5CD" w14:textId="2054B23E" w:rsidR="21FCCE08" w:rsidRDefault="21FCCE08" w:rsidP="001B64FC">
            <w:pPr>
              <w:pStyle w:val="Tabletext"/>
              <w:rPr>
                <w:rFonts w:asciiTheme="majorHAnsi" w:hAnsiTheme="majorHAnsi"/>
              </w:rPr>
            </w:pPr>
            <w:r w:rsidRPr="6689E6A3">
              <w:rPr>
                <w:rFonts w:asciiTheme="majorHAnsi" w:hAnsiTheme="majorHAnsi"/>
              </w:rPr>
              <w:t>Confirm tender engagement strategy</w:t>
            </w:r>
          </w:p>
        </w:tc>
        <w:tc>
          <w:tcPr>
            <w:tcW w:w="6434" w:type="dxa"/>
          </w:tcPr>
          <w:p w14:paraId="490C4E43" w14:textId="50B6B6FB" w:rsidR="21FCCE08" w:rsidRPr="004840CD" w:rsidRDefault="049A23DF" w:rsidP="2DA1C254">
            <w:pPr>
              <w:pStyle w:val="Tabletext"/>
              <w:cnfStyle w:val="000000000000" w:firstRow="0" w:lastRow="0" w:firstColumn="0" w:lastColumn="0" w:oddVBand="0" w:evenVBand="0" w:oddHBand="0" w:evenHBand="0" w:firstRowFirstColumn="0" w:firstRowLastColumn="0" w:lastRowFirstColumn="0" w:lastRowLastColumn="0"/>
            </w:pPr>
            <w:r>
              <w:t xml:space="preserve">See </w:t>
            </w:r>
            <w:bookmarkStart w:id="519" w:name="_Hlt145507689"/>
            <w:r w:rsidR="003E7751">
              <w:t xml:space="preserve">Section </w:t>
            </w:r>
            <w:r w:rsidR="006A5300">
              <w:fldChar w:fldCharType="begin" w:fldLock="1"/>
            </w:r>
            <w:r w:rsidR="006A5300">
              <w:instrText xml:space="preserve"> REF _Ref144390615 \r \h </w:instrText>
            </w:r>
            <w:r w:rsidR="008C3E66">
              <w:instrText xml:space="preserve"> \* MERGEFORMAT </w:instrText>
            </w:r>
            <w:r w:rsidR="006A5300">
              <w:fldChar w:fldCharType="separate"/>
            </w:r>
            <w:r w:rsidR="003D4A19">
              <w:t>5.6</w:t>
            </w:r>
            <w:r w:rsidR="006A5300">
              <w:fldChar w:fldCharType="end"/>
            </w:r>
            <w:bookmarkEnd w:id="519"/>
            <w:r>
              <w:t xml:space="preserve"> </w:t>
            </w:r>
            <w:r w:rsidR="00FA4C66">
              <w:t>of these guidelines</w:t>
            </w:r>
            <w:r>
              <w:t>.</w:t>
            </w:r>
          </w:p>
          <w:p w14:paraId="2178FF64" w14:textId="6F128555" w:rsidR="1D6C10E5" w:rsidRPr="00E72881" w:rsidRDefault="2976E15F" w:rsidP="008C3E66">
            <w:pPr>
              <w:pStyle w:val="Tabletext"/>
              <w:cnfStyle w:val="000000000000" w:firstRow="0" w:lastRow="0" w:firstColumn="0" w:lastColumn="0" w:oddVBand="0" w:evenVBand="0" w:oddHBand="0" w:evenHBand="0" w:firstRowFirstColumn="0" w:firstRowLastColumn="0" w:lastRowFirstColumn="0" w:lastRowLastColumn="0"/>
            </w:pPr>
            <w:r w:rsidRPr="00E614A1">
              <w:t xml:space="preserve">Confirm </w:t>
            </w:r>
            <w:r w:rsidR="6090F39B" w:rsidRPr="00E614A1">
              <w:t>how the agency intends to offer the procurement opportunity to the market, including the type and form of tendering, and whether to use single-stage or multi</w:t>
            </w:r>
            <w:r w:rsidR="007334C6">
              <w:t>stage</w:t>
            </w:r>
            <w:r w:rsidR="6090F39B" w:rsidRPr="00E614A1">
              <w:t xml:space="preserve"> tender approaches.</w:t>
            </w:r>
          </w:p>
          <w:p w14:paraId="679519D0" w14:textId="37110B47" w:rsidR="24617186" w:rsidRPr="001B64FC" w:rsidRDefault="3E25F822" w:rsidP="008C3E66">
            <w:pPr>
              <w:pStyle w:val="Tabletext"/>
              <w:cnfStyle w:val="000000000000" w:firstRow="0" w:lastRow="0" w:firstColumn="0" w:lastColumn="0" w:oddVBand="0" w:evenVBand="0" w:oddHBand="0" w:evenHBand="0" w:firstRowFirstColumn="0" w:firstRowLastColumn="0" w:lastRowFirstColumn="0" w:lastRowLastColumn="0"/>
            </w:pPr>
            <w:r w:rsidRPr="00E614A1">
              <w:t>Decide on the level of price and proposal development required by tenderers at each stage of the procurement.</w:t>
            </w:r>
          </w:p>
          <w:p w14:paraId="3CC353CB" w14:textId="3483308B" w:rsidR="6689E6A3" w:rsidRDefault="5DB23CE3" w:rsidP="008C3E66">
            <w:pPr>
              <w:pStyle w:val="Tabletext"/>
              <w:cnfStyle w:val="000000000000" w:firstRow="0" w:lastRow="0" w:firstColumn="0" w:lastColumn="0" w:oddVBand="0" w:evenVBand="0" w:oddHBand="0" w:evenHBand="0" w:firstRowFirstColumn="0" w:firstRowLastColumn="0" w:lastRowFirstColumn="0" w:lastRowLastColumn="0"/>
            </w:pPr>
            <w:r w:rsidRPr="00E614A1">
              <w:t>Deta</w:t>
            </w:r>
            <w:r w:rsidRPr="5290061F">
              <w:t xml:space="preserve">il </w:t>
            </w:r>
            <w:r w:rsidR="00405508" w:rsidRPr="5290061F">
              <w:t xml:space="preserve">the </w:t>
            </w:r>
            <w:r w:rsidRPr="5290061F">
              <w:t xml:space="preserve">engagement schedule for </w:t>
            </w:r>
            <w:r w:rsidR="00405508" w:rsidRPr="5290061F">
              <w:t xml:space="preserve">the </w:t>
            </w:r>
            <w:r w:rsidRPr="5290061F">
              <w:t>proc</w:t>
            </w:r>
            <w:r w:rsidRPr="00E614A1">
              <w:t>urement.</w:t>
            </w:r>
          </w:p>
        </w:tc>
      </w:tr>
      <w:tr w:rsidR="00CB7F52" w:rsidRPr="00387024" w14:paraId="7C89D717" w14:textId="77777777" w:rsidTr="00DF07F8">
        <w:tc>
          <w:tcPr>
            <w:cnfStyle w:val="001000000000" w:firstRow="0" w:lastRow="0" w:firstColumn="1" w:lastColumn="0" w:oddVBand="0" w:evenVBand="0" w:oddHBand="0" w:evenHBand="0" w:firstRowFirstColumn="0" w:firstRowLastColumn="0" w:lastRowFirstColumn="0" w:lastRowLastColumn="0"/>
            <w:tcW w:w="0" w:type="dxa"/>
          </w:tcPr>
          <w:p w14:paraId="5BA591BF" w14:textId="2E2AB38D" w:rsidR="00CB7F52" w:rsidRPr="00C97A0B" w:rsidRDefault="379DA94C" w:rsidP="00F25D81">
            <w:pPr>
              <w:pStyle w:val="Tabletext"/>
              <w:rPr>
                <w:rFonts w:asciiTheme="majorHAnsi" w:hAnsiTheme="majorHAnsi"/>
              </w:rPr>
            </w:pPr>
            <w:r w:rsidRPr="342C477B">
              <w:rPr>
                <w:rFonts w:asciiTheme="majorHAnsi" w:hAnsiTheme="majorHAnsi"/>
              </w:rPr>
              <w:t>Confirm risk management processes</w:t>
            </w:r>
          </w:p>
        </w:tc>
        <w:tc>
          <w:tcPr>
            <w:tcW w:w="0" w:type="dxa"/>
          </w:tcPr>
          <w:p w14:paraId="79D532F6" w14:textId="32BDCD67" w:rsidR="00CB7F52" w:rsidRPr="00387024" w:rsidRDefault="00CB7F52" w:rsidP="00F25D81">
            <w:pPr>
              <w:pStyle w:val="Tabletext"/>
              <w:cnfStyle w:val="000000000000" w:firstRow="0" w:lastRow="0" w:firstColumn="0" w:lastColumn="0" w:oddVBand="0" w:evenVBand="0" w:oddHBand="0" w:evenHBand="0" w:firstRowFirstColumn="0" w:firstRowLastColumn="0" w:lastRowFirstColumn="0" w:lastRowLastColumn="0"/>
            </w:pPr>
            <w:r w:rsidRPr="00387024">
              <w:t xml:space="preserve">See </w:t>
            </w:r>
            <w:bookmarkStart w:id="520" w:name="_Hlt145507736"/>
            <w:bookmarkStart w:id="521" w:name="_Hlt145507760"/>
            <w:r w:rsidR="003E7751">
              <w:t>S</w:t>
            </w:r>
            <w:r w:rsidR="003E7751" w:rsidRPr="00387024">
              <w:t xml:space="preserve">ection </w:t>
            </w:r>
            <w:r w:rsidR="00D74081">
              <w:fldChar w:fldCharType="begin" w:fldLock="1"/>
            </w:r>
            <w:r w:rsidR="00D74081">
              <w:instrText xml:space="preserve"> REF _Ref144283717 \r \h </w:instrText>
            </w:r>
            <w:r w:rsidR="008C3E66">
              <w:instrText xml:space="preserve"> \* MERGEFORMAT </w:instrText>
            </w:r>
            <w:r w:rsidR="00D74081">
              <w:fldChar w:fldCharType="separate"/>
            </w:r>
            <w:r w:rsidR="003D4A19">
              <w:t>5.3</w:t>
            </w:r>
            <w:r w:rsidR="00D74081">
              <w:fldChar w:fldCharType="end"/>
            </w:r>
            <w:bookmarkEnd w:id="520"/>
            <w:bookmarkEnd w:id="521"/>
            <w:r w:rsidRPr="00387024">
              <w:t xml:space="preserve"> </w:t>
            </w:r>
            <w:r w:rsidR="00FA4C66">
              <w:t>of these guidelines</w:t>
            </w:r>
            <w:r w:rsidRPr="00387024">
              <w:t>.</w:t>
            </w:r>
          </w:p>
          <w:p w14:paraId="17A30263" w14:textId="338B823E" w:rsidR="00CB7F52" w:rsidRPr="00387024" w:rsidRDefault="00CB7F52" w:rsidP="00F25D81">
            <w:pPr>
              <w:pStyle w:val="Tabletext"/>
              <w:cnfStyle w:val="000000000000" w:firstRow="0" w:lastRow="0" w:firstColumn="0" w:lastColumn="0" w:oddVBand="0" w:evenVBand="0" w:oddHBand="0" w:evenHBand="0" w:firstRowFirstColumn="0" w:firstRowLastColumn="0" w:lastRowFirstColumn="0" w:lastRowLastColumn="0"/>
            </w:pPr>
            <w:r>
              <w:t xml:space="preserve">Identify the </w:t>
            </w:r>
            <w:r w:rsidR="6EA6B852">
              <w:t xml:space="preserve">key risks to procurement and processes for managing these and project risks generally. </w:t>
            </w:r>
            <w:r w:rsidR="668B2037">
              <w:t>This includes processes for managing project uncertainty.</w:t>
            </w:r>
          </w:p>
          <w:p w14:paraId="14C8F5C9" w14:textId="378C28FA" w:rsidR="00CB7F52" w:rsidRPr="00387024" w:rsidRDefault="21A0B895" w:rsidP="00F25D81">
            <w:pPr>
              <w:pStyle w:val="Tabletext"/>
              <w:cnfStyle w:val="000000000000" w:firstRow="0" w:lastRow="0" w:firstColumn="0" w:lastColumn="0" w:oddVBand="0" w:evenVBand="0" w:oddHBand="0" w:evenHBand="0" w:firstRowFirstColumn="0" w:firstRowLastColumn="0" w:lastRowFirstColumn="0" w:lastRowLastColumn="0"/>
            </w:pPr>
            <w:r>
              <w:t>Project risks c</w:t>
            </w:r>
            <w:r w:rsidR="3EAFAB2D">
              <w:t xml:space="preserve">ould be documented in </w:t>
            </w:r>
            <w:r w:rsidR="251547F5">
              <w:t xml:space="preserve">a </w:t>
            </w:r>
            <w:r w:rsidR="3EAFAB2D">
              <w:t>separate risk management plan</w:t>
            </w:r>
            <w:r w:rsidR="6E3ADD44">
              <w:t>.</w:t>
            </w:r>
            <w:r w:rsidR="00CB7F52">
              <w:t xml:space="preserve"> </w:t>
            </w:r>
          </w:p>
        </w:tc>
      </w:tr>
      <w:tr w:rsidR="00CB7F52" w:rsidRPr="00387024" w14:paraId="074095CE" w14:textId="77777777" w:rsidTr="00DF07F8">
        <w:tc>
          <w:tcPr>
            <w:cnfStyle w:val="001000000000" w:firstRow="0" w:lastRow="0" w:firstColumn="1" w:lastColumn="0" w:oddVBand="0" w:evenVBand="0" w:oddHBand="0" w:evenHBand="0" w:firstRowFirstColumn="0" w:firstRowLastColumn="0" w:lastRowFirstColumn="0" w:lastRowLastColumn="0"/>
            <w:tcW w:w="0" w:type="dxa"/>
          </w:tcPr>
          <w:p w14:paraId="4F0D7A9A" w14:textId="7D9CAB3E" w:rsidR="00CB7F52" w:rsidRPr="00C97A0B" w:rsidRDefault="7894FD3F" w:rsidP="00F25D81">
            <w:pPr>
              <w:pStyle w:val="Tabletext"/>
              <w:rPr>
                <w:rFonts w:asciiTheme="majorHAnsi" w:hAnsiTheme="majorHAnsi"/>
              </w:rPr>
            </w:pPr>
            <w:r w:rsidRPr="0F2E5CB6">
              <w:rPr>
                <w:rFonts w:asciiTheme="majorHAnsi" w:hAnsiTheme="majorHAnsi"/>
              </w:rPr>
              <w:t xml:space="preserve">Establish </w:t>
            </w:r>
            <w:r w:rsidR="00FA4C66">
              <w:rPr>
                <w:rFonts w:asciiTheme="majorHAnsi" w:hAnsiTheme="majorHAnsi"/>
              </w:rPr>
              <w:t>p</w:t>
            </w:r>
            <w:r w:rsidR="00CB7F52" w:rsidRPr="00C97A0B">
              <w:rPr>
                <w:rFonts w:asciiTheme="majorHAnsi" w:hAnsiTheme="majorHAnsi"/>
              </w:rPr>
              <w:t>robity plan</w:t>
            </w:r>
          </w:p>
        </w:tc>
        <w:tc>
          <w:tcPr>
            <w:tcW w:w="0" w:type="dxa"/>
          </w:tcPr>
          <w:p w14:paraId="5325397D" w14:textId="596EB097" w:rsidR="00CB7F52" w:rsidRPr="00387024" w:rsidRDefault="3E0C8AEC" w:rsidP="00F25D81">
            <w:pPr>
              <w:pStyle w:val="Tabletext"/>
              <w:cnfStyle w:val="000000000000" w:firstRow="0" w:lastRow="0" w:firstColumn="0" w:lastColumn="0" w:oddVBand="0" w:evenVBand="0" w:oddHBand="0" w:evenHBand="0" w:firstRowFirstColumn="0" w:firstRowLastColumn="0" w:lastRowFirstColumn="0" w:lastRowLastColumn="0"/>
            </w:pPr>
            <w:r>
              <w:t xml:space="preserve">See </w:t>
            </w:r>
            <w:r w:rsidR="003E7751">
              <w:t xml:space="preserve">Section </w:t>
            </w:r>
            <w:r w:rsidR="00CB7F52">
              <w:fldChar w:fldCharType="begin" w:fldLock="1"/>
            </w:r>
            <w:r w:rsidR="00CB7F52">
              <w:instrText xml:space="preserve"> REF _Ref144388936 \r \h </w:instrText>
            </w:r>
            <w:r w:rsidR="008C3E66">
              <w:instrText xml:space="preserve"> \* MERGEFORMAT </w:instrText>
            </w:r>
            <w:r w:rsidR="00CB7F52">
              <w:fldChar w:fldCharType="separate"/>
            </w:r>
            <w:r w:rsidR="003D4A19">
              <w:t>5.4</w:t>
            </w:r>
            <w:r w:rsidR="00CB7F52">
              <w:fldChar w:fldCharType="end"/>
            </w:r>
            <w:r>
              <w:t xml:space="preserve"> </w:t>
            </w:r>
            <w:r w:rsidR="00FA4C66">
              <w:t>of these guidelines</w:t>
            </w:r>
            <w:r>
              <w:t>.</w:t>
            </w:r>
          </w:p>
          <w:p w14:paraId="39F422D0" w14:textId="2A861D70" w:rsidR="00CB7F52" w:rsidRPr="00387024" w:rsidRDefault="00CB7F52" w:rsidP="00F25D81">
            <w:pPr>
              <w:pStyle w:val="Tabletext"/>
              <w:cnfStyle w:val="000000000000" w:firstRow="0" w:lastRow="0" w:firstColumn="0" w:lastColumn="0" w:oddVBand="0" w:evenVBand="0" w:oddHBand="0" w:evenHBand="0" w:firstRowFirstColumn="0" w:firstRowLastColumn="0" w:lastRowFirstColumn="0" w:lastRowLastColumn="0"/>
            </w:pPr>
            <w:r>
              <w:t>Identify the general probity rules for the procurement</w:t>
            </w:r>
            <w:r w:rsidR="45782ECA">
              <w:t>.</w:t>
            </w:r>
          </w:p>
          <w:p w14:paraId="730747DF" w14:textId="132CE8FA" w:rsidR="00CB7F52" w:rsidRPr="00387024" w:rsidRDefault="00CB7F52" w:rsidP="00F25D81">
            <w:pPr>
              <w:pStyle w:val="Tabletext"/>
              <w:cnfStyle w:val="000000000000" w:firstRow="0" w:lastRow="0" w:firstColumn="0" w:lastColumn="0" w:oddVBand="0" w:evenVBand="0" w:oddHBand="0" w:evenHBand="0" w:firstRowFirstColumn="0" w:firstRowLastColumn="0" w:lastRowFirstColumn="0" w:lastRowLastColumn="0"/>
            </w:pPr>
            <w:r w:rsidRPr="00387024">
              <w:t>Identify the probity services to be engaged for the project.</w:t>
            </w:r>
          </w:p>
          <w:p w14:paraId="795D317E" w14:textId="48CEF9D6" w:rsidR="00CB7F52" w:rsidRPr="00387024" w:rsidRDefault="0B28DC3F" w:rsidP="00F25D81">
            <w:pPr>
              <w:pStyle w:val="Tabletext"/>
              <w:cnfStyle w:val="000000000000" w:firstRow="0" w:lastRow="0" w:firstColumn="0" w:lastColumn="0" w:oddVBand="0" w:evenVBand="0" w:oddHBand="0" w:evenHBand="0" w:firstRowFirstColumn="0" w:firstRowLastColumn="0" w:lastRowFirstColumn="0" w:lastRowLastColumn="0"/>
            </w:pPr>
            <w:r>
              <w:t>D</w:t>
            </w:r>
            <w:r w:rsidR="0E01FA94">
              <w:t>ocument</w:t>
            </w:r>
            <w:r w:rsidR="00FA4C66">
              <w:t xml:space="preserve"> this information</w:t>
            </w:r>
            <w:r w:rsidR="3C6CA0C3">
              <w:t xml:space="preserve"> in a separate </w:t>
            </w:r>
            <w:r w:rsidR="28D85518">
              <w:t>probity</w:t>
            </w:r>
            <w:r w:rsidR="3C6CA0C3">
              <w:t xml:space="preserve"> plan for</w:t>
            </w:r>
            <w:r w:rsidR="0401A611">
              <w:t xml:space="preserve"> procurement</w:t>
            </w:r>
            <w:r w:rsidR="00FA4C66">
              <w:t>s</w:t>
            </w:r>
            <w:r w:rsidR="0401A611">
              <w:t xml:space="preserve"> over $10 million</w:t>
            </w:r>
            <w:r w:rsidR="360A35DD">
              <w:t>.</w:t>
            </w:r>
          </w:p>
        </w:tc>
      </w:tr>
      <w:tr w:rsidR="00CB7F52" w:rsidRPr="00387024" w14:paraId="4963679A" w14:textId="77777777" w:rsidTr="00DF07F8">
        <w:tc>
          <w:tcPr>
            <w:cnfStyle w:val="001000000000" w:firstRow="0" w:lastRow="0" w:firstColumn="1" w:lastColumn="0" w:oddVBand="0" w:evenVBand="0" w:oddHBand="0" w:evenHBand="0" w:firstRowFirstColumn="0" w:firstRowLastColumn="0" w:lastRowFirstColumn="0" w:lastRowLastColumn="0"/>
            <w:tcW w:w="0" w:type="dxa"/>
          </w:tcPr>
          <w:p w14:paraId="53BFAA05" w14:textId="4B0431DC" w:rsidR="00CB7F52" w:rsidRPr="00C97A0B" w:rsidRDefault="00CB7F52" w:rsidP="00F25D81">
            <w:pPr>
              <w:pStyle w:val="Tabletext"/>
              <w:rPr>
                <w:rFonts w:asciiTheme="majorHAnsi" w:hAnsiTheme="majorHAnsi"/>
              </w:rPr>
            </w:pPr>
            <w:r w:rsidRPr="42A90AE6">
              <w:rPr>
                <w:rFonts w:asciiTheme="majorHAnsi" w:hAnsiTheme="majorHAnsi"/>
              </w:rPr>
              <w:t>Identify</w:t>
            </w:r>
            <w:r w:rsidRPr="00C97A0B">
              <w:rPr>
                <w:rFonts w:asciiTheme="majorHAnsi" w:hAnsiTheme="majorHAnsi"/>
              </w:rPr>
              <w:t xml:space="preserve"> market </w:t>
            </w:r>
            <w:r w:rsidR="3DD372BB" w:rsidRPr="2DA1C254">
              <w:rPr>
                <w:rFonts w:asciiTheme="majorHAnsi" w:hAnsiTheme="majorHAnsi"/>
              </w:rPr>
              <w:t>and stakeholder</w:t>
            </w:r>
            <w:r w:rsidR="1F8294EC" w:rsidRPr="2DA1C254">
              <w:rPr>
                <w:rFonts w:asciiTheme="majorHAnsi" w:hAnsiTheme="majorHAnsi"/>
              </w:rPr>
              <w:t xml:space="preserve"> </w:t>
            </w:r>
            <w:r w:rsidR="2B523CA9" w:rsidRPr="2DA1C254">
              <w:rPr>
                <w:rFonts w:asciiTheme="majorHAnsi" w:hAnsiTheme="majorHAnsi"/>
              </w:rPr>
              <w:t xml:space="preserve">consultation </w:t>
            </w:r>
            <w:r w:rsidR="380CDE35" w:rsidRPr="2DA1C254">
              <w:rPr>
                <w:rFonts w:asciiTheme="majorHAnsi" w:hAnsiTheme="majorHAnsi"/>
              </w:rPr>
              <w:t xml:space="preserve">and engagement </w:t>
            </w:r>
            <w:r w:rsidRPr="00C97A0B">
              <w:rPr>
                <w:rFonts w:asciiTheme="majorHAnsi" w:hAnsiTheme="majorHAnsi"/>
              </w:rPr>
              <w:t>processes</w:t>
            </w:r>
          </w:p>
        </w:tc>
        <w:tc>
          <w:tcPr>
            <w:tcW w:w="0" w:type="dxa"/>
          </w:tcPr>
          <w:p w14:paraId="5E2F34B8" w14:textId="40427D91" w:rsidR="26CAB41A" w:rsidRDefault="26CAB41A" w:rsidP="00C82B5F">
            <w:pPr>
              <w:pStyle w:val="Tabletext"/>
              <w:cnfStyle w:val="000000000000" w:firstRow="0" w:lastRow="0" w:firstColumn="0" w:lastColumn="0" w:oddVBand="0" w:evenVBand="0" w:oddHBand="0" w:evenHBand="0" w:firstRowFirstColumn="0" w:firstRowLastColumn="0" w:lastRowFirstColumn="0" w:lastRowLastColumn="0"/>
            </w:pPr>
            <w:r>
              <w:t xml:space="preserve">See </w:t>
            </w:r>
            <w:r w:rsidR="003E7751">
              <w:t xml:space="preserve">Section </w:t>
            </w:r>
            <w:r w:rsidR="00D74081">
              <w:fldChar w:fldCharType="begin" w:fldLock="1"/>
            </w:r>
            <w:r w:rsidR="00D74081">
              <w:instrText xml:space="preserve"> REF _Ref144388175 \r \h </w:instrText>
            </w:r>
            <w:r w:rsidR="008C3E66">
              <w:instrText xml:space="preserve"> \* MERGEFORMAT </w:instrText>
            </w:r>
            <w:r w:rsidR="00D74081">
              <w:fldChar w:fldCharType="separate"/>
            </w:r>
            <w:r w:rsidR="003D4A19">
              <w:t>5.5</w:t>
            </w:r>
            <w:r w:rsidR="00D74081">
              <w:fldChar w:fldCharType="end"/>
            </w:r>
            <w:r>
              <w:t xml:space="preserve"> </w:t>
            </w:r>
            <w:r w:rsidR="00FA4C66">
              <w:t>of these guidelines</w:t>
            </w:r>
            <w:r>
              <w:t>.</w:t>
            </w:r>
          </w:p>
          <w:p w14:paraId="4700AD3B" w14:textId="2B9ACD79" w:rsidR="36538AF8" w:rsidRDefault="36538AF8" w:rsidP="00C82B5F">
            <w:pPr>
              <w:pStyle w:val="Tabletext"/>
              <w:cnfStyle w:val="000000000000" w:firstRow="0" w:lastRow="0" w:firstColumn="0" w:lastColumn="0" w:oddVBand="0" w:evenVBand="0" w:oddHBand="0" w:evenHBand="0" w:firstRowFirstColumn="0" w:firstRowLastColumn="0" w:lastRowFirstColumn="0" w:lastRowLastColumn="0"/>
            </w:pPr>
            <w:r>
              <w:t xml:space="preserve">Determine the form and content of </w:t>
            </w:r>
            <w:r w:rsidR="007334C6">
              <w:t>g</w:t>
            </w:r>
            <w:r>
              <w:t>overnment consultation with industry.</w:t>
            </w:r>
          </w:p>
          <w:p w14:paraId="48E0883B" w14:textId="6507D091" w:rsidR="44E80E5D" w:rsidRDefault="44E80E5D" w:rsidP="2DA1C254">
            <w:pPr>
              <w:pStyle w:val="Tabletext"/>
              <w:cnfStyle w:val="000000000000" w:firstRow="0" w:lastRow="0" w:firstColumn="0" w:lastColumn="0" w:oddVBand="0" w:evenVBand="0" w:oddHBand="0" w:evenHBand="0" w:firstRowFirstColumn="0" w:firstRowLastColumn="0" w:lastRowFirstColumn="0" w:lastRowLastColumn="0"/>
            </w:pPr>
            <w:r>
              <w:t>Identify all stakeholders for the procurement, outline their interest and outline an engagement strategy for managing their involvement in the procurement.</w:t>
            </w:r>
          </w:p>
          <w:p w14:paraId="040B87BF" w14:textId="568B21D0" w:rsidR="00CB7F52" w:rsidRPr="00387024" w:rsidRDefault="0B28DC3F" w:rsidP="00F25D81">
            <w:pPr>
              <w:pStyle w:val="Tabletext"/>
              <w:cnfStyle w:val="000000000000" w:firstRow="0" w:lastRow="0" w:firstColumn="0" w:lastColumn="0" w:oddVBand="0" w:evenVBand="0" w:oddHBand="0" w:evenHBand="0" w:firstRowFirstColumn="0" w:firstRowLastColumn="0" w:lastRowFirstColumn="0" w:lastRowLastColumn="0"/>
            </w:pPr>
            <w:r>
              <w:t>Consider</w:t>
            </w:r>
            <w:r w:rsidR="00F2786C">
              <w:t xml:space="preserve"> documenting</w:t>
            </w:r>
            <w:r w:rsidR="26A980CF">
              <w:t xml:space="preserve"> </w:t>
            </w:r>
            <w:r w:rsidR="00E669AC">
              <w:t xml:space="preserve">this </w:t>
            </w:r>
            <w:r w:rsidR="26A980CF">
              <w:t xml:space="preserve">in a separate </w:t>
            </w:r>
            <w:r w:rsidR="54D7C211">
              <w:t>stakeholder engagement plan.</w:t>
            </w:r>
          </w:p>
        </w:tc>
      </w:tr>
      <w:tr w:rsidR="00CB7F52" w:rsidRPr="00387024" w14:paraId="5F50A306" w14:textId="77777777" w:rsidTr="76AB2BEA">
        <w:tc>
          <w:tcPr>
            <w:cnfStyle w:val="001000000000" w:firstRow="0" w:lastRow="0" w:firstColumn="1" w:lastColumn="0" w:oddVBand="0" w:evenVBand="0" w:oddHBand="0" w:evenHBand="0" w:firstRowFirstColumn="0" w:firstRowLastColumn="0" w:lastRowFirstColumn="0" w:lastRowLastColumn="0"/>
            <w:tcW w:w="2656" w:type="dxa"/>
          </w:tcPr>
          <w:p w14:paraId="493B2759" w14:textId="2618DBA2" w:rsidR="2DA1C254" w:rsidRPr="2DA1C254" w:rsidRDefault="2DA1C254" w:rsidP="2DA1C254">
            <w:pPr>
              <w:pStyle w:val="Tabletext"/>
              <w:rPr>
                <w:rFonts w:asciiTheme="majorHAnsi" w:hAnsiTheme="majorHAnsi"/>
              </w:rPr>
            </w:pPr>
            <w:r w:rsidRPr="42A90AE6">
              <w:rPr>
                <w:rFonts w:asciiTheme="majorHAnsi" w:hAnsiTheme="majorHAnsi"/>
              </w:rPr>
              <w:t>Identify</w:t>
            </w:r>
            <w:r w:rsidRPr="2DA1C254">
              <w:rPr>
                <w:rFonts w:asciiTheme="majorHAnsi" w:hAnsiTheme="majorHAnsi"/>
              </w:rPr>
              <w:t xml:space="preserve"> </w:t>
            </w:r>
            <w:r w:rsidR="70392EFE" w:rsidRPr="2B8B5F1E">
              <w:rPr>
                <w:rFonts w:asciiTheme="majorHAnsi" w:hAnsiTheme="majorHAnsi"/>
              </w:rPr>
              <w:t xml:space="preserve">due diligence activities and </w:t>
            </w:r>
            <w:r w:rsidRPr="2DA1C254">
              <w:rPr>
                <w:rFonts w:asciiTheme="majorHAnsi" w:hAnsiTheme="majorHAnsi"/>
              </w:rPr>
              <w:t>project documentation requirements</w:t>
            </w:r>
          </w:p>
        </w:tc>
        <w:tc>
          <w:tcPr>
            <w:tcW w:w="6434" w:type="dxa"/>
          </w:tcPr>
          <w:p w14:paraId="5C9BDD3A" w14:textId="32658DB1" w:rsidR="2DA1C254" w:rsidRDefault="7FF02268" w:rsidP="2DA1C254">
            <w:pPr>
              <w:pStyle w:val="Tabletext"/>
              <w:cnfStyle w:val="000000000000" w:firstRow="0" w:lastRow="0" w:firstColumn="0" w:lastColumn="0" w:oddVBand="0" w:evenVBand="0" w:oddHBand="0" w:evenHBand="0" w:firstRowFirstColumn="0" w:firstRowLastColumn="0" w:lastRowFirstColumn="0" w:lastRowLastColumn="0"/>
            </w:pPr>
            <w:r>
              <w:t>See</w:t>
            </w:r>
            <w:r w:rsidR="2DA1C254">
              <w:t xml:space="preserve"> </w:t>
            </w:r>
            <w:r w:rsidR="003E7751">
              <w:t xml:space="preserve">Chapter </w:t>
            </w:r>
            <w:r w:rsidR="009B3D5A">
              <w:fldChar w:fldCharType="begin" w:fldLock="1"/>
            </w:r>
            <w:r w:rsidR="009B3D5A">
              <w:instrText xml:space="preserve"> REF _Ref144390693 \r \h </w:instrText>
            </w:r>
            <w:r w:rsidR="008C3E66">
              <w:instrText xml:space="preserve"> \* MERGEFORMAT </w:instrText>
            </w:r>
            <w:r w:rsidR="009B3D5A">
              <w:fldChar w:fldCharType="separate"/>
            </w:r>
            <w:r w:rsidR="003D4A19">
              <w:t>6</w:t>
            </w:r>
            <w:r w:rsidR="009B3D5A">
              <w:fldChar w:fldCharType="end"/>
            </w:r>
            <w:r w:rsidR="2DA1C254">
              <w:t xml:space="preserve"> </w:t>
            </w:r>
            <w:r w:rsidR="00FA4C66">
              <w:t>of these guidelines</w:t>
            </w:r>
            <w:r w:rsidR="2DA1C254">
              <w:t>.</w:t>
            </w:r>
          </w:p>
          <w:p w14:paraId="0F4843CD" w14:textId="56FEF07A" w:rsidR="2DA1C254" w:rsidRDefault="2DA1C254" w:rsidP="2DA1C254">
            <w:pPr>
              <w:pStyle w:val="Tabletext"/>
              <w:cnfStyle w:val="000000000000" w:firstRow="0" w:lastRow="0" w:firstColumn="0" w:lastColumn="0" w:oddVBand="0" w:evenVBand="0" w:oddHBand="0" w:evenHBand="0" w:firstRowFirstColumn="0" w:firstRowLastColumn="0" w:lastRowFirstColumn="0" w:lastRowLastColumn="0"/>
            </w:pPr>
            <w:r>
              <w:t xml:space="preserve">Outline the due diligence required to inform project documentation, </w:t>
            </w:r>
            <w:r w:rsidR="00E669AC">
              <w:t xml:space="preserve">identify </w:t>
            </w:r>
            <w:r>
              <w:t>who will carry out the due diligence (this may be a</w:t>
            </w:r>
            <w:r w:rsidR="004D427F">
              <w:t>n</w:t>
            </w:r>
            <w:r>
              <w:t xml:space="preserve"> agency</w:t>
            </w:r>
            <w:r w:rsidR="00FA4C66">
              <w:t>,</w:t>
            </w:r>
            <w:r>
              <w:t xml:space="preserve"> or </w:t>
            </w:r>
            <w:r w:rsidR="00FA4C66">
              <w:t xml:space="preserve">it </w:t>
            </w:r>
            <w:r>
              <w:t xml:space="preserve">may require advisory services), </w:t>
            </w:r>
            <w:r w:rsidR="00E669AC">
              <w:t xml:space="preserve">and estimate the </w:t>
            </w:r>
            <w:r>
              <w:t>length of time required to undertake the works, and potential costs.</w:t>
            </w:r>
          </w:p>
          <w:p w14:paraId="5E9FDAF5" w14:textId="77D92EC7" w:rsidR="2DA1C254" w:rsidRDefault="2DA1C254" w:rsidP="2DA1C254">
            <w:pPr>
              <w:pStyle w:val="Tabletext"/>
              <w:cnfStyle w:val="000000000000" w:firstRow="0" w:lastRow="0" w:firstColumn="0" w:lastColumn="0" w:oddVBand="0" w:evenVBand="0" w:oddHBand="0" w:evenHBand="0" w:firstRowFirstColumn="0" w:firstRowLastColumn="0" w:lastRowFirstColumn="0" w:lastRowLastColumn="0"/>
            </w:pPr>
            <w:r>
              <w:t>Outline the key tender documentation to be developed</w:t>
            </w:r>
            <w:r w:rsidR="00F2786C">
              <w:t>,</w:t>
            </w:r>
            <w:r>
              <w:t xml:space="preserve"> including any supporting documentation as part of tender documents.</w:t>
            </w:r>
          </w:p>
        </w:tc>
      </w:tr>
    </w:tbl>
    <w:p w14:paraId="75C30605" w14:textId="05E7ED89" w:rsidR="00BD7D53" w:rsidRDefault="00BD7D53" w:rsidP="00CB7F52"/>
    <w:p w14:paraId="2D90634F" w14:textId="77777777" w:rsidR="00BD7D53" w:rsidRDefault="00BD7D53">
      <w:pPr>
        <w:keepLines w:val="0"/>
        <w:spacing w:before="0" w:after="200" w:line="276" w:lineRule="auto"/>
      </w:pPr>
      <w:r>
        <w:br w:type="page"/>
      </w:r>
    </w:p>
    <w:p w14:paraId="11AA770C" w14:textId="77777777" w:rsidR="00470A29" w:rsidRDefault="008B776F" w:rsidP="001D2615">
      <w:pPr>
        <w:pStyle w:val="Appendixtitle"/>
        <w:tabs>
          <w:tab w:val="clear" w:pos="360"/>
          <w:tab w:val="left" w:pos="720"/>
        </w:tabs>
      </w:pPr>
      <w:bookmarkStart w:id="522" w:name="_Toc25662742"/>
      <w:bookmarkStart w:id="523" w:name="_Toc139452902"/>
      <w:bookmarkStart w:id="524" w:name="_Toc161321814"/>
      <w:r>
        <w:t>–</w:t>
      </w:r>
      <w:r w:rsidR="446730AE">
        <w:t xml:space="preserve"> Form of invitation to tender</w:t>
      </w:r>
      <w:bookmarkEnd w:id="522"/>
      <w:bookmarkEnd w:id="523"/>
      <w:bookmarkEnd w:id="524"/>
    </w:p>
    <w:p w14:paraId="62E6A0E9" w14:textId="5C5043FF" w:rsidR="003324A3" w:rsidRPr="00FA4C66" w:rsidRDefault="009F7BEC" w:rsidP="005B57EE">
      <w:r w:rsidRPr="00FA4C66">
        <w:fldChar w:fldCharType="begin" w:fldLock="1"/>
      </w:r>
      <w:r w:rsidRPr="00FA4C66">
        <w:instrText xml:space="preserve"> REF _Ref145616046 \h </w:instrText>
      </w:r>
      <w:r w:rsidR="00FA4C66">
        <w:rPr>
          <w:rFonts w:hint="eastAsia"/>
        </w:rPr>
        <w:instrText xml:space="preserve"> \* MERGEFORMAT </w:instrText>
      </w:r>
      <w:r w:rsidRPr="00FA4C66">
        <w:fldChar w:fldCharType="separate"/>
      </w:r>
      <w:r w:rsidR="003D4A19" w:rsidRPr="00FA4C66">
        <w:t xml:space="preserve">Table </w:t>
      </w:r>
      <w:r w:rsidR="003D4A19" w:rsidRPr="005B57EE">
        <w:t>19</w:t>
      </w:r>
      <w:r w:rsidRPr="00FA4C66">
        <w:fldChar w:fldCharType="end"/>
      </w:r>
      <w:r w:rsidR="003324A3" w:rsidRPr="00FA4C66">
        <w:t xml:space="preserve"> outlines the principal differences between two common forms of an invitation to tender</w:t>
      </w:r>
      <w:r w:rsidR="00537375" w:rsidRPr="00FA4C66">
        <w:t xml:space="preserve"> – </w:t>
      </w:r>
      <w:r w:rsidR="00FA4C66">
        <w:t>a r</w:t>
      </w:r>
      <w:r w:rsidR="00FA4C66" w:rsidRPr="00FA4C66">
        <w:t xml:space="preserve">equest </w:t>
      </w:r>
      <w:r w:rsidR="00537375" w:rsidRPr="00FA4C66">
        <w:t xml:space="preserve">for </w:t>
      </w:r>
      <w:r w:rsidR="00FA4C66">
        <w:t>t</w:t>
      </w:r>
      <w:r w:rsidR="00FA4C66" w:rsidRPr="00FA4C66">
        <w:t xml:space="preserve">ender </w:t>
      </w:r>
      <w:r w:rsidR="00537375" w:rsidRPr="00FA4C66">
        <w:t xml:space="preserve">and </w:t>
      </w:r>
      <w:r w:rsidR="00FA4C66">
        <w:t>a r</w:t>
      </w:r>
      <w:r w:rsidR="00FA4C66" w:rsidRPr="00FA4C66">
        <w:t xml:space="preserve">equest </w:t>
      </w:r>
      <w:r w:rsidR="00537375" w:rsidRPr="00FA4C66">
        <w:t xml:space="preserve">for </w:t>
      </w:r>
      <w:r w:rsidR="00FA4C66">
        <w:t>p</w:t>
      </w:r>
      <w:r w:rsidR="00FA4C66" w:rsidRPr="00FA4C66">
        <w:t xml:space="preserve">roposal </w:t>
      </w:r>
      <w:r w:rsidR="00537375" w:rsidRPr="00FA4C66">
        <w:t xml:space="preserve">– </w:t>
      </w:r>
      <w:r w:rsidR="003324A3" w:rsidRPr="00FA4C66">
        <w:t>and identifies when they should be used.</w:t>
      </w:r>
    </w:p>
    <w:p w14:paraId="44B7ED1A" w14:textId="00A3326E" w:rsidR="003324A3" w:rsidRPr="00387024" w:rsidRDefault="00A23826" w:rsidP="003324A3">
      <w:pPr>
        <w:pStyle w:val="Caption"/>
      </w:pPr>
      <w:bookmarkStart w:id="525" w:name="_Ref145616046"/>
      <w:bookmarkStart w:id="526" w:name="_Toc145621367"/>
      <w:bookmarkStart w:id="527" w:name="_Toc146097261"/>
      <w:r>
        <w:t xml:space="preserve">Table </w:t>
      </w:r>
      <w:r>
        <w:fldChar w:fldCharType="begin"/>
      </w:r>
      <w:r>
        <w:instrText>SEQ Table \* ARABIC</w:instrText>
      </w:r>
      <w:r>
        <w:fldChar w:fldCharType="separate"/>
      </w:r>
      <w:r w:rsidR="008A4B3E">
        <w:rPr>
          <w:noProof/>
        </w:rPr>
        <w:t>19</w:t>
      </w:r>
      <w:r>
        <w:fldChar w:fldCharType="end"/>
      </w:r>
      <w:bookmarkEnd w:id="525"/>
      <w:r w:rsidR="00E958D5">
        <w:t xml:space="preserve"> –</w:t>
      </w:r>
      <w:r w:rsidR="003324A3" w:rsidRPr="00EC2A92">
        <w:t xml:space="preserve"> Types of </w:t>
      </w:r>
      <w:r w:rsidR="003324A3" w:rsidRPr="00387024">
        <w:t xml:space="preserve">invitations </w:t>
      </w:r>
      <w:r w:rsidR="003324A3" w:rsidRPr="00EC2A92">
        <w:t xml:space="preserve">to </w:t>
      </w:r>
      <w:r w:rsidR="003324A3" w:rsidRPr="00387024">
        <w:t>tender</w:t>
      </w:r>
      <w:bookmarkEnd w:id="526"/>
      <w:bookmarkEnd w:id="527"/>
    </w:p>
    <w:tbl>
      <w:tblPr>
        <w:tblStyle w:val="DTFtexttable"/>
        <w:tblW w:w="0" w:type="auto"/>
        <w:tblLook w:val="06A0" w:firstRow="1" w:lastRow="0" w:firstColumn="1" w:lastColumn="0" w:noHBand="1" w:noVBand="1"/>
      </w:tblPr>
      <w:tblGrid>
        <w:gridCol w:w="1800"/>
        <w:gridCol w:w="3510"/>
        <w:gridCol w:w="3698"/>
      </w:tblGrid>
      <w:tr w:rsidR="003324A3" w:rsidRPr="00387024" w14:paraId="1F247B72" w14:textId="77777777" w:rsidTr="00410AF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800" w:type="dxa"/>
          </w:tcPr>
          <w:p w14:paraId="5F0FCBD8" w14:textId="0CBF5207" w:rsidR="003324A3" w:rsidRPr="00387024" w:rsidRDefault="003324A3" w:rsidP="00A52A18">
            <w:pPr>
              <w:pStyle w:val="Tableheader"/>
            </w:pPr>
          </w:p>
        </w:tc>
        <w:tc>
          <w:tcPr>
            <w:tcW w:w="3510" w:type="dxa"/>
          </w:tcPr>
          <w:p w14:paraId="7C0C0FA8" w14:textId="01D1A27F" w:rsidR="003324A3" w:rsidRPr="00387024" w:rsidRDefault="003324A3" w:rsidP="00A52A18">
            <w:pPr>
              <w:pStyle w:val="Tableheader"/>
              <w:cnfStyle w:val="100000000000" w:firstRow="1" w:lastRow="0" w:firstColumn="0" w:lastColumn="0" w:oddVBand="0" w:evenVBand="0" w:oddHBand="0" w:evenHBand="0" w:firstRowFirstColumn="0" w:firstRowLastColumn="0" w:lastRowFirstColumn="0" w:lastRowLastColumn="0"/>
            </w:pPr>
            <w:r w:rsidRPr="00387024">
              <w:t xml:space="preserve">Request for </w:t>
            </w:r>
            <w:r w:rsidR="003D4BF9">
              <w:t>t</w:t>
            </w:r>
            <w:r w:rsidRPr="00387024">
              <w:t xml:space="preserve">ender </w:t>
            </w:r>
          </w:p>
        </w:tc>
        <w:tc>
          <w:tcPr>
            <w:tcW w:w="3698" w:type="dxa"/>
          </w:tcPr>
          <w:p w14:paraId="75C19956" w14:textId="3000EF81" w:rsidR="003324A3" w:rsidRPr="00387024" w:rsidRDefault="003324A3" w:rsidP="00A52A18">
            <w:pPr>
              <w:pStyle w:val="Tableheader"/>
              <w:cnfStyle w:val="100000000000" w:firstRow="1" w:lastRow="0" w:firstColumn="0" w:lastColumn="0" w:oddVBand="0" w:evenVBand="0" w:oddHBand="0" w:evenHBand="0" w:firstRowFirstColumn="0" w:firstRowLastColumn="0" w:lastRowFirstColumn="0" w:lastRowLastColumn="0"/>
            </w:pPr>
            <w:r w:rsidRPr="00387024">
              <w:t xml:space="preserve">Request for </w:t>
            </w:r>
            <w:r w:rsidR="003D4BF9">
              <w:t>p</w:t>
            </w:r>
            <w:r w:rsidRPr="00387024">
              <w:t>roposal</w:t>
            </w:r>
          </w:p>
        </w:tc>
      </w:tr>
      <w:tr w:rsidR="003324A3" w:rsidRPr="00387024" w14:paraId="3D3E78BB" w14:textId="77777777" w:rsidTr="00410AF1">
        <w:trPr>
          <w:trHeight w:val="300"/>
        </w:trPr>
        <w:tc>
          <w:tcPr>
            <w:cnfStyle w:val="001000000000" w:firstRow="0" w:lastRow="0" w:firstColumn="1" w:lastColumn="0" w:oddVBand="0" w:evenVBand="0" w:oddHBand="0" w:evenHBand="0" w:firstRowFirstColumn="0" w:firstRowLastColumn="0" w:lastRowFirstColumn="0" w:lastRowLastColumn="0"/>
            <w:tcW w:w="1800" w:type="dxa"/>
          </w:tcPr>
          <w:p w14:paraId="55A079FD" w14:textId="77777777" w:rsidR="003324A3" w:rsidRPr="009A16B2" w:rsidRDefault="003324A3" w:rsidP="00A52A18">
            <w:pPr>
              <w:pStyle w:val="Tabletext"/>
              <w:rPr>
                <w:rFonts w:asciiTheme="majorHAnsi" w:hAnsiTheme="majorHAnsi"/>
              </w:rPr>
            </w:pPr>
            <w:r w:rsidRPr="009A16B2">
              <w:rPr>
                <w:rFonts w:asciiTheme="majorHAnsi" w:hAnsiTheme="majorHAnsi"/>
              </w:rPr>
              <w:t>Purpose</w:t>
            </w:r>
          </w:p>
        </w:tc>
        <w:tc>
          <w:tcPr>
            <w:tcW w:w="3510" w:type="dxa"/>
          </w:tcPr>
          <w:p w14:paraId="0874B3E2" w14:textId="77777777"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 xml:space="preserve">Invitation for offers to provide works and services against a defined need or detailed description of a specific solution to requirements. </w:t>
            </w:r>
          </w:p>
        </w:tc>
        <w:tc>
          <w:tcPr>
            <w:tcW w:w="3698" w:type="dxa"/>
          </w:tcPr>
          <w:p w14:paraId="002597D5" w14:textId="65BB3488"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Invitation for offers to provide a solution to an agency</w:t>
            </w:r>
            <w:r w:rsidR="00344D3F">
              <w:t>’</w:t>
            </w:r>
            <w:r w:rsidRPr="00387024">
              <w:t>s functional requirements and/or service outcomes</w:t>
            </w:r>
            <w:r>
              <w:t>.</w:t>
            </w:r>
          </w:p>
        </w:tc>
      </w:tr>
      <w:tr w:rsidR="003324A3" w:rsidRPr="00387024" w14:paraId="459FB3F7" w14:textId="77777777" w:rsidTr="00410AF1">
        <w:trPr>
          <w:trHeight w:val="300"/>
        </w:trPr>
        <w:tc>
          <w:tcPr>
            <w:cnfStyle w:val="001000000000" w:firstRow="0" w:lastRow="0" w:firstColumn="1" w:lastColumn="0" w:oddVBand="0" w:evenVBand="0" w:oddHBand="0" w:evenHBand="0" w:firstRowFirstColumn="0" w:firstRowLastColumn="0" w:lastRowFirstColumn="0" w:lastRowLastColumn="0"/>
            <w:tcW w:w="1800" w:type="dxa"/>
          </w:tcPr>
          <w:p w14:paraId="20AA7A2D" w14:textId="77777777" w:rsidR="003324A3" w:rsidRPr="009A16B2" w:rsidRDefault="003324A3" w:rsidP="00A52A18">
            <w:pPr>
              <w:pStyle w:val="Tabletext"/>
              <w:rPr>
                <w:rFonts w:asciiTheme="majorHAnsi" w:hAnsiTheme="majorHAnsi"/>
              </w:rPr>
            </w:pPr>
            <w:r w:rsidRPr="009A16B2">
              <w:rPr>
                <w:rFonts w:asciiTheme="majorHAnsi" w:hAnsiTheme="majorHAnsi"/>
              </w:rPr>
              <w:t>Project documentation</w:t>
            </w:r>
          </w:p>
        </w:tc>
        <w:tc>
          <w:tcPr>
            <w:tcW w:w="3510" w:type="dxa"/>
          </w:tcPr>
          <w:p w14:paraId="471DC2D9" w14:textId="16E9CC80" w:rsidR="003324A3" w:rsidRPr="00387024" w:rsidRDefault="003D4BF9" w:rsidP="00A52A18">
            <w:pPr>
              <w:pStyle w:val="Tabletext"/>
              <w:cnfStyle w:val="000000000000" w:firstRow="0" w:lastRow="0" w:firstColumn="0" w:lastColumn="0" w:oddVBand="0" w:evenVBand="0" w:oddHBand="0" w:evenHBand="0" w:firstRowFirstColumn="0" w:firstRowLastColumn="0" w:lastRowFirstColumn="0" w:lastRowLastColumn="0"/>
            </w:pPr>
            <w:r>
              <w:t>A d</w:t>
            </w:r>
            <w:r w:rsidRPr="00387024">
              <w:t xml:space="preserve">esign </w:t>
            </w:r>
            <w:r w:rsidR="003324A3" w:rsidRPr="00387024">
              <w:t>specification</w:t>
            </w:r>
            <w:r>
              <w:t xml:space="preserve"> that</w:t>
            </w:r>
            <w:r w:rsidR="003324A3" w:rsidRPr="00387024">
              <w:t xml:space="preserve"> contains a detailed design and other information that explicitly describes the asset to be delivered.</w:t>
            </w:r>
          </w:p>
        </w:tc>
        <w:tc>
          <w:tcPr>
            <w:tcW w:w="3698" w:type="dxa"/>
          </w:tcPr>
          <w:p w14:paraId="5BC8E901" w14:textId="06DF4028" w:rsidR="003324A3" w:rsidRPr="00387024" w:rsidRDefault="003D4BF9" w:rsidP="00A52A18">
            <w:pPr>
              <w:pStyle w:val="Tabletext"/>
              <w:cnfStyle w:val="000000000000" w:firstRow="0" w:lastRow="0" w:firstColumn="0" w:lastColumn="0" w:oddVBand="0" w:evenVBand="0" w:oddHBand="0" w:evenHBand="0" w:firstRowFirstColumn="0" w:firstRowLastColumn="0" w:lastRowFirstColumn="0" w:lastRowLastColumn="0"/>
            </w:pPr>
            <w:r>
              <w:t>A s</w:t>
            </w:r>
            <w:r w:rsidRPr="00387024">
              <w:t xml:space="preserve">tatement </w:t>
            </w:r>
            <w:r w:rsidR="003324A3" w:rsidRPr="00387024">
              <w:t>of requirements</w:t>
            </w:r>
            <w:r>
              <w:t xml:space="preserve"> that</w:t>
            </w:r>
            <w:r w:rsidRPr="00387024">
              <w:t xml:space="preserve"> </w:t>
            </w:r>
            <w:r w:rsidR="003324A3" w:rsidRPr="00387024">
              <w:t>descri</w:t>
            </w:r>
            <w:r>
              <w:t>es</w:t>
            </w:r>
            <w:r w:rsidR="003324A3" w:rsidRPr="00387024">
              <w:t xml:space="preserve"> the functional requirements to be delivered, including performance measures </w:t>
            </w:r>
            <w:r>
              <w:t>and</w:t>
            </w:r>
            <w:r w:rsidRPr="00387024">
              <w:t xml:space="preserve"> </w:t>
            </w:r>
            <w:r w:rsidR="003324A3" w:rsidRPr="00387024">
              <w:t>standards that must be met.</w:t>
            </w:r>
          </w:p>
        </w:tc>
      </w:tr>
      <w:tr w:rsidR="003324A3" w:rsidRPr="00387024" w14:paraId="6BEF7BA0" w14:textId="77777777" w:rsidTr="00410AF1">
        <w:trPr>
          <w:trHeight w:val="300"/>
        </w:trPr>
        <w:tc>
          <w:tcPr>
            <w:cnfStyle w:val="001000000000" w:firstRow="0" w:lastRow="0" w:firstColumn="1" w:lastColumn="0" w:oddVBand="0" w:evenVBand="0" w:oddHBand="0" w:evenHBand="0" w:firstRowFirstColumn="0" w:firstRowLastColumn="0" w:lastRowFirstColumn="0" w:lastRowLastColumn="0"/>
            <w:tcW w:w="1800" w:type="dxa"/>
          </w:tcPr>
          <w:p w14:paraId="1AC7D416" w14:textId="77777777" w:rsidR="003324A3" w:rsidRPr="009A16B2" w:rsidRDefault="003324A3" w:rsidP="00A52A18">
            <w:pPr>
              <w:pStyle w:val="Tabletext"/>
              <w:rPr>
                <w:rFonts w:asciiTheme="majorHAnsi" w:hAnsiTheme="majorHAnsi"/>
              </w:rPr>
            </w:pPr>
            <w:r w:rsidRPr="009A16B2">
              <w:rPr>
                <w:rFonts w:asciiTheme="majorHAnsi" w:hAnsiTheme="majorHAnsi"/>
              </w:rPr>
              <w:t>When it should be used</w:t>
            </w:r>
          </w:p>
        </w:tc>
        <w:tc>
          <w:tcPr>
            <w:tcW w:w="3510" w:type="dxa"/>
          </w:tcPr>
          <w:p w14:paraId="7F202329" w14:textId="65FDE43F" w:rsidR="003324A3" w:rsidRPr="00387024" w:rsidRDefault="003324A3" w:rsidP="00E669AC">
            <w:pPr>
              <w:pStyle w:val="Tabletext"/>
              <w:cnfStyle w:val="000000000000" w:firstRow="0" w:lastRow="0" w:firstColumn="0" w:lastColumn="0" w:oddVBand="0" w:evenVBand="0" w:oddHBand="0" w:evenHBand="0" w:firstRowFirstColumn="0" w:firstRowLastColumn="0" w:lastRowFirstColumn="0" w:lastRowLastColumn="0"/>
            </w:pPr>
            <w:r w:rsidRPr="00387024">
              <w:t xml:space="preserve">When the purchaser knows with a large degree of certainty what solution or asset they want, </w:t>
            </w:r>
            <w:r w:rsidR="00E669AC">
              <w:t>including</w:t>
            </w:r>
            <w:r w:rsidRPr="00387024">
              <w:t>:</w:t>
            </w:r>
          </w:p>
          <w:p w14:paraId="0EF1CD90" w14:textId="5C2E91EA" w:rsidR="003324A3" w:rsidRPr="00387024" w:rsidRDefault="003324A3" w:rsidP="00E669AC">
            <w:pPr>
              <w:pStyle w:val="Tablebullet"/>
              <w:ind w:left="386"/>
              <w:cnfStyle w:val="000000000000" w:firstRow="0" w:lastRow="0" w:firstColumn="0" w:lastColumn="0" w:oddVBand="0" w:evenVBand="0" w:oddHBand="0" w:evenHBand="0" w:firstRowFirstColumn="0" w:firstRowLastColumn="0" w:lastRowFirstColumn="0" w:lastRowLastColumn="0"/>
            </w:pPr>
            <w:r>
              <w:t>when the asset is clearly defined</w:t>
            </w:r>
            <w:r w:rsidRPr="701FF408" w:rsidDel="1528C26D">
              <w:rPr>
                <w:rFonts w:ascii="Calibri" w:hAnsi="Calibri"/>
              </w:rPr>
              <w:t> </w:t>
            </w:r>
          </w:p>
          <w:p w14:paraId="6D67D5EA" w14:textId="1694AF40" w:rsidR="00E669AC" w:rsidRPr="00387024" w:rsidRDefault="003324A3" w:rsidP="001D3DE7">
            <w:pPr>
              <w:pStyle w:val="Tablebullet"/>
              <w:ind w:left="386"/>
              <w:cnfStyle w:val="000000000000" w:firstRow="0" w:lastRow="0" w:firstColumn="0" w:lastColumn="0" w:oddVBand="0" w:evenVBand="0" w:oddHBand="0" w:evenHBand="0" w:firstRowFirstColumn="0" w:firstRowLastColumn="0" w:lastRowFirstColumn="0" w:lastRowLastColumn="0"/>
            </w:pPr>
            <w:r>
              <w:t xml:space="preserve">when there </w:t>
            </w:r>
            <w:r w:rsidR="00E669AC">
              <w:t xml:space="preserve">is </w:t>
            </w:r>
            <w:r>
              <w:t>be a detailed design.</w:t>
            </w:r>
          </w:p>
        </w:tc>
        <w:tc>
          <w:tcPr>
            <w:tcW w:w="3698" w:type="dxa"/>
          </w:tcPr>
          <w:p w14:paraId="43867296" w14:textId="120CE3BF"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 xml:space="preserve">When the purchaser knows what services and performance requirements they </w:t>
            </w:r>
            <w:r w:rsidR="003D4BF9">
              <w:t>require</w:t>
            </w:r>
            <w:r w:rsidRPr="00387024">
              <w:t>, but do not have a defined solution for meeting these requirements:</w:t>
            </w:r>
          </w:p>
          <w:p w14:paraId="17E6B2A5" w14:textId="4D180B14" w:rsidR="003324A3" w:rsidRPr="00387024" w:rsidRDefault="003324A3" w:rsidP="001D2615">
            <w:pPr>
              <w:pStyle w:val="Tablebullet"/>
              <w:ind w:left="376"/>
              <w:cnfStyle w:val="000000000000" w:firstRow="0" w:lastRow="0" w:firstColumn="0" w:lastColumn="0" w:oddVBand="0" w:evenVBand="0" w:oddHBand="0" w:evenHBand="0" w:firstRowFirstColumn="0" w:firstRowLastColumn="0" w:lastRowFirstColumn="0" w:lastRowLastColumn="0"/>
            </w:pPr>
            <w:r>
              <w:t>when the requirement is well defined, but the desired solution is not known or agreed, or there is no overarching preferred solution (where there is indifference to the solution)</w:t>
            </w:r>
          </w:p>
          <w:p w14:paraId="086028BB" w14:textId="2E6DD93B" w:rsidR="003324A3" w:rsidRPr="00387024" w:rsidRDefault="003324A3" w:rsidP="001D2615">
            <w:pPr>
              <w:pStyle w:val="Tablebullet"/>
              <w:ind w:left="376"/>
              <w:cnfStyle w:val="000000000000" w:firstRow="0" w:lastRow="0" w:firstColumn="0" w:lastColumn="0" w:oddVBand="0" w:evenVBand="0" w:oddHBand="0" w:evenHBand="0" w:firstRowFirstColumn="0" w:firstRowLastColumn="0" w:lastRowFirstColumn="0" w:lastRowLastColumn="0"/>
            </w:pPr>
            <w:r>
              <w:t>when looking for innovative and best</w:t>
            </w:r>
            <w:r w:rsidR="008A320A">
              <w:t>-</w:t>
            </w:r>
            <w:r>
              <w:t>value solutions to deliver objectives</w:t>
            </w:r>
          </w:p>
          <w:p w14:paraId="6C0737AB" w14:textId="46A9614A" w:rsidR="003324A3" w:rsidRPr="00387024" w:rsidRDefault="003324A3" w:rsidP="001D2615">
            <w:pPr>
              <w:pStyle w:val="Tablebullet"/>
              <w:ind w:left="376"/>
              <w:cnfStyle w:val="000000000000" w:firstRow="0" w:lastRow="0" w:firstColumn="0" w:lastColumn="0" w:oddVBand="0" w:evenVBand="0" w:oddHBand="0" w:evenHBand="0" w:firstRowFirstColumn="0" w:firstRowLastColumn="0" w:lastRowFirstColumn="0" w:lastRowLastColumn="0"/>
            </w:pPr>
            <w:r>
              <w:t>when it</w:t>
            </w:r>
            <w:r w:rsidR="00344D3F">
              <w:t>’</w:t>
            </w:r>
            <w:r>
              <w:t>s likely that suppliers will offer varied solutions to a defined problem.</w:t>
            </w:r>
          </w:p>
        </w:tc>
      </w:tr>
      <w:tr w:rsidR="003324A3" w:rsidRPr="00387024" w14:paraId="2B64EE9F" w14:textId="77777777" w:rsidTr="00410AF1">
        <w:trPr>
          <w:trHeight w:val="300"/>
        </w:trPr>
        <w:tc>
          <w:tcPr>
            <w:cnfStyle w:val="001000000000" w:firstRow="0" w:lastRow="0" w:firstColumn="1" w:lastColumn="0" w:oddVBand="0" w:evenVBand="0" w:oddHBand="0" w:evenHBand="0" w:firstRowFirstColumn="0" w:firstRowLastColumn="0" w:lastRowFirstColumn="0" w:lastRowLastColumn="0"/>
            <w:tcW w:w="1800" w:type="dxa"/>
          </w:tcPr>
          <w:p w14:paraId="5D66A787" w14:textId="77777777" w:rsidR="003324A3" w:rsidRPr="009A16B2" w:rsidRDefault="003324A3" w:rsidP="00A52A18">
            <w:pPr>
              <w:pStyle w:val="Tabletext"/>
              <w:rPr>
                <w:rFonts w:asciiTheme="majorHAnsi" w:hAnsiTheme="majorHAnsi"/>
              </w:rPr>
            </w:pPr>
            <w:r w:rsidRPr="009A16B2">
              <w:rPr>
                <w:rFonts w:asciiTheme="majorHAnsi" w:hAnsiTheme="majorHAnsi"/>
              </w:rPr>
              <w:t>Types of procurement models</w:t>
            </w:r>
          </w:p>
        </w:tc>
        <w:tc>
          <w:tcPr>
            <w:tcW w:w="3510" w:type="dxa"/>
          </w:tcPr>
          <w:p w14:paraId="4635D05E" w14:textId="77777777"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 xml:space="preserve">Traditional models, such as </w:t>
            </w:r>
            <w:r>
              <w:t>c</w:t>
            </w:r>
            <w:r w:rsidRPr="00387024">
              <w:t xml:space="preserve">onstruct </w:t>
            </w:r>
            <w:r>
              <w:t>o</w:t>
            </w:r>
            <w:r w:rsidRPr="00387024">
              <w:t>nly</w:t>
            </w:r>
          </w:p>
          <w:p w14:paraId="19877653" w14:textId="77777777"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Design and construct variants</w:t>
            </w:r>
          </w:p>
          <w:p w14:paraId="7CD30F43" w14:textId="77777777"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Managing contractor</w:t>
            </w:r>
          </w:p>
          <w:p w14:paraId="47FD779F" w14:textId="77777777"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 xml:space="preserve">Construction </w:t>
            </w:r>
            <w:r>
              <w:t>m</w:t>
            </w:r>
            <w:r w:rsidRPr="00387024">
              <w:t>anagement</w:t>
            </w:r>
          </w:p>
        </w:tc>
        <w:tc>
          <w:tcPr>
            <w:tcW w:w="3698" w:type="dxa"/>
          </w:tcPr>
          <w:p w14:paraId="61E2F962" w14:textId="77777777" w:rsidR="003324A3" w:rsidRPr="00177E31" w:rsidRDefault="003324A3" w:rsidP="00E614A1">
            <w:pPr>
              <w:pStyle w:val="Tabletext"/>
              <w:cnfStyle w:val="000000000000" w:firstRow="0" w:lastRow="0" w:firstColumn="0" w:lastColumn="0" w:oddVBand="0" w:evenVBand="0" w:oddHBand="0" w:evenHBand="0" w:firstRowFirstColumn="0" w:firstRowLastColumn="0" w:lastRowFirstColumn="0" w:lastRowLastColumn="0"/>
            </w:pPr>
            <w:r>
              <w:t>Privately financed models</w:t>
            </w:r>
          </w:p>
          <w:p w14:paraId="5B8610A6" w14:textId="77777777" w:rsidR="003324A3" w:rsidRPr="00177E31" w:rsidRDefault="003324A3" w:rsidP="00E614A1">
            <w:pPr>
              <w:pStyle w:val="Tabletext"/>
              <w:cnfStyle w:val="000000000000" w:firstRow="0" w:lastRow="0" w:firstColumn="0" w:lastColumn="0" w:oddVBand="0" w:evenVBand="0" w:oddHBand="0" w:evenHBand="0" w:firstRowFirstColumn="0" w:firstRowLastColumn="0" w:lastRowFirstColumn="0" w:lastRowLastColumn="0"/>
            </w:pPr>
            <w:r>
              <w:t>Design and construct variants</w:t>
            </w:r>
          </w:p>
          <w:p w14:paraId="4139874C" w14:textId="77777777" w:rsidR="003324A3" w:rsidRPr="00177E31" w:rsidRDefault="003324A3" w:rsidP="00E614A1">
            <w:pPr>
              <w:pStyle w:val="Tabletext"/>
              <w:cnfStyle w:val="000000000000" w:firstRow="0" w:lastRow="0" w:firstColumn="0" w:lastColumn="0" w:oddVBand="0" w:evenVBand="0" w:oddHBand="0" w:evenHBand="0" w:firstRowFirstColumn="0" w:firstRowLastColumn="0" w:lastRowFirstColumn="0" w:lastRowLastColumn="0"/>
            </w:pPr>
            <w:r>
              <w:t>Managing contractor</w:t>
            </w:r>
          </w:p>
          <w:p w14:paraId="57084407" w14:textId="6E49002F" w:rsidR="003324A3" w:rsidRPr="00177E31" w:rsidRDefault="003324A3" w:rsidP="00E614A1">
            <w:pPr>
              <w:pStyle w:val="Tabletext"/>
              <w:cnfStyle w:val="000000000000" w:firstRow="0" w:lastRow="0" w:firstColumn="0" w:lastColumn="0" w:oddVBand="0" w:evenVBand="0" w:oddHBand="0" w:evenHBand="0" w:firstRowFirstColumn="0" w:firstRowLastColumn="0" w:lastRowFirstColumn="0" w:lastRowLastColumn="0"/>
            </w:pPr>
            <w:r>
              <w:t>Alliances</w:t>
            </w:r>
          </w:p>
          <w:p w14:paraId="73269D14" w14:textId="77777777" w:rsidR="003324A3" w:rsidRPr="00387024" w:rsidRDefault="003324A3" w:rsidP="00E614A1">
            <w:pPr>
              <w:pStyle w:val="Tabletext"/>
              <w:cnfStyle w:val="000000000000" w:firstRow="0" w:lastRow="0" w:firstColumn="0" w:lastColumn="0" w:oddVBand="0" w:evenVBand="0" w:oddHBand="0" w:evenHBand="0" w:firstRowFirstColumn="0" w:firstRowLastColumn="0" w:lastRowFirstColumn="0" w:lastRowLastColumn="0"/>
            </w:pPr>
            <w:r>
              <w:t>Services contracts</w:t>
            </w:r>
          </w:p>
        </w:tc>
      </w:tr>
      <w:tr w:rsidR="003324A3" w:rsidRPr="00387024" w14:paraId="58E05D3D" w14:textId="77777777" w:rsidTr="00410AF1">
        <w:trPr>
          <w:trHeight w:val="300"/>
        </w:trPr>
        <w:tc>
          <w:tcPr>
            <w:cnfStyle w:val="001000000000" w:firstRow="0" w:lastRow="0" w:firstColumn="1" w:lastColumn="0" w:oddVBand="0" w:evenVBand="0" w:oddHBand="0" w:evenHBand="0" w:firstRowFirstColumn="0" w:firstRowLastColumn="0" w:lastRowFirstColumn="0" w:lastRowLastColumn="0"/>
            <w:tcW w:w="1800" w:type="dxa"/>
          </w:tcPr>
          <w:p w14:paraId="5A230208" w14:textId="77777777" w:rsidR="003324A3" w:rsidRPr="009A16B2" w:rsidRDefault="003324A3" w:rsidP="008B776F">
            <w:pPr>
              <w:pStyle w:val="Tabletext"/>
              <w:keepNext/>
              <w:rPr>
                <w:rFonts w:asciiTheme="majorHAnsi" w:hAnsiTheme="majorHAnsi"/>
              </w:rPr>
            </w:pPr>
            <w:r w:rsidRPr="009A16B2">
              <w:rPr>
                <w:rFonts w:asciiTheme="majorHAnsi" w:hAnsiTheme="majorHAnsi"/>
              </w:rPr>
              <w:t>Payment mechanisms</w:t>
            </w:r>
          </w:p>
        </w:tc>
        <w:tc>
          <w:tcPr>
            <w:tcW w:w="3510" w:type="dxa"/>
          </w:tcPr>
          <w:p w14:paraId="0C11D68F" w14:textId="77777777"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Payment upon completion of defined stages.</w:t>
            </w:r>
          </w:p>
          <w:p w14:paraId="2360E3C6" w14:textId="77777777"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Liquidated damages provisions and regimes where there is failure to achieve overarching deadlines.</w:t>
            </w:r>
          </w:p>
          <w:p w14:paraId="570EE2C4" w14:textId="77777777"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Any contract management requirements.</w:t>
            </w:r>
          </w:p>
        </w:tc>
        <w:tc>
          <w:tcPr>
            <w:tcW w:w="3698" w:type="dxa"/>
          </w:tcPr>
          <w:p w14:paraId="711E701D" w14:textId="77777777"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Payment mechanisms reflect achieving quality standards or abating payment when not fully achieved.</w:t>
            </w:r>
          </w:p>
          <w:p w14:paraId="37BFEC7E" w14:textId="77777777"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Incentives are in place to achieve desired functional standards.</w:t>
            </w:r>
          </w:p>
        </w:tc>
      </w:tr>
      <w:tr w:rsidR="003324A3" w:rsidRPr="00387024" w14:paraId="5CADFEFC" w14:textId="77777777" w:rsidTr="00410AF1">
        <w:trPr>
          <w:trHeight w:val="300"/>
        </w:trPr>
        <w:tc>
          <w:tcPr>
            <w:cnfStyle w:val="001000000000" w:firstRow="0" w:lastRow="0" w:firstColumn="1" w:lastColumn="0" w:oddVBand="0" w:evenVBand="0" w:oddHBand="0" w:evenHBand="0" w:firstRowFirstColumn="0" w:firstRowLastColumn="0" w:lastRowFirstColumn="0" w:lastRowLastColumn="0"/>
            <w:tcW w:w="1800" w:type="dxa"/>
          </w:tcPr>
          <w:p w14:paraId="3265C13B" w14:textId="77777777" w:rsidR="003324A3" w:rsidRPr="009A16B2" w:rsidRDefault="003324A3" w:rsidP="00A52A18">
            <w:pPr>
              <w:pStyle w:val="Tabletext"/>
              <w:rPr>
                <w:rFonts w:asciiTheme="majorHAnsi" w:hAnsiTheme="majorHAnsi"/>
              </w:rPr>
            </w:pPr>
            <w:r w:rsidRPr="009A16B2">
              <w:rPr>
                <w:rFonts w:asciiTheme="majorHAnsi" w:hAnsiTheme="majorHAnsi"/>
              </w:rPr>
              <w:t>Contractual and performance requirements</w:t>
            </w:r>
          </w:p>
        </w:tc>
        <w:tc>
          <w:tcPr>
            <w:tcW w:w="3510" w:type="dxa"/>
          </w:tcPr>
          <w:p w14:paraId="04B2C6A2" w14:textId="69A16685"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The successful tenderer is required to deliver an asset to the purchaser</w:t>
            </w:r>
            <w:r w:rsidR="00344D3F">
              <w:t>’</w:t>
            </w:r>
            <w:r w:rsidRPr="00387024">
              <w:t>s design, and the design specification will form part of the contract documentation. Performance is assessed against the capacity of the asset to meet the design specifications and strict delivery criteria, including architectural, engineering, environmental, ergonomic, aesthetic</w:t>
            </w:r>
            <w:r w:rsidR="00733BA3">
              <w:t>s,</w:t>
            </w:r>
            <w:r w:rsidRPr="00387024">
              <w:t xml:space="preserve"> safety and other elements.</w:t>
            </w:r>
          </w:p>
        </w:tc>
        <w:tc>
          <w:tcPr>
            <w:tcW w:w="3698" w:type="dxa"/>
          </w:tcPr>
          <w:p w14:paraId="597AF24B" w14:textId="77777777" w:rsidR="003324A3" w:rsidRPr="00387024" w:rsidRDefault="003324A3" w:rsidP="00A52A18">
            <w:pPr>
              <w:pStyle w:val="Tabletext"/>
              <w:cnfStyle w:val="000000000000" w:firstRow="0" w:lastRow="0" w:firstColumn="0" w:lastColumn="0" w:oddVBand="0" w:evenVBand="0" w:oddHBand="0" w:evenHBand="0" w:firstRowFirstColumn="0" w:firstRowLastColumn="0" w:lastRowFirstColumn="0" w:lastRowLastColumn="0"/>
            </w:pPr>
            <w:r w:rsidRPr="00387024">
              <w:t>The contractual requirements are defined by a set of performance measures</w:t>
            </w:r>
            <w:r>
              <w:t>.</w:t>
            </w:r>
          </w:p>
        </w:tc>
      </w:tr>
    </w:tbl>
    <w:p w14:paraId="1A1BFE4A" w14:textId="77777777" w:rsidR="003324A3" w:rsidRPr="00387024" w:rsidRDefault="003324A3" w:rsidP="00046BE4"/>
    <w:p w14:paraId="7EF77538" w14:textId="0FD97CC1" w:rsidR="00DF7E23" w:rsidRDefault="00DF7E23" w:rsidP="001D2615">
      <w:pPr>
        <w:pStyle w:val="Heading1"/>
        <w:numPr>
          <w:ilvl w:val="0"/>
          <w:numId w:val="10"/>
        </w:numPr>
        <w:sectPr w:rsidR="00DF7E23" w:rsidSect="00FA72F1">
          <w:headerReference w:type="default" r:id="rId260"/>
          <w:footerReference w:type="default" r:id="rId261"/>
          <w:pgSz w:w="11906" w:h="16838" w:code="9"/>
          <w:pgMar w:top="1872" w:right="1440" w:bottom="1440" w:left="1440" w:header="706" w:footer="461" w:gutter="0"/>
          <w:cols w:space="708"/>
          <w:docGrid w:linePitch="360"/>
        </w:sectPr>
      </w:pPr>
    </w:p>
    <w:p w14:paraId="19934417" w14:textId="7BA0A5DF" w:rsidR="003324A3" w:rsidRPr="00387024" w:rsidRDefault="009C1B68" w:rsidP="00F06070">
      <w:r>
        <w:rPr>
          <w:noProof/>
        </w:rPr>
        <mc:AlternateContent>
          <mc:Choice Requires="wpg">
            <w:drawing>
              <wp:anchor distT="0" distB="0" distL="114300" distR="114300" simplePos="0" relativeHeight="251658246" behindDoc="0" locked="0" layoutInCell="1" allowOverlap="1" wp14:anchorId="7E05CBFD" wp14:editId="6628B792">
                <wp:simplePos x="0" y="0"/>
                <wp:positionH relativeFrom="column">
                  <wp:posOffset>506628</wp:posOffset>
                </wp:positionH>
                <wp:positionV relativeFrom="paragraph">
                  <wp:posOffset>-171511</wp:posOffset>
                </wp:positionV>
                <wp:extent cx="6613152" cy="9484725"/>
                <wp:effectExtent l="0" t="0" r="0" b="0"/>
                <wp:wrapNone/>
                <wp:docPr id="537" name="Group 537"/>
                <wp:cNvGraphicFramePr/>
                <a:graphic xmlns:a="http://schemas.openxmlformats.org/drawingml/2006/main">
                  <a:graphicData uri="http://schemas.microsoft.com/office/word/2010/wordprocessingGroup">
                    <wpg:wgp>
                      <wpg:cNvGrpSpPr/>
                      <wpg:grpSpPr>
                        <a:xfrm>
                          <a:off x="0" y="0"/>
                          <a:ext cx="6613152" cy="9484725"/>
                          <a:chOff x="0" y="0"/>
                          <a:chExt cx="6613152" cy="9484725"/>
                        </a:xfrm>
                      </wpg:grpSpPr>
                      <wps:wsp>
                        <wps:cNvPr id="538" name="Freeform: Shape 538"/>
                        <wps:cNvSpPr/>
                        <wps:spPr>
                          <a:xfrm>
                            <a:off x="0" y="2280622"/>
                            <a:ext cx="2245360" cy="2404745"/>
                          </a:xfrm>
                          <a:custGeom>
                            <a:avLst/>
                            <a:gdLst>
                              <a:gd name="connsiteX0" fmla="*/ 845630 w 1691354"/>
                              <a:gd name="connsiteY0" fmla="*/ 1789081 h 1789080"/>
                              <a:gd name="connsiteX1" fmla="*/ 0 w 1691354"/>
                              <a:gd name="connsiteY1" fmla="*/ 0 h 1789080"/>
                              <a:gd name="connsiteX2" fmla="*/ 1691354 w 1691354"/>
                              <a:gd name="connsiteY2" fmla="*/ 0 h 1789080"/>
                              <a:gd name="connsiteX3" fmla="*/ 845630 w 1691354"/>
                              <a:gd name="connsiteY3" fmla="*/ 1789081 h 1789080"/>
                            </a:gdLst>
                            <a:ahLst/>
                            <a:cxnLst>
                              <a:cxn ang="0">
                                <a:pos x="connsiteX0" y="connsiteY0"/>
                              </a:cxn>
                              <a:cxn ang="0">
                                <a:pos x="connsiteX1" y="connsiteY1"/>
                              </a:cxn>
                              <a:cxn ang="0">
                                <a:pos x="connsiteX2" y="connsiteY2"/>
                              </a:cxn>
                              <a:cxn ang="0">
                                <a:pos x="connsiteX3" y="connsiteY3"/>
                              </a:cxn>
                            </a:cxnLst>
                            <a:rect l="l" t="t" r="r" b="b"/>
                            <a:pathLst>
                              <a:path w="1691354" h="1789080">
                                <a:moveTo>
                                  <a:pt x="845630" y="1789081"/>
                                </a:moveTo>
                                <a:lnTo>
                                  <a:pt x="0" y="0"/>
                                </a:lnTo>
                                <a:lnTo>
                                  <a:pt x="1691354" y="0"/>
                                </a:lnTo>
                                <a:lnTo>
                                  <a:pt x="845630" y="1789081"/>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 name="Freeform: Shape 539"/>
                        <wps:cNvSpPr/>
                        <wps:spPr>
                          <a:xfrm>
                            <a:off x="3367144" y="2280622"/>
                            <a:ext cx="2274570" cy="2406015"/>
                          </a:xfrm>
                          <a:custGeom>
                            <a:avLst/>
                            <a:gdLst>
                              <a:gd name="connsiteX0" fmla="*/ 856679 w 1713357"/>
                              <a:gd name="connsiteY0" fmla="*/ 0 h 1812321"/>
                              <a:gd name="connsiteX1" fmla="*/ 0 w 1713357"/>
                              <a:gd name="connsiteY1" fmla="*/ 1812322 h 1812321"/>
                              <a:gd name="connsiteX2" fmla="*/ 1713357 w 1713357"/>
                              <a:gd name="connsiteY2" fmla="*/ 1812322 h 1812321"/>
                              <a:gd name="connsiteX3" fmla="*/ 856679 w 1713357"/>
                              <a:gd name="connsiteY3" fmla="*/ 0 h 1812321"/>
                            </a:gdLst>
                            <a:ahLst/>
                            <a:cxnLst>
                              <a:cxn ang="0">
                                <a:pos x="connsiteX0" y="connsiteY0"/>
                              </a:cxn>
                              <a:cxn ang="0">
                                <a:pos x="connsiteX1" y="connsiteY1"/>
                              </a:cxn>
                              <a:cxn ang="0">
                                <a:pos x="connsiteX2" y="connsiteY2"/>
                              </a:cxn>
                              <a:cxn ang="0">
                                <a:pos x="connsiteX3" y="connsiteY3"/>
                              </a:cxn>
                            </a:cxnLst>
                            <a:rect l="l" t="t" r="r" b="b"/>
                            <a:pathLst>
                              <a:path w="1713357" h="1812321">
                                <a:moveTo>
                                  <a:pt x="856679" y="0"/>
                                </a:moveTo>
                                <a:lnTo>
                                  <a:pt x="0" y="1812322"/>
                                </a:lnTo>
                                <a:lnTo>
                                  <a:pt x="1713357" y="1812322"/>
                                </a:lnTo>
                                <a:lnTo>
                                  <a:pt x="856679"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0" name="Freeform: Shape 540"/>
                        <wps:cNvSpPr/>
                        <wps:spPr>
                          <a:xfrm>
                            <a:off x="2237591" y="7078532"/>
                            <a:ext cx="2274471" cy="2406193"/>
                          </a:xfrm>
                          <a:custGeom>
                            <a:avLst/>
                            <a:gdLst>
                              <a:gd name="connsiteX0" fmla="*/ 0 w 1713261"/>
                              <a:gd name="connsiteY0" fmla="*/ 0 h 1812226"/>
                              <a:gd name="connsiteX1" fmla="*/ 856583 w 1713261"/>
                              <a:gd name="connsiteY1" fmla="*/ 1812227 h 1812226"/>
                              <a:gd name="connsiteX2" fmla="*/ 1713262 w 1713261"/>
                              <a:gd name="connsiteY2" fmla="*/ 0 h 1812226"/>
                              <a:gd name="connsiteX3" fmla="*/ 0 w 1713261"/>
                              <a:gd name="connsiteY3" fmla="*/ 0 h 1812226"/>
                            </a:gdLst>
                            <a:ahLst/>
                            <a:cxnLst>
                              <a:cxn ang="0">
                                <a:pos x="connsiteX0" y="connsiteY0"/>
                              </a:cxn>
                              <a:cxn ang="0">
                                <a:pos x="connsiteX1" y="connsiteY1"/>
                              </a:cxn>
                              <a:cxn ang="0">
                                <a:pos x="connsiteX2" y="connsiteY2"/>
                              </a:cxn>
                              <a:cxn ang="0">
                                <a:pos x="connsiteX3" y="connsiteY3"/>
                              </a:cxn>
                            </a:cxnLst>
                            <a:rect l="l" t="t" r="r" b="b"/>
                            <a:pathLst>
                              <a:path w="1713261" h="1812226">
                                <a:moveTo>
                                  <a:pt x="0" y="0"/>
                                </a:moveTo>
                                <a:lnTo>
                                  <a:pt x="856583" y="1812227"/>
                                </a:lnTo>
                                <a:lnTo>
                                  <a:pt x="1713262"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41" name="Group 541"/>
                        <wpg:cNvGrpSpPr/>
                        <wpg:grpSpPr>
                          <a:xfrm rot="10800000">
                            <a:off x="4496697" y="0"/>
                            <a:ext cx="2116455" cy="2296795"/>
                            <a:chOff x="34669" y="0"/>
                            <a:chExt cx="1594731" cy="1730501"/>
                          </a:xfrm>
                          <a:solidFill>
                            <a:schemeClr val="accent2"/>
                          </a:solidFill>
                        </wpg:grpSpPr>
                        <wps:wsp>
                          <wps:cNvPr id="542" name="Freeform: Shape 542"/>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3" name="Freeform: Shape 543"/>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56" name="Freeform: Shape 1745945056"/>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57" name="Freeform: Shape 1745945057"/>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58" name="Freeform: Shape 1745945058"/>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60" name="Freeform: Shape 1745945060"/>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61" name="Freeform: Shape 1745945061"/>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62" name="Freeform: Shape 1745945062"/>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63" name="Freeform: Shape 1745945063"/>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64" name="Freeform: Shape 1745945064"/>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65" name="Freeform: Shape 1745945065"/>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66" name="Freeform: Shape 1745945066"/>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67" name="Freeform: Shape 1745945067"/>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68" name="Freeform: Shape 1745945068"/>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69" name="Freeform: Shape 1745945069"/>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70" name="Freeform: Shape 1745945070"/>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71" name="Freeform: Shape 1745945071"/>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72" name="Freeform: Shape 1745945072"/>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73" name="Freeform: Shape 1745945073"/>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74" name="Freeform: Shape 1745945074"/>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75" name="Freeform: Shape 1745945075"/>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76" name="Freeform: Shape 1745945076"/>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45945077" name="Group 1745945077"/>
                        <wpg:cNvGrpSpPr/>
                        <wpg:grpSpPr>
                          <a:xfrm>
                            <a:off x="1161826" y="4690335"/>
                            <a:ext cx="2221865" cy="2405380"/>
                            <a:chOff x="0" y="0"/>
                            <a:chExt cx="2222307" cy="2405724"/>
                          </a:xfrm>
                        </wpg:grpSpPr>
                        <wps:wsp>
                          <wps:cNvPr id="1745945078" name="Freeform: Shape 1745945078"/>
                          <wps:cNvSpPr/>
                          <wps:spPr>
                            <a:xfrm>
                              <a:off x="258992" y="0"/>
                              <a:ext cx="327775" cy="678515"/>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79" name="Freeform: Shape 1745945079"/>
                          <wps:cNvSpPr/>
                          <wps:spPr>
                            <a:xfrm>
                              <a:off x="311847" y="0"/>
                              <a:ext cx="378738" cy="78639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80" name="Freeform: Shape 1745945080"/>
                          <wps:cNvSpPr/>
                          <wps:spPr>
                            <a:xfrm>
                              <a:off x="364703" y="0"/>
                              <a:ext cx="429700" cy="894400"/>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81" name="Freeform: Shape 1745945081"/>
                          <wps:cNvSpPr/>
                          <wps:spPr>
                            <a:xfrm>
                              <a:off x="412273" y="0"/>
                              <a:ext cx="480663" cy="1002406"/>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82" name="Freeform: Shape 1745945082"/>
                          <wps:cNvSpPr/>
                          <wps:spPr>
                            <a:xfrm>
                              <a:off x="465128" y="0"/>
                              <a:ext cx="531751" cy="1110285"/>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83" name="Freeform: Shape 1745945083"/>
                          <wps:cNvSpPr/>
                          <wps:spPr>
                            <a:xfrm>
                              <a:off x="512698" y="0"/>
                              <a:ext cx="582840" cy="1218291"/>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84" name="Freeform: Shape 1745945084"/>
                          <wps:cNvSpPr/>
                          <wps:spPr>
                            <a:xfrm>
                              <a:off x="565554" y="0"/>
                              <a:ext cx="633801" cy="132617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85" name="Freeform: Shape 1745945085"/>
                          <wps:cNvSpPr/>
                          <wps:spPr>
                            <a:xfrm>
                              <a:off x="0" y="0"/>
                              <a:ext cx="72460" cy="138484"/>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86" name="Freeform: Shape 1745945086"/>
                          <wps:cNvSpPr/>
                          <wps:spPr>
                            <a:xfrm>
                              <a:off x="52855" y="0"/>
                              <a:ext cx="123548" cy="246491"/>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5945087" name="Freeform: Shape 1745945087"/>
                          <wps:cNvSpPr/>
                          <wps:spPr>
                            <a:xfrm>
                              <a:off x="105711" y="0"/>
                              <a:ext cx="174511" cy="35437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483567" name="Freeform: Shape 1094483567"/>
                          <wps:cNvSpPr/>
                          <wps:spPr>
                            <a:xfrm>
                              <a:off x="158566" y="0"/>
                              <a:ext cx="225599" cy="462375"/>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483576" name="Freeform: Shape 1094483576"/>
                          <wps:cNvSpPr/>
                          <wps:spPr>
                            <a:xfrm>
                              <a:off x="211422" y="0"/>
                              <a:ext cx="276560" cy="570382"/>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483577" name="Freeform: Shape 1094483577"/>
                          <wps:cNvSpPr/>
                          <wps:spPr>
                            <a:xfrm>
                              <a:off x="618409" y="0"/>
                              <a:ext cx="684891" cy="1434176"/>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483578" name="Freeform: Shape 1094483578"/>
                          <wps:cNvSpPr/>
                          <wps:spPr>
                            <a:xfrm>
                              <a:off x="671265" y="0"/>
                              <a:ext cx="735852" cy="1542056"/>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483579" name="Freeform: Shape 1094483579"/>
                          <wps:cNvSpPr/>
                          <wps:spPr>
                            <a:xfrm>
                              <a:off x="724120" y="0"/>
                              <a:ext cx="786941" cy="1650062"/>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483580" name="Freeform: Shape 1094483580"/>
                          <wps:cNvSpPr/>
                          <wps:spPr>
                            <a:xfrm>
                              <a:off x="771690" y="0"/>
                              <a:ext cx="837903" cy="1757942"/>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483581" name="Freeform: Shape 1094483581"/>
                          <wps:cNvSpPr/>
                          <wps:spPr>
                            <a:xfrm>
                              <a:off x="819260" y="0"/>
                              <a:ext cx="888992" cy="1865947"/>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483582" name="Freeform: Shape 1094483582"/>
                          <wps:cNvSpPr/>
                          <wps:spPr>
                            <a:xfrm>
                              <a:off x="872115" y="0"/>
                              <a:ext cx="939954" cy="1973954"/>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4483583" name="Freeform: Shape 1094483583"/>
                          <wps:cNvSpPr/>
                          <wps:spPr>
                            <a:xfrm>
                              <a:off x="924971" y="0"/>
                              <a:ext cx="991043" cy="2081833"/>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792" name="Freeform: Shape 616689792"/>
                          <wps:cNvSpPr/>
                          <wps:spPr>
                            <a:xfrm>
                              <a:off x="972541" y="0"/>
                              <a:ext cx="1042004" cy="2189838"/>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793" name="Freeform: Shape 616689793"/>
                          <wps:cNvSpPr/>
                          <wps:spPr>
                            <a:xfrm>
                              <a:off x="1025396" y="0"/>
                              <a:ext cx="1093094" cy="2297717"/>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794" name="Freeform: Shape 616689794"/>
                          <wps:cNvSpPr/>
                          <wps:spPr>
                            <a:xfrm>
                              <a:off x="1078252" y="0"/>
                              <a:ext cx="1144055" cy="2405724"/>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616689795" name="Group 616689795"/>
                        <wpg:cNvGrpSpPr/>
                        <wpg:grpSpPr>
                          <a:xfrm>
                            <a:off x="3420932" y="4690335"/>
                            <a:ext cx="2219325" cy="2405380"/>
                            <a:chOff x="34669" y="0"/>
                            <a:chExt cx="1672119" cy="1811845"/>
                          </a:xfrm>
                          <a:solidFill>
                            <a:schemeClr val="accent2"/>
                          </a:solidFill>
                        </wpg:grpSpPr>
                        <wps:wsp>
                          <wps:cNvPr id="616689796" name="Freeform: Shape 616689796"/>
                          <wps:cNvSpPr/>
                          <wps:spPr>
                            <a:xfrm>
                              <a:off x="190681" y="0"/>
                              <a:ext cx="208407" cy="429672"/>
                            </a:xfrm>
                            <a:custGeom>
                              <a:avLst/>
                              <a:gdLst>
                                <a:gd name="connsiteX0" fmla="*/ 197834 w 208407"/>
                                <a:gd name="connsiteY0" fmla="*/ 0 h 429672"/>
                                <a:gd name="connsiteX1" fmla="*/ 0 w 208407"/>
                                <a:gd name="connsiteY1" fmla="*/ 418529 h 429672"/>
                                <a:gd name="connsiteX2" fmla="*/ 5239 w 208407"/>
                                <a:gd name="connsiteY2" fmla="*/ 429673 h 429672"/>
                                <a:gd name="connsiteX3" fmla="*/ 208407 w 208407"/>
                                <a:gd name="connsiteY3" fmla="*/ 0 h 429672"/>
                                <a:gd name="connsiteX4" fmla="*/ 197834 w 208407"/>
                                <a:gd name="connsiteY4" fmla="*/ 0 h 4296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407" h="429672">
                                  <a:moveTo>
                                    <a:pt x="197834" y="0"/>
                                  </a:moveTo>
                                  <a:lnTo>
                                    <a:pt x="0" y="418529"/>
                                  </a:lnTo>
                                  <a:lnTo>
                                    <a:pt x="5239" y="429673"/>
                                  </a:lnTo>
                                  <a:lnTo>
                                    <a:pt x="208407" y="0"/>
                                  </a:lnTo>
                                  <a:lnTo>
                                    <a:pt x="197834"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797" name="Freeform: Shape 616689797"/>
                          <wps:cNvSpPr/>
                          <wps:spPr>
                            <a:xfrm>
                              <a:off x="229683" y="0"/>
                              <a:ext cx="246887" cy="511016"/>
                            </a:xfrm>
                            <a:custGeom>
                              <a:avLst/>
                              <a:gdLst>
                                <a:gd name="connsiteX0" fmla="*/ 236315 w 246887"/>
                                <a:gd name="connsiteY0" fmla="*/ 0 h 511016"/>
                                <a:gd name="connsiteX1" fmla="*/ 0 w 246887"/>
                                <a:gd name="connsiteY1" fmla="*/ 499872 h 511016"/>
                                <a:gd name="connsiteX2" fmla="*/ 5239 w 246887"/>
                                <a:gd name="connsiteY2" fmla="*/ 511016 h 511016"/>
                                <a:gd name="connsiteX3" fmla="*/ 246888 w 246887"/>
                                <a:gd name="connsiteY3" fmla="*/ 0 h 511016"/>
                                <a:gd name="connsiteX4" fmla="*/ 236315 w 246887"/>
                                <a:gd name="connsiteY4" fmla="*/ 0 h 5110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6887" h="511016">
                                  <a:moveTo>
                                    <a:pt x="236315" y="0"/>
                                  </a:moveTo>
                                  <a:lnTo>
                                    <a:pt x="0" y="499872"/>
                                  </a:lnTo>
                                  <a:lnTo>
                                    <a:pt x="5239" y="511016"/>
                                  </a:lnTo>
                                  <a:lnTo>
                                    <a:pt x="246888" y="0"/>
                                  </a:lnTo>
                                  <a:lnTo>
                                    <a:pt x="2363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798" name="Freeform: Shape 616689798"/>
                          <wps:cNvSpPr/>
                          <wps:spPr>
                            <a:xfrm>
                              <a:off x="268686" y="0"/>
                              <a:ext cx="285273" cy="592264"/>
                            </a:xfrm>
                            <a:custGeom>
                              <a:avLst/>
                              <a:gdLst>
                                <a:gd name="connsiteX0" fmla="*/ 274701 w 285273"/>
                                <a:gd name="connsiteY0" fmla="*/ 0 h 592264"/>
                                <a:gd name="connsiteX1" fmla="*/ 0 w 285273"/>
                                <a:gd name="connsiteY1" fmla="*/ 581120 h 592264"/>
                                <a:gd name="connsiteX2" fmla="*/ 5239 w 285273"/>
                                <a:gd name="connsiteY2" fmla="*/ 592264 h 592264"/>
                                <a:gd name="connsiteX3" fmla="*/ 285274 w 285273"/>
                                <a:gd name="connsiteY3" fmla="*/ 0 h 592264"/>
                                <a:gd name="connsiteX4" fmla="*/ 274701 w 285273"/>
                                <a:gd name="connsiteY4" fmla="*/ 0 h 5922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5273" h="592264">
                                  <a:moveTo>
                                    <a:pt x="274701" y="0"/>
                                  </a:moveTo>
                                  <a:lnTo>
                                    <a:pt x="0" y="581120"/>
                                  </a:lnTo>
                                  <a:lnTo>
                                    <a:pt x="5239" y="592264"/>
                                  </a:lnTo>
                                  <a:lnTo>
                                    <a:pt x="285274" y="0"/>
                                  </a:lnTo>
                                  <a:lnTo>
                                    <a:pt x="2747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799" name="Freeform: Shape 616689799"/>
                          <wps:cNvSpPr/>
                          <wps:spPr>
                            <a:xfrm>
                              <a:off x="307689" y="0"/>
                              <a:ext cx="323659" cy="673608"/>
                            </a:xfrm>
                            <a:custGeom>
                              <a:avLst/>
                              <a:gdLst>
                                <a:gd name="connsiteX0" fmla="*/ 313182 w 323659"/>
                                <a:gd name="connsiteY0" fmla="*/ 0 h 673608"/>
                                <a:gd name="connsiteX1" fmla="*/ 0 w 323659"/>
                                <a:gd name="connsiteY1" fmla="*/ 662464 h 673608"/>
                                <a:gd name="connsiteX2" fmla="*/ 5239 w 323659"/>
                                <a:gd name="connsiteY2" fmla="*/ 673608 h 673608"/>
                                <a:gd name="connsiteX3" fmla="*/ 323659 w 323659"/>
                                <a:gd name="connsiteY3" fmla="*/ 0 h 673608"/>
                                <a:gd name="connsiteX4" fmla="*/ 313182 w 323659"/>
                                <a:gd name="connsiteY4" fmla="*/ 0 h 673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3659" h="673608">
                                  <a:moveTo>
                                    <a:pt x="313182" y="0"/>
                                  </a:moveTo>
                                  <a:lnTo>
                                    <a:pt x="0" y="662464"/>
                                  </a:lnTo>
                                  <a:lnTo>
                                    <a:pt x="5239" y="673608"/>
                                  </a:lnTo>
                                  <a:lnTo>
                                    <a:pt x="323659" y="0"/>
                                  </a:lnTo>
                                  <a:lnTo>
                                    <a:pt x="3131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800" name="Freeform: Shape 616689800"/>
                          <wps:cNvSpPr/>
                          <wps:spPr>
                            <a:xfrm>
                              <a:off x="342358" y="0"/>
                              <a:ext cx="362045" cy="754951"/>
                            </a:xfrm>
                            <a:custGeom>
                              <a:avLst/>
                              <a:gdLst>
                                <a:gd name="connsiteX0" fmla="*/ 351568 w 362045"/>
                                <a:gd name="connsiteY0" fmla="*/ 0 h 754951"/>
                                <a:gd name="connsiteX1" fmla="*/ 0 w 362045"/>
                                <a:gd name="connsiteY1" fmla="*/ 743807 h 754951"/>
                                <a:gd name="connsiteX2" fmla="*/ 5239 w 362045"/>
                                <a:gd name="connsiteY2" fmla="*/ 754952 h 754951"/>
                                <a:gd name="connsiteX3" fmla="*/ 362045 w 362045"/>
                                <a:gd name="connsiteY3" fmla="*/ 0 h 754951"/>
                                <a:gd name="connsiteX4" fmla="*/ 351568 w 362045"/>
                                <a:gd name="connsiteY4" fmla="*/ 0 h 75495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2045" h="754951">
                                  <a:moveTo>
                                    <a:pt x="351568" y="0"/>
                                  </a:moveTo>
                                  <a:lnTo>
                                    <a:pt x="0" y="743807"/>
                                  </a:lnTo>
                                  <a:lnTo>
                                    <a:pt x="5239" y="754952"/>
                                  </a:lnTo>
                                  <a:lnTo>
                                    <a:pt x="362045" y="0"/>
                                  </a:lnTo>
                                  <a:lnTo>
                                    <a:pt x="3515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801" name="Freeform: Shape 616689801"/>
                          <wps:cNvSpPr/>
                          <wps:spPr>
                            <a:xfrm>
                              <a:off x="381361" y="0"/>
                              <a:ext cx="400526" cy="836199"/>
                            </a:xfrm>
                            <a:custGeom>
                              <a:avLst/>
                              <a:gdLst>
                                <a:gd name="connsiteX0" fmla="*/ 390049 w 400526"/>
                                <a:gd name="connsiteY0" fmla="*/ 0 h 836199"/>
                                <a:gd name="connsiteX1" fmla="*/ 0 w 400526"/>
                                <a:gd name="connsiteY1" fmla="*/ 825055 h 836199"/>
                                <a:gd name="connsiteX2" fmla="*/ 5239 w 400526"/>
                                <a:gd name="connsiteY2" fmla="*/ 836200 h 836199"/>
                                <a:gd name="connsiteX3" fmla="*/ 400526 w 400526"/>
                                <a:gd name="connsiteY3" fmla="*/ 0 h 836199"/>
                                <a:gd name="connsiteX4" fmla="*/ 390049 w 400526"/>
                                <a:gd name="connsiteY4" fmla="*/ 0 h 836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526" h="836199">
                                  <a:moveTo>
                                    <a:pt x="390049" y="0"/>
                                  </a:moveTo>
                                  <a:lnTo>
                                    <a:pt x="0" y="825055"/>
                                  </a:lnTo>
                                  <a:lnTo>
                                    <a:pt x="5239" y="836200"/>
                                  </a:lnTo>
                                  <a:lnTo>
                                    <a:pt x="400526" y="0"/>
                                  </a:lnTo>
                                  <a:lnTo>
                                    <a:pt x="39004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802" name="Freeform: Shape 616689802"/>
                          <wps:cNvSpPr/>
                          <wps:spPr>
                            <a:xfrm>
                              <a:off x="420364" y="0"/>
                              <a:ext cx="439007" cy="917543"/>
                            </a:xfrm>
                            <a:custGeom>
                              <a:avLst/>
                              <a:gdLst>
                                <a:gd name="connsiteX0" fmla="*/ 428530 w 439007"/>
                                <a:gd name="connsiteY0" fmla="*/ 0 h 917543"/>
                                <a:gd name="connsiteX1" fmla="*/ 0 w 439007"/>
                                <a:gd name="connsiteY1" fmla="*/ 906399 h 917543"/>
                                <a:gd name="connsiteX2" fmla="*/ 5334 w 439007"/>
                                <a:gd name="connsiteY2" fmla="*/ 917543 h 917543"/>
                                <a:gd name="connsiteX3" fmla="*/ 439008 w 439007"/>
                                <a:gd name="connsiteY3" fmla="*/ 0 h 917543"/>
                                <a:gd name="connsiteX4" fmla="*/ 428530 w 439007"/>
                                <a:gd name="connsiteY4" fmla="*/ 0 h 9175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39007" h="917543">
                                  <a:moveTo>
                                    <a:pt x="428530" y="0"/>
                                  </a:moveTo>
                                  <a:lnTo>
                                    <a:pt x="0" y="906399"/>
                                  </a:lnTo>
                                  <a:lnTo>
                                    <a:pt x="5334" y="917543"/>
                                  </a:lnTo>
                                  <a:lnTo>
                                    <a:pt x="439008" y="0"/>
                                  </a:lnTo>
                                  <a:lnTo>
                                    <a:pt x="42853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803" name="Freeform: Shape 616689803"/>
                          <wps:cNvSpPr/>
                          <wps:spPr>
                            <a:xfrm>
                              <a:off x="459367" y="0"/>
                              <a:ext cx="477392" cy="998791"/>
                            </a:xfrm>
                            <a:custGeom>
                              <a:avLst/>
                              <a:gdLst>
                                <a:gd name="connsiteX0" fmla="*/ 466915 w 477392"/>
                                <a:gd name="connsiteY0" fmla="*/ 0 h 998791"/>
                                <a:gd name="connsiteX1" fmla="*/ 0 w 477392"/>
                                <a:gd name="connsiteY1" fmla="*/ 987647 h 998791"/>
                                <a:gd name="connsiteX2" fmla="*/ 5239 w 477392"/>
                                <a:gd name="connsiteY2" fmla="*/ 998791 h 998791"/>
                                <a:gd name="connsiteX3" fmla="*/ 477393 w 477392"/>
                                <a:gd name="connsiteY3" fmla="*/ 0 h 998791"/>
                                <a:gd name="connsiteX4" fmla="*/ 466915 w 477392"/>
                                <a:gd name="connsiteY4" fmla="*/ 0 h 9987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7392" h="998791">
                                  <a:moveTo>
                                    <a:pt x="466915" y="0"/>
                                  </a:moveTo>
                                  <a:lnTo>
                                    <a:pt x="0" y="987647"/>
                                  </a:lnTo>
                                  <a:lnTo>
                                    <a:pt x="5239" y="998791"/>
                                  </a:lnTo>
                                  <a:lnTo>
                                    <a:pt x="477393" y="0"/>
                                  </a:lnTo>
                                  <a:lnTo>
                                    <a:pt x="46691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804" name="Freeform: Shape 616689804"/>
                          <wps:cNvSpPr/>
                          <wps:spPr>
                            <a:xfrm>
                              <a:off x="34669" y="0"/>
                              <a:ext cx="54578" cy="104298"/>
                            </a:xfrm>
                            <a:custGeom>
                              <a:avLst/>
                              <a:gdLst>
                                <a:gd name="connsiteX0" fmla="*/ 44101 w 54578"/>
                                <a:gd name="connsiteY0" fmla="*/ 0 h 104298"/>
                                <a:gd name="connsiteX1" fmla="*/ 0 w 54578"/>
                                <a:gd name="connsiteY1" fmla="*/ 93154 h 104298"/>
                                <a:gd name="connsiteX2" fmla="*/ 5239 w 54578"/>
                                <a:gd name="connsiteY2" fmla="*/ 104299 h 104298"/>
                                <a:gd name="connsiteX3" fmla="*/ 54578 w 54578"/>
                                <a:gd name="connsiteY3" fmla="*/ 0 h 104298"/>
                                <a:gd name="connsiteX4" fmla="*/ 44101 w 54578"/>
                                <a:gd name="connsiteY4" fmla="*/ 0 h 10429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78" h="104298">
                                  <a:moveTo>
                                    <a:pt x="44101" y="0"/>
                                  </a:moveTo>
                                  <a:lnTo>
                                    <a:pt x="0" y="93154"/>
                                  </a:lnTo>
                                  <a:lnTo>
                                    <a:pt x="5239" y="104299"/>
                                  </a:lnTo>
                                  <a:lnTo>
                                    <a:pt x="54578" y="0"/>
                                  </a:lnTo>
                                  <a:lnTo>
                                    <a:pt x="4410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805" name="Freeform: Shape 616689805"/>
                          <wps:cNvSpPr/>
                          <wps:spPr>
                            <a:xfrm>
                              <a:off x="73672" y="0"/>
                              <a:ext cx="93059" cy="185642"/>
                            </a:xfrm>
                            <a:custGeom>
                              <a:avLst/>
                              <a:gdLst>
                                <a:gd name="connsiteX0" fmla="*/ 82487 w 93059"/>
                                <a:gd name="connsiteY0" fmla="*/ 0 h 185642"/>
                                <a:gd name="connsiteX1" fmla="*/ 0 w 93059"/>
                                <a:gd name="connsiteY1" fmla="*/ 174498 h 185642"/>
                                <a:gd name="connsiteX2" fmla="*/ 5334 w 93059"/>
                                <a:gd name="connsiteY2" fmla="*/ 185642 h 185642"/>
                                <a:gd name="connsiteX3" fmla="*/ 93059 w 93059"/>
                                <a:gd name="connsiteY3" fmla="*/ 0 h 185642"/>
                                <a:gd name="connsiteX4" fmla="*/ 82487 w 93059"/>
                                <a:gd name="connsiteY4" fmla="*/ 0 h 1856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059" h="185642">
                                  <a:moveTo>
                                    <a:pt x="82487" y="0"/>
                                  </a:moveTo>
                                  <a:lnTo>
                                    <a:pt x="0" y="174498"/>
                                  </a:lnTo>
                                  <a:lnTo>
                                    <a:pt x="5334" y="185642"/>
                                  </a:lnTo>
                                  <a:lnTo>
                                    <a:pt x="93059" y="0"/>
                                  </a:lnTo>
                                  <a:lnTo>
                                    <a:pt x="824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806" name="Freeform: Shape 616689806"/>
                          <wps:cNvSpPr/>
                          <wps:spPr>
                            <a:xfrm>
                              <a:off x="112675" y="0"/>
                              <a:ext cx="131445" cy="266890"/>
                            </a:xfrm>
                            <a:custGeom>
                              <a:avLst/>
                              <a:gdLst>
                                <a:gd name="connsiteX0" fmla="*/ 120872 w 131445"/>
                                <a:gd name="connsiteY0" fmla="*/ 0 h 266890"/>
                                <a:gd name="connsiteX1" fmla="*/ 0 w 131445"/>
                                <a:gd name="connsiteY1" fmla="*/ 255746 h 266890"/>
                                <a:gd name="connsiteX2" fmla="*/ 5239 w 131445"/>
                                <a:gd name="connsiteY2" fmla="*/ 266890 h 266890"/>
                                <a:gd name="connsiteX3" fmla="*/ 131445 w 131445"/>
                                <a:gd name="connsiteY3" fmla="*/ 0 h 266890"/>
                                <a:gd name="connsiteX4" fmla="*/ 120872 w 131445"/>
                                <a:gd name="connsiteY4" fmla="*/ 0 h 26689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445" h="266890">
                                  <a:moveTo>
                                    <a:pt x="120872" y="0"/>
                                  </a:moveTo>
                                  <a:lnTo>
                                    <a:pt x="0" y="255746"/>
                                  </a:lnTo>
                                  <a:lnTo>
                                    <a:pt x="5239" y="266890"/>
                                  </a:lnTo>
                                  <a:lnTo>
                                    <a:pt x="131445" y="0"/>
                                  </a:lnTo>
                                  <a:lnTo>
                                    <a:pt x="12087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6689807" name="Freeform: Shape 616689807"/>
                          <wps:cNvSpPr/>
                          <wps:spPr>
                            <a:xfrm>
                              <a:off x="151678" y="0"/>
                              <a:ext cx="169926" cy="348233"/>
                            </a:xfrm>
                            <a:custGeom>
                              <a:avLst/>
                              <a:gdLst>
                                <a:gd name="connsiteX0" fmla="*/ 159353 w 169926"/>
                                <a:gd name="connsiteY0" fmla="*/ 0 h 348233"/>
                                <a:gd name="connsiteX1" fmla="*/ 0 w 169926"/>
                                <a:gd name="connsiteY1" fmla="*/ 337090 h 348233"/>
                                <a:gd name="connsiteX2" fmla="*/ 5334 w 169926"/>
                                <a:gd name="connsiteY2" fmla="*/ 348234 h 348233"/>
                                <a:gd name="connsiteX3" fmla="*/ 169926 w 169926"/>
                                <a:gd name="connsiteY3" fmla="*/ 0 h 348233"/>
                                <a:gd name="connsiteX4" fmla="*/ 159353 w 169926"/>
                                <a:gd name="connsiteY4" fmla="*/ 0 h 34823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9926" h="348233">
                                  <a:moveTo>
                                    <a:pt x="159353" y="0"/>
                                  </a:moveTo>
                                  <a:lnTo>
                                    <a:pt x="0" y="337090"/>
                                  </a:lnTo>
                                  <a:lnTo>
                                    <a:pt x="5334" y="348234"/>
                                  </a:lnTo>
                                  <a:lnTo>
                                    <a:pt x="169926" y="0"/>
                                  </a:lnTo>
                                  <a:lnTo>
                                    <a:pt x="159353"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825824" name="Freeform: Shape 2003825824"/>
                          <wps:cNvSpPr/>
                          <wps:spPr>
                            <a:xfrm>
                              <a:off x="190681" y="0"/>
                              <a:ext cx="208311" cy="429577"/>
                            </a:xfrm>
                            <a:custGeom>
                              <a:avLst/>
                              <a:gdLst>
                                <a:gd name="connsiteX0" fmla="*/ 197739 w 208311"/>
                                <a:gd name="connsiteY0" fmla="*/ 0 h 429577"/>
                                <a:gd name="connsiteX1" fmla="*/ 0 w 208311"/>
                                <a:gd name="connsiteY1" fmla="*/ 418338 h 429577"/>
                                <a:gd name="connsiteX2" fmla="*/ 5239 w 208311"/>
                                <a:gd name="connsiteY2" fmla="*/ 429578 h 429577"/>
                                <a:gd name="connsiteX3" fmla="*/ 208312 w 208311"/>
                                <a:gd name="connsiteY3" fmla="*/ 0 h 429577"/>
                                <a:gd name="connsiteX4" fmla="*/ 197739 w 208311"/>
                                <a:gd name="connsiteY4" fmla="*/ 0 h 4295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311" h="429577">
                                  <a:moveTo>
                                    <a:pt x="197739" y="0"/>
                                  </a:moveTo>
                                  <a:lnTo>
                                    <a:pt x="0" y="418338"/>
                                  </a:lnTo>
                                  <a:lnTo>
                                    <a:pt x="5239" y="429578"/>
                                  </a:lnTo>
                                  <a:lnTo>
                                    <a:pt x="208312" y="0"/>
                                  </a:lnTo>
                                  <a:lnTo>
                                    <a:pt x="197739"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825825" name="Freeform: Shape 2003825825"/>
                          <wps:cNvSpPr/>
                          <wps:spPr>
                            <a:xfrm>
                              <a:off x="498370" y="0"/>
                              <a:ext cx="515874" cy="1080134"/>
                            </a:xfrm>
                            <a:custGeom>
                              <a:avLst/>
                              <a:gdLst>
                                <a:gd name="connsiteX0" fmla="*/ 505396 w 515874"/>
                                <a:gd name="connsiteY0" fmla="*/ 0 h 1080134"/>
                                <a:gd name="connsiteX1" fmla="*/ 0 w 515874"/>
                                <a:gd name="connsiteY1" fmla="*/ 1068991 h 1080134"/>
                                <a:gd name="connsiteX2" fmla="*/ 5334 w 515874"/>
                                <a:gd name="connsiteY2" fmla="*/ 1080135 h 1080134"/>
                                <a:gd name="connsiteX3" fmla="*/ 515874 w 515874"/>
                                <a:gd name="connsiteY3" fmla="*/ 0 h 1080134"/>
                                <a:gd name="connsiteX4" fmla="*/ 505396 w 515874"/>
                                <a:gd name="connsiteY4" fmla="*/ 0 h 10801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15874" h="1080134">
                                  <a:moveTo>
                                    <a:pt x="505396" y="0"/>
                                  </a:moveTo>
                                  <a:lnTo>
                                    <a:pt x="0" y="1068991"/>
                                  </a:lnTo>
                                  <a:lnTo>
                                    <a:pt x="5334" y="1080135"/>
                                  </a:lnTo>
                                  <a:lnTo>
                                    <a:pt x="515874" y="0"/>
                                  </a:lnTo>
                                  <a:lnTo>
                                    <a:pt x="505396"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825826" name="Freeform: Shape 2003825826"/>
                          <wps:cNvSpPr/>
                          <wps:spPr>
                            <a:xfrm>
                              <a:off x="537373" y="0"/>
                              <a:ext cx="554259" cy="1161383"/>
                            </a:xfrm>
                            <a:custGeom>
                              <a:avLst/>
                              <a:gdLst>
                                <a:gd name="connsiteX0" fmla="*/ 543782 w 554259"/>
                                <a:gd name="connsiteY0" fmla="*/ 0 h 1161383"/>
                                <a:gd name="connsiteX1" fmla="*/ 0 w 554259"/>
                                <a:gd name="connsiteY1" fmla="*/ 1150239 h 1161383"/>
                                <a:gd name="connsiteX2" fmla="*/ 5239 w 554259"/>
                                <a:gd name="connsiteY2" fmla="*/ 1161383 h 1161383"/>
                                <a:gd name="connsiteX3" fmla="*/ 554260 w 554259"/>
                                <a:gd name="connsiteY3" fmla="*/ 0 h 1161383"/>
                                <a:gd name="connsiteX4" fmla="*/ 543782 w 554259"/>
                                <a:gd name="connsiteY4" fmla="*/ 0 h 1161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4259" h="1161383">
                                  <a:moveTo>
                                    <a:pt x="543782" y="0"/>
                                  </a:moveTo>
                                  <a:lnTo>
                                    <a:pt x="0" y="1150239"/>
                                  </a:lnTo>
                                  <a:lnTo>
                                    <a:pt x="5239" y="1161383"/>
                                  </a:lnTo>
                                  <a:lnTo>
                                    <a:pt x="554260" y="0"/>
                                  </a:lnTo>
                                  <a:lnTo>
                                    <a:pt x="54378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825827" name="Freeform: Shape 2003825827"/>
                          <wps:cNvSpPr/>
                          <wps:spPr>
                            <a:xfrm>
                              <a:off x="576375" y="0"/>
                              <a:ext cx="592740" cy="1242726"/>
                            </a:xfrm>
                            <a:custGeom>
                              <a:avLst/>
                              <a:gdLst>
                                <a:gd name="connsiteX0" fmla="*/ 582168 w 592740"/>
                                <a:gd name="connsiteY0" fmla="*/ 0 h 1242726"/>
                                <a:gd name="connsiteX1" fmla="*/ 0 w 592740"/>
                                <a:gd name="connsiteY1" fmla="*/ 1231582 h 1242726"/>
                                <a:gd name="connsiteX2" fmla="*/ 5334 w 592740"/>
                                <a:gd name="connsiteY2" fmla="*/ 1242727 h 1242726"/>
                                <a:gd name="connsiteX3" fmla="*/ 592741 w 592740"/>
                                <a:gd name="connsiteY3" fmla="*/ 0 h 1242726"/>
                                <a:gd name="connsiteX4" fmla="*/ 582168 w 592740"/>
                                <a:gd name="connsiteY4" fmla="*/ 0 h 124272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740" h="1242726">
                                  <a:moveTo>
                                    <a:pt x="582168" y="0"/>
                                  </a:moveTo>
                                  <a:lnTo>
                                    <a:pt x="0" y="1231582"/>
                                  </a:lnTo>
                                  <a:lnTo>
                                    <a:pt x="5334" y="1242727"/>
                                  </a:lnTo>
                                  <a:lnTo>
                                    <a:pt x="592741" y="0"/>
                                  </a:lnTo>
                                  <a:lnTo>
                                    <a:pt x="5821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825828" name="Freeform: Shape 2003825828"/>
                          <wps:cNvSpPr/>
                          <wps:spPr>
                            <a:xfrm>
                              <a:off x="615378" y="0"/>
                              <a:ext cx="631126" cy="1323975"/>
                            </a:xfrm>
                            <a:custGeom>
                              <a:avLst/>
                              <a:gdLst>
                                <a:gd name="connsiteX0" fmla="*/ 620554 w 631126"/>
                                <a:gd name="connsiteY0" fmla="*/ 0 h 1323975"/>
                                <a:gd name="connsiteX1" fmla="*/ 0 w 631126"/>
                                <a:gd name="connsiteY1" fmla="*/ 1312831 h 1323975"/>
                                <a:gd name="connsiteX2" fmla="*/ 5239 w 631126"/>
                                <a:gd name="connsiteY2" fmla="*/ 1323975 h 1323975"/>
                                <a:gd name="connsiteX3" fmla="*/ 631126 w 631126"/>
                                <a:gd name="connsiteY3" fmla="*/ 0 h 1323975"/>
                                <a:gd name="connsiteX4" fmla="*/ 620554 w 631126"/>
                                <a:gd name="connsiteY4" fmla="*/ 0 h 1323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1126" h="1323975">
                                  <a:moveTo>
                                    <a:pt x="620554" y="0"/>
                                  </a:moveTo>
                                  <a:lnTo>
                                    <a:pt x="0" y="1312831"/>
                                  </a:lnTo>
                                  <a:lnTo>
                                    <a:pt x="5239" y="1323975"/>
                                  </a:lnTo>
                                  <a:lnTo>
                                    <a:pt x="631126" y="0"/>
                                  </a:lnTo>
                                  <a:lnTo>
                                    <a:pt x="6205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825829" name="Freeform: Shape 2003825829"/>
                          <wps:cNvSpPr/>
                          <wps:spPr>
                            <a:xfrm>
                              <a:off x="650047" y="0"/>
                              <a:ext cx="669607" cy="1405318"/>
                            </a:xfrm>
                            <a:custGeom>
                              <a:avLst/>
                              <a:gdLst>
                                <a:gd name="connsiteX0" fmla="*/ 659035 w 669607"/>
                                <a:gd name="connsiteY0" fmla="*/ 0 h 1405318"/>
                                <a:gd name="connsiteX1" fmla="*/ 0 w 669607"/>
                                <a:gd name="connsiteY1" fmla="*/ 1394174 h 1405318"/>
                                <a:gd name="connsiteX2" fmla="*/ 5334 w 669607"/>
                                <a:gd name="connsiteY2" fmla="*/ 1405318 h 1405318"/>
                                <a:gd name="connsiteX3" fmla="*/ 669607 w 669607"/>
                                <a:gd name="connsiteY3" fmla="*/ 0 h 1405318"/>
                                <a:gd name="connsiteX4" fmla="*/ 659035 w 669607"/>
                                <a:gd name="connsiteY4" fmla="*/ 0 h 14053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9607" h="1405318">
                                  <a:moveTo>
                                    <a:pt x="659035" y="0"/>
                                  </a:moveTo>
                                  <a:lnTo>
                                    <a:pt x="0" y="1394174"/>
                                  </a:lnTo>
                                  <a:lnTo>
                                    <a:pt x="5334" y="1405318"/>
                                  </a:lnTo>
                                  <a:lnTo>
                                    <a:pt x="669607" y="0"/>
                                  </a:lnTo>
                                  <a:lnTo>
                                    <a:pt x="659035"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825830" name="Freeform: Shape 2003825830"/>
                          <wps:cNvSpPr/>
                          <wps:spPr>
                            <a:xfrm>
                              <a:off x="689050" y="0"/>
                              <a:ext cx="707993" cy="1486662"/>
                            </a:xfrm>
                            <a:custGeom>
                              <a:avLst/>
                              <a:gdLst>
                                <a:gd name="connsiteX0" fmla="*/ 697421 w 707993"/>
                                <a:gd name="connsiteY0" fmla="*/ 0 h 1486662"/>
                                <a:gd name="connsiteX1" fmla="*/ 0 w 707993"/>
                                <a:gd name="connsiteY1" fmla="*/ 1475518 h 1486662"/>
                                <a:gd name="connsiteX2" fmla="*/ 5239 w 707993"/>
                                <a:gd name="connsiteY2" fmla="*/ 1486662 h 1486662"/>
                                <a:gd name="connsiteX3" fmla="*/ 707993 w 707993"/>
                                <a:gd name="connsiteY3" fmla="*/ 0 h 1486662"/>
                                <a:gd name="connsiteX4" fmla="*/ 697421 w 707993"/>
                                <a:gd name="connsiteY4" fmla="*/ 0 h 14866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7993" h="1486662">
                                  <a:moveTo>
                                    <a:pt x="697421" y="0"/>
                                  </a:moveTo>
                                  <a:lnTo>
                                    <a:pt x="0" y="1475518"/>
                                  </a:lnTo>
                                  <a:lnTo>
                                    <a:pt x="5239" y="1486662"/>
                                  </a:lnTo>
                                  <a:lnTo>
                                    <a:pt x="707993" y="0"/>
                                  </a:lnTo>
                                  <a:lnTo>
                                    <a:pt x="697421"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825831" name="Freeform: Shape 2003825831"/>
                          <wps:cNvSpPr/>
                          <wps:spPr>
                            <a:xfrm>
                              <a:off x="728053" y="0"/>
                              <a:ext cx="746474" cy="1567910"/>
                            </a:xfrm>
                            <a:custGeom>
                              <a:avLst/>
                              <a:gdLst>
                                <a:gd name="connsiteX0" fmla="*/ 735902 w 746474"/>
                                <a:gd name="connsiteY0" fmla="*/ 0 h 1567910"/>
                                <a:gd name="connsiteX1" fmla="*/ 0 w 746474"/>
                                <a:gd name="connsiteY1" fmla="*/ 1556766 h 1567910"/>
                                <a:gd name="connsiteX2" fmla="*/ 5334 w 746474"/>
                                <a:gd name="connsiteY2" fmla="*/ 1567910 h 1567910"/>
                                <a:gd name="connsiteX3" fmla="*/ 746475 w 746474"/>
                                <a:gd name="connsiteY3" fmla="*/ 0 h 1567910"/>
                                <a:gd name="connsiteX4" fmla="*/ 735902 w 746474"/>
                                <a:gd name="connsiteY4" fmla="*/ 0 h 15679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46474" h="1567910">
                                  <a:moveTo>
                                    <a:pt x="735902" y="0"/>
                                  </a:moveTo>
                                  <a:lnTo>
                                    <a:pt x="0" y="1556766"/>
                                  </a:lnTo>
                                  <a:lnTo>
                                    <a:pt x="5334" y="1567910"/>
                                  </a:lnTo>
                                  <a:lnTo>
                                    <a:pt x="746475" y="0"/>
                                  </a:lnTo>
                                  <a:lnTo>
                                    <a:pt x="735902"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825832" name="Freeform: Shape 2003825832"/>
                          <wps:cNvSpPr/>
                          <wps:spPr>
                            <a:xfrm>
                              <a:off x="767056" y="0"/>
                              <a:ext cx="784859" cy="1649253"/>
                            </a:xfrm>
                            <a:custGeom>
                              <a:avLst/>
                              <a:gdLst>
                                <a:gd name="connsiteX0" fmla="*/ 774287 w 784859"/>
                                <a:gd name="connsiteY0" fmla="*/ 0 h 1649253"/>
                                <a:gd name="connsiteX1" fmla="*/ 0 w 784859"/>
                                <a:gd name="connsiteY1" fmla="*/ 1638109 h 1649253"/>
                                <a:gd name="connsiteX2" fmla="*/ 5239 w 784859"/>
                                <a:gd name="connsiteY2" fmla="*/ 1649254 h 1649253"/>
                                <a:gd name="connsiteX3" fmla="*/ 784860 w 784859"/>
                                <a:gd name="connsiteY3" fmla="*/ 0 h 1649253"/>
                                <a:gd name="connsiteX4" fmla="*/ 774287 w 784859"/>
                                <a:gd name="connsiteY4" fmla="*/ 0 h 16492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4859" h="1649253">
                                  <a:moveTo>
                                    <a:pt x="774287" y="0"/>
                                  </a:moveTo>
                                  <a:lnTo>
                                    <a:pt x="0" y="1638109"/>
                                  </a:lnTo>
                                  <a:lnTo>
                                    <a:pt x="5239" y="1649254"/>
                                  </a:lnTo>
                                  <a:lnTo>
                                    <a:pt x="784860" y="0"/>
                                  </a:lnTo>
                                  <a:lnTo>
                                    <a:pt x="774287"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825833" name="Freeform: Shape 2003825833"/>
                          <wps:cNvSpPr/>
                          <wps:spPr>
                            <a:xfrm>
                              <a:off x="806059" y="0"/>
                              <a:ext cx="823341" cy="1730501"/>
                            </a:xfrm>
                            <a:custGeom>
                              <a:avLst/>
                              <a:gdLst>
                                <a:gd name="connsiteX0" fmla="*/ 812768 w 823341"/>
                                <a:gd name="connsiteY0" fmla="*/ 0 h 1730501"/>
                                <a:gd name="connsiteX1" fmla="*/ 0 w 823341"/>
                                <a:gd name="connsiteY1" fmla="*/ 1719358 h 1730501"/>
                                <a:gd name="connsiteX2" fmla="*/ 5239 w 823341"/>
                                <a:gd name="connsiteY2" fmla="*/ 1730502 h 1730501"/>
                                <a:gd name="connsiteX3" fmla="*/ 823341 w 823341"/>
                                <a:gd name="connsiteY3" fmla="*/ 0 h 1730501"/>
                                <a:gd name="connsiteX4" fmla="*/ 812768 w 823341"/>
                                <a:gd name="connsiteY4" fmla="*/ 0 h 17305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3341" h="1730501">
                                  <a:moveTo>
                                    <a:pt x="812768" y="0"/>
                                  </a:moveTo>
                                  <a:lnTo>
                                    <a:pt x="0" y="1719358"/>
                                  </a:lnTo>
                                  <a:lnTo>
                                    <a:pt x="5239" y="1730502"/>
                                  </a:lnTo>
                                  <a:lnTo>
                                    <a:pt x="823341" y="0"/>
                                  </a:lnTo>
                                  <a:lnTo>
                                    <a:pt x="812768"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825834" name="Freeform: Shape 2003825834"/>
                          <wps:cNvSpPr/>
                          <wps:spPr>
                            <a:xfrm>
                              <a:off x="845062" y="0"/>
                              <a:ext cx="861726" cy="1811845"/>
                            </a:xfrm>
                            <a:custGeom>
                              <a:avLst/>
                              <a:gdLst>
                                <a:gd name="connsiteX0" fmla="*/ 851154 w 861726"/>
                                <a:gd name="connsiteY0" fmla="*/ 0 h 1811845"/>
                                <a:gd name="connsiteX1" fmla="*/ 0 w 861726"/>
                                <a:gd name="connsiteY1" fmla="*/ 1800701 h 1811845"/>
                                <a:gd name="connsiteX2" fmla="*/ 5239 w 861726"/>
                                <a:gd name="connsiteY2" fmla="*/ 1811845 h 1811845"/>
                                <a:gd name="connsiteX3" fmla="*/ 861727 w 861726"/>
                                <a:gd name="connsiteY3" fmla="*/ 0 h 1811845"/>
                                <a:gd name="connsiteX4" fmla="*/ 851154 w 861726"/>
                                <a:gd name="connsiteY4" fmla="*/ 0 h 1811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1726" h="1811845">
                                  <a:moveTo>
                                    <a:pt x="851154" y="0"/>
                                  </a:moveTo>
                                  <a:lnTo>
                                    <a:pt x="0" y="1800701"/>
                                  </a:lnTo>
                                  <a:lnTo>
                                    <a:pt x="5239" y="1811845"/>
                                  </a:lnTo>
                                  <a:lnTo>
                                    <a:pt x="861727" y="0"/>
                                  </a:lnTo>
                                  <a:lnTo>
                                    <a:pt x="851154"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5563B7C" id="Group 537" o:spid="_x0000_s1026" style="position:absolute;margin-left:39.9pt;margin-top:-13.5pt;width:520.7pt;height:746.85pt;z-index:251658246" coordsize="66131,94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">
                <v:shape id="Freeform: Shape 538" o:spid="_x0000_s1027" style="position:absolute;top:22806;width:22453;height:24047;visibility:visible;mso-wrap-style:square;v-text-anchor:middle" coordsize="1691354,178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" path="m845630,1789081l,,1691354,,845630,1789081xe" fillcolor="#87189d [3204]" stroked="f">
                  <v:stroke joinstyle="miter"/>
                  <v:path arrowok="t" o:connecttype="custom" o:connectlocs="1122618,2404746;0,0;2245360,0;1122618,2404746" o:connectangles="0,0,0,0"/>
                </v:shape>
                <v:shape id="Freeform: Shape 539" o:spid="_x0000_s1028" style="position:absolute;left:33671;top:22806;width:22746;height:24060;visibility:visible;mso-wrap-style:square;v-text-anchor:middle" coordsize="1713357,181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" path="m856679,l,1812322r1713357,l856679,xe" fillcolor="#87189d [3204]" stroked="f">
                  <v:stroke joinstyle="miter"/>
                  <v:path arrowok="t" o:connecttype="custom" o:connectlocs="1137286,0;0,2406016;2274570,2406016;1137286,0" o:connectangles="0,0,0,0"/>
                </v:shape>
                <v:shape id="Freeform: Shape 540" o:spid="_x0000_s1029" style="position:absolute;left:22375;top:70785;width:22745;height:24062;visibility:visible;mso-wrap-style:square;v-text-anchor:middle" coordsize="1713261,181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" path="m,l856583,1812227,1713262,,,xe" fillcolor="#87189d [3204]" stroked="f">
                  <v:stroke joinstyle="miter"/>
                  <v:path arrowok="t" o:connecttype="custom" o:connectlocs="0,0;1137172,2406194;2274472,0;0,0" o:connectangles="0,0,0,0"/>
                </v:shape>
                <v:group id="Group 541" o:spid="_x0000_s1030" style="position:absolute;left:44966;width:21165;height:22967;rotation:180" coordorigin="346" coordsize="15947,1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">
                  <v:shape id="Freeform: Shape 542" o:spid="_x0000_s1031" style="position:absolute;left:1906;width:2084;height:4296;visibility:visible;mso-wrap-style:square;v-text-anchor:middle" coordsize="208407,42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" path="m197834,l,418529r5239,11144l208407,,197834,xe" filled="f" stroked="f">
                    <v:stroke joinstyle="miter"/>
                    <v:path arrowok="t" o:connecttype="custom" o:connectlocs="197834,0;0,418529;5239,429673;208407,0;197834,0" o:connectangles="0,0,0,0,0"/>
                  </v:shape>
                  <v:shape id="Freeform: Shape 543" o:spid="_x0000_s1032" style="position:absolute;left:2296;width:2469;height:5110;visibility:visible;mso-wrap-style:square;v-text-anchor:middle" coordsize="246887,5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" path="m236315,l,499872r5239,11144l246888,,236315,xe" fillcolor="#ab5dba [3205]" stroked="f">
                    <v:stroke joinstyle="miter"/>
                    <v:path arrowok="t" o:connecttype="custom" o:connectlocs="236315,0;0,499872;5239,511016;246888,0;236315,0" o:connectangles="0,0,0,0,0"/>
                  </v:shape>
                  <v:shape id="Freeform: Shape 1745945056" o:spid="_x0000_s1033" style="position:absolute;left:2686;width:2853;height:5922;visibility:visible;mso-wrap-style:square;v-text-anchor:middle" coordsize="285273,5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" path="m274701,l,581120r5239,11144l285274,,274701,xe" fillcolor="#ab5dba [3205]" stroked="f">
                    <v:stroke joinstyle="miter"/>
                    <v:path arrowok="t" o:connecttype="custom" o:connectlocs="274701,0;0,581120;5239,592264;285274,0;274701,0" o:connectangles="0,0,0,0,0"/>
                  </v:shape>
                  <v:shape id="Freeform: Shape 1745945057" o:spid="_x0000_s1034" style="position:absolute;left:3076;width:3237;height:6736;visibility:visible;mso-wrap-style:square;v-text-anchor:middle" coordsize="323659,6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" path="m313182,l,662464r5239,11144l323659,,313182,xe" fillcolor="#ab5dba [3205]" stroked="f">
                    <v:stroke joinstyle="miter"/>
                    <v:path arrowok="t" o:connecttype="custom" o:connectlocs="313182,0;0,662464;5239,673608;323659,0;313182,0" o:connectangles="0,0,0,0,0"/>
                  </v:shape>
                  <v:shape id="Freeform: Shape 1745945058" o:spid="_x0000_s1035" style="position:absolute;left:3423;width:3621;height:7549;visibility:visible;mso-wrap-style:square;v-text-anchor:middle" coordsize="362045,75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" path="m351568,l,743807r5239,11145l362045,,351568,xe" fillcolor="#ab5dba [3205]" stroked="f">
                    <v:stroke joinstyle="miter"/>
                    <v:path arrowok="t" o:connecttype="custom" o:connectlocs="351568,0;0,743807;5239,754952;362045,0;351568,0" o:connectangles="0,0,0,0,0"/>
                  </v:shape>
                  <v:shape id="Freeform: Shape 1745945060" o:spid="_x0000_s1036" style="position:absolute;left:3813;width:4005;height:8361;visibility:visible;mso-wrap-style:square;v-text-anchor:middle" coordsize="400526,83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" path="m390049,l,825055r5239,11145l400526,,390049,xe" fillcolor="#ab5dba [3205]" stroked="f">
                    <v:stroke joinstyle="miter"/>
                    <v:path arrowok="t" o:connecttype="custom" o:connectlocs="390049,0;0,825055;5239,836200;400526,0;390049,0" o:connectangles="0,0,0,0,0"/>
                  </v:shape>
                  <v:shape id="Freeform: Shape 1745945061" o:spid="_x0000_s1037" style="position:absolute;left:4203;width:4390;height:9175;visibility:visible;mso-wrap-style:square;v-text-anchor:middle" coordsize="439007,91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" path="m428530,l,906399r5334,11144l439008,,428530,xe" fillcolor="#ab5dba [3205]" stroked="f">
                    <v:stroke joinstyle="miter"/>
                    <v:path arrowok="t" o:connecttype="custom" o:connectlocs="428530,0;0,906399;5334,917543;439008,0;428530,0" o:connectangles="0,0,0,0,0"/>
                  </v:shape>
                  <v:shape id="Freeform: Shape 1745945062" o:spid="_x0000_s1038" style="position:absolute;left:4593;width:4774;height:9987;visibility:visible;mso-wrap-style:square;v-text-anchor:middle" coordsize="477392,99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" path="m466915,l,987647r5239,11144l477393,,466915,xe" fillcolor="#ab5dba [3205]" stroked="f">
                    <v:stroke joinstyle="miter"/>
                    <v:path arrowok="t" o:connecttype="custom" o:connectlocs="466915,0;0,987647;5239,998791;477393,0;466915,0" o:connectangles="0,0,0,0,0"/>
                  </v:shape>
                  <v:shape id="Freeform: Shape 1745945063" o:spid="_x0000_s1039" style="position:absolute;left:346;width:546;height:1042;visibility:visible;mso-wrap-style:square;v-text-anchor:middle" coordsize="54578,1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" path="m44101,l,93154r5239,11145l54578,,44101,xe" fillcolor="#ab5dba [3205]" stroked="f">
                    <v:stroke joinstyle="miter"/>
                    <v:path arrowok="t" o:connecttype="custom" o:connectlocs="44101,0;0,93154;5239,104299;54578,0;44101,0" o:connectangles="0,0,0,0,0"/>
                  </v:shape>
                  <v:shape id="Freeform: Shape 1745945064" o:spid="_x0000_s1040" style="position:absolute;left:736;width:931;height:1856;visibility:visible;mso-wrap-style:square;v-text-anchor:middle" coordsize="93059,18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" path="m82487,l,174498r5334,11144l93059,,82487,xe" fillcolor="#ab5dba [3205]" stroked="f">
                    <v:stroke joinstyle="miter"/>
                    <v:path arrowok="t" o:connecttype="custom" o:connectlocs="82487,0;0,174498;5334,185642;93059,0;82487,0" o:connectangles="0,0,0,0,0"/>
                  </v:shape>
                  <v:shape id="Freeform: Shape 1745945065" o:spid="_x0000_s1041" style="position:absolute;left:1126;width:1315;height:2668;visibility:visible;mso-wrap-style:square;v-text-anchor:middle" coordsize="131445,26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" path="m120872,l,255746r5239,11144l131445,,120872,xe" fillcolor="#ab5dba [3205]" stroked="f">
                    <v:stroke joinstyle="miter"/>
                    <v:path arrowok="t" o:connecttype="custom" o:connectlocs="120872,0;0,255746;5239,266890;131445,0;120872,0" o:connectangles="0,0,0,0,0"/>
                  </v:shape>
                  <v:shape id="Freeform: Shape 1745945066" o:spid="_x0000_s1042" style="position:absolute;left:1516;width:1700;height:3482;visibility:visible;mso-wrap-style:square;v-text-anchor:middle" coordsize="169926,3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" path="m159353,l,337090r5334,11144l169926,,159353,xe" fillcolor="#ab5dba [3205]" stroked="f">
                    <v:stroke joinstyle="miter"/>
                    <v:path arrowok="t" o:connecttype="custom" o:connectlocs="159353,0;0,337090;5334,348234;169926,0;159353,0" o:connectangles="0,0,0,0,0"/>
                  </v:shape>
                  <v:shape id="Freeform: Shape 1745945067" o:spid="_x0000_s1043" style="position:absolute;left:1906;width:2083;height:4295;visibility:visible;mso-wrap-style:square;v-text-anchor:middle" coordsize="208311,4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" path="m197739,l,418338r5239,11240l208312,,197739,xe" fillcolor="#ab5dba [3205]" stroked="f">
                    <v:stroke joinstyle="miter"/>
                    <v:path arrowok="t" o:connecttype="custom" o:connectlocs="197739,0;0,418338;5239,429578;208312,0;197739,0" o:connectangles="0,0,0,0,0"/>
                  </v:shape>
                  <v:shape id="Freeform: Shape 1745945068" o:spid="_x0000_s1044" style="position:absolute;left:4983;width:5159;height:10801;visibility:visible;mso-wrap-style:square;v-text-anchor:middle" coordsize="515874,108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" path="m505396,l,1068991r5334,11144l515874,,505396,xe" fillcolor="#ab5dba [3205]" stroked="f">
                    <v:stroke joinstyle="miter"/>
                    <v:path arrowok="t" o:connecttype="custom" o:connectlocs="505396,0;0,1068991;5334,1080135;515874,0;505396,0" o:connectangles="0,0,0,0,0"/>
                  </v:shape>
                  <v:shape id="Freeform: Shape 1745945069" o:spid="_x0000_s1045" style="position:absolute;left:5373;width:5543;height:11613;visibility:visible;mso-wrap-style:square;v-text-anchor:middle" coordsize="554259,11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" path="m543782,l,1150239r5239,11144l554260,,543782,xe" fillcolor="#ab5dba [3205]" stroked="f">
                    <v:stroke joinstyle="miter"/>
                    <v:path arrowok="t" o:connecttype="custom" o:connectlocs="543782,0;0,1150239;5239,1161383;554260,0;543782,0" o:connectangles="0,0,0,0,0"/>
                  </v:shape>
                  <v:shape id="Freeform: Shape 1745945070" o:spid="_x0000_s1046" style="position:absolute;left:5763;width:5928;height:12427;visibility:visible;mso-wrap-style:square;v-text-anchor:middle" coordsize="592740,124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" path="m582168,l,1231582r5334,11145l592741,,582168,xe" fillcolor="#ab5dba [3205]" stroked="f">
                    <v:stroke joinstyle="miter"/>
                    <v:path arrowok="t" o:connecttype="custom" o:connectlocs="582168,0;0,1231582;5334,1242727;592741,0;582168,0" o:connectangles="0,0,0,0,0"/>
                  </v:shape>
                  <v:shape id="Freeform: Shape 1745945071" o:spid="_x0000_s1047" style="position:absolute;left:6153;width:6312;height:13239;visibility:visible;mso-wrap-style:square;v-text-anchor:middle" coordsize="631126,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" path="m620554,l,1312831r5239,11144l631126,,620554,xe" fillcolor="#ab5dba [3205]" stroked="f">
                    <v:stroke joinstyle="miter"/>
                    <v:path arrowok="t" o:connecttype="custom" o:connectlocs="620554,0;0,1312831;5239,1323975;631126,0;620554,0" o:connectangles="0,0,0,0,0"/>
                  </v:shape>
                  <v:shape id="Freeform: Shape 1745945072" o:spid="_x0000_s1048" style="position:absolute;left:6500;width:6696;height:14053;visibility:visible;mso-wrap-style:square;v-text-anchor:middle" coordsize="669607,14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" path="m659035,l,1394174r5334,11144l669607,,659035,xe" fillcolor="#ab5dba [3205]" stroked="f">
                    <v:stroke joinstyle="miter"/>
                    <v:path arrowok="t" o:connecttype="custom" o:connectlocs="659035,0;0,1394174;5334,1405318;669607,0;659035,0" o:connectangles="0,0,0,0,0"/>
                  </v:shape>
                  <v:shape id="Freeform: Shape 1745945073" o:spid="_x0000_s1049" style="position:absolute;left:6890;width:7080;height:14866;visibility:visible;mso-wrap-style:square;v-text-anchor:middle" coordsize="707993,14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" path="m697421,l,1475518r5239,11144l707993,,697421,xe" fillcolor="#ab5dba [3205]" stroked="f">
                    <v:stroke joinstyle="miter"/>
                    <v:path arrowok="t" o:connecttype="custom" o:connectlocs="697421,0;0,1475518;5239,1486662;707993,0;697421,0" o:connectangles="0,0,0,0,0"/>
                  </v:shape>
                  <v:shape id="Freeform: Shape 1745945074" o:spid="_x0000_s1050" style="position:absolute;left:7280;width:7465;height:15679;visibility:visible;mso-wrap-style:square;v-text-anchor:middle" coordsize="746474,156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" path="m735902,l,1556766r5334,11144l746475,,735902,xe" fillcolor="#ab5dba [3205]" stroked="f">
                    <v:stroke joinstyle="miter"/>
                    <v:path arrowok="t" o:connecttype="custom" o:connectlocs="735902,0;0,1556766;5334,1567910;746475,0;735902,0" o:connectangles="0,0,0,0,0"/>
                  </v:shape>
                  <v:shape id="Freeform: Shape 1745945075" o:spid="_x0000_s1051" style="position:absolute;left:7670;width:7849;height:16492;visibility:visible;mso-wrap-style:square;v-text-anchor:middle" coordsize="784859,1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" path="m774287,l,1638109r5239,11145l784860,,774287,xe" fillcolor="#ab5dba [3205]" stroked="f">
                    <v:stroke joinstyle="miter"/>
                    <v:path arrowok="t" o:connecttype="custom" o:connectlocs="774287,0;0,1638109;5239,1649254;784860,0;774287,0" o:connectangles="0,0,0,0,0"/>
                  </v:shape>
                  <v:shape id="Freeform: Shape 1745945076" o:spid="_x0000_s1052" style="position:absolute;left:8060;width:8234;height:17305;visibility:visible;mso-wrap-style:square;v-text-anchor:middle" coordsize="823341,17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" path="m812768,l,1719358r5239,11144l823341,,812768,xe" fillcolor="#ab5dba [3205]" stroked="f">
                    <v:stroke joinstyle="miter"/>
                    <v:path arrowok="t" o:connecttype="custom" o:connectlocs="812768,0;0,1719358;5239,1730502;823341,0;812768,0" o:connectangles="0,0,0,0,0"/>
                  </v:shape>
                </v:group>
                <v:group id="Group 1745945077" o:spid="_x0000_s1053" style="position:absolute;left:11618;top:46903;width:22218;height:24054" coordsize="22223,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">
                  <v:shape id="Freeform: Shape 1745945078" o:spid="_x0000_s1054" style="position:absolute;left:2589;width:3278;height:6785;visibility:visible;mso-wrap-style:square;v-text-anchor:middle" coordsize="246887,5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" path="m236315,l,499872r5239,11144l246888,,236315,xe" fillcolor="#ab5dba [3205]" stroked="f">
                    <v:stroke joinstyle="miter"/>
                    <v:path arrowok="t" o:connecttype="custom" o:connectlocs="313739,0;0,663718;6955,678515;327776,0;313739,0" o:connectangles="0,0,0,0,0"/>
                  </v:shape>
                  <v:shape id="Freeform: Shape 1745945079" o:spid="_x0000_s1055" style="position:absolute;left:3118;width:3787;height:7863;visibility:visible;mso-wrap-style:square;v-text-anchor:middle" coordsize="285273,5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" path="m274701,l,581120r5239,11144l285274,,274701,xe" fillcolor="#ab5dba [3205]" stroked="f">
                    <v:stroke joinstyle="miter"/>
                    <v:path arrowok="t" o:connecttype="custom" o:connectlocs="364702,0;0,771597;6955,786394;378739,0;364702,0" o:connectangles="0,0,0,0,0"/>
                  </v:shape>
                  <v:shape id="Freeform: Shape 1745945080" o:spid="_x0000_s1056" style="position:absolute;left:3647;width:4297;height:8944;visibility:visible;mso-wrap-style:square;v-text-anchor:middle" coordsize="323659,6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" path="m313182,l,662464r5239,11144l323659,,313182,xe" fillcolor="#ab5dba [3205]" stroked="f">
                    <v:stroke joinstyle="miter"/>
                    <v:path arrowok="t" o:connecttype="custom" o:connectlocs="415790,0;0,879603;6955,894400;429700,0;415790,0" o:connectangles="0,0,0,0,0"/>
                  </v:shape>
                  <v:shape id="Freeform: Shape 1745945081" o:spid="_x0000_s1057" style="position:absolute;left:4122;width:4807;height:10024;visibility:visible;mso-wrap-style:square;v-text-anchor:middle" coordsize="362045,75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" path="m351568,l,743807r5239,11145l362045,,351568,xe" fillcolor="#ab5dba [3205]" stroked="f">
                    <v:stroke joinstyle="miter"/>
                    <v:path arrowok="t" o:connecttype="custom" o:connectlocs="466753,0;0,987609;6955,1002407;480663,0;466753,0" o:connectangles="0,0,0,0,0"/>
                  </v:shape>
                  <v:shape id="Freeform: Shape 1745945082" o:spid="_x0000_s1058" style="position:absolute;left:4651;width:5317;height:11102;visibility:visible;mso-wrap-style:square;v-text-anchor:middle" coordsize="400526,83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" path="m390049,l,825055r5239,11145l400526,,390049,xe" fillcolor="#ab5dba [3205]" stroked="f">
                    <v:stroke joinstyle="miter"/>
                    <v:path arrowok="t" o:connecttype="custom" o:connectlocs="517841,0;0,1095488;6955,1110286;531751,0;517841,0" o:connectangles="0,0,0,0,0"/>
                  </v:shape>
                  <v:shape id="Freeform: Shape 1745945083" o:spid="_x0000_s1059" style="position:absolute;left:5126;width:5829;height:12182;visibility:visible;mso-wrap-style:square;v-text-anchor:middle" coordsize="439007,91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" path="m428530,l,906399r5334,11144l439008,,428530,xe" fillcolor="#ab5dba [3205]" stroked="f">
                    <v:stroke joinstyle="miter"/>
                    <v:path arrowok="t" o:connecttype="custom" o:connectlocs="568930,0;0,1203494;7082,1218291;582841,0;568930,0" o:connectangles="0,0,0,0,0"/>
                  </v:shape>
                  <v:shape id="Freeform: Shape 1745945084" o:spid="_x0000_s1060" style="position:absolute;left:5655;width:6338;height:13261;visibility:visible;mso-wrap-style:square;v-text-anchor:middle" coordsize="477392,99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" path="m466915,l,987647r5239,11144l477393,,466915,xe" fillcolor="#ab5dba [3205]" stroked="f">
                    <v:stroke joinstyle="miter"/>
                    <v:path arrowok="t" o:connecttype="custom" o:connectlocs="619891,0;0,1311374;6955,1326171;633802,0;619891,0" o:connectangles="0,0,0,0,0"/>
                  </v:shape>
                  <v:shape id="Freeform: Shape 1745945085" o:spid="_x0000_s1061" style="position:absolute;width:724;height:1384;visibility:visible;mso-wrap-style:square;v-text-anchor:middle" coordsize="54578,1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" path="m44101,l,93154r5239,11145l54578,,44101,xe" fillcolor="#ab5dba [3205]" stroked="f">
                    <v:stroke joinstyle="miter"/>
                    <v:path arrowok="t" o:connecttype="custom" o:connectlocs="58550,0;0,123687;6956,138485;72460,0;58550,0" o:connectangles="0,0,0,0,0"/>
                  </v:shape>
                  <v:shape id="Freeform: Shape 1745945086" o:spid="_x0000_s1062" style="position:absolute;left:528;width:1236;height:2464;visibility:visible;mso-wrap-style:square;v-text-anchor:middle" coordsize="93059,18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" path="m82487,l,174498r5334,11144l93059,,82487,xe" fillcolor="#ab5dba [3205]" stroked="f">
                    <v:stroke joinstyle="miter"/>
                    <v:path arrowok="t" o:connecttype="custom" o:connectlocs="109512,0;0,231694;7082,246491;123548,0;109512,0" o:connectangles="0,0,0,0,0"/>
                  </v:shape>
                  <v:shape id="Freeform: Shape 1745945087" o:spid="_x0000_s1063" style="position:absolute;left:1057;width:1745;height:3543;visibility:visible;mso-wrap-style:square;v-text-anchor:middle" coordsize="131445,26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" path="m120872,l,255746r5239,11144l131445,,120872,xe" fillcolor="#ab5dba [3205]" stroked="f">
                    <v:stroke joinstyle="miter"/>
                    <v:path arrowok="t" o:connecttype="custom" o:connectlocs="160474,0;0,339573;6955,354370;174511,0;160474,0" o:connectangles="0,0,0,0,0"/>
                  </v:shape>
                  <v:shape id="Freeform: Shape 1094483567" o:spid="_x0000_s1064" style="position:absolute;left:1585;width:2256;height:4623;visibility:visible;mso-wrap-style:square;v-text-anchor:middle" coordsize="169926,3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" path="m159353,l,337090r5334,11144l169926,,159353,xe" fillcolor="#ab5dba [3205]" stroked="f">
                    <v:stroke joinstyle="miter"/>
                    <v:path arrowok="t" o:connecttype="custom" o:connectlocs="211562,0;0,447580;7082,462376;225599,0;211562,0" o:connectangles="0,0,0,0,0"/>
                  </v:shape>
                  <v:shape id="Freeform: Shape 1094483576" o:spid="_x0000_s1065" style="position:absolute;left:2114;width:2765;height:5703;visibility:visible;mso-wrap-style:square;v-text-anchor:middle" coordsize="208311,4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" path="m197739,l,418338r5239,11240l208312,,197739,xe" fillcolor="#ab5dba [3205]" stroked="f">
                    <v:stroke joinstyle="miter"/>
                    <v:path arrowok="t" o:connecttype="custom" o:connectlocs="262524,0;0,555459;6955,570383;276561,0;262524,0" o:connectangles="0,0,0,0,0"/>
                  </v:shape>
                  <v:shape id="Freeform: Shape 1094483577" o:spid="_x0000_s1066" style="position:absolute;left:6184;width:6849;height:14341;visibility:visible;mso-wrap-style:square;v-text-anchor:middle" coordsize="515874,108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" path="m505396,l,1068991r5334,11144l515874,,505396,xe" fillcolor="#ab5dba [3205]" stroked="f">
                    <v:stroke joinstyle="miter"/>
                    <v:path arrowok="t" o:connecttype="custom" o:connectlocs="670980,0;0,1419381;7082,1434177;684891,0;670980,0" o:connectangles="0,0,0,0,0"/>
                  </v:shape>
                  <v:shape id="Freeform: Shape 1094483578" o:spid="_x0000_s1067" style="position:absolute;left:6712;width:7359;height:15420;visibility:visible;mso-wrap-style:square;v-text-anchor:middle" coordsize="554259,11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" path="m543782,l,1150239r5239,11144l554260,,543782,xe" fillcolor="#ab5dba [3205]" stroked="f">
                    <v:stroke joinstyle="miter"/>
                    <v:path arrowok="t" o:connecttype="custom" o:connectlocs="721942,0;0,1527259;6955,1542056;735853,0;721942,0" o:connectangles="0,0,0,0,0"/>
                  </v:shape>
                  <v:shape id="Freeform: Shape 1094483579" o:spid="_x0000_s1068" style="position:absolute;left:7241;width:7869;height:16500;visibility:visible;mso-wrap-style:square;v-text-anchor:middle" coordsize="592740,124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" path="m582168,l,1231582r5334,11145l592741,,582168,xe" fillcolor="#ab5dba [3205]" stroked="f">
                    <v:stroke joinstyle="miter"/>
                    <v:path arrowok="t" o:connecttype="custom" o:connectlocs="772905,0;0,1635265;7082,1650063;786942,0;772905,0" o:connectangles="0,0,0,0,0"/>
                  </v:shape>
                  <v:shape id="Freeform: Shape 1094483580" o:spid="_x0000_s1069" style="position:absolute;left:7716;width:8379;height:17579;visibility:visible;mso-wrap-style:square;v-text-anchor:middle" coordsize="631126,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" path="m620554,l,1312831r5239,11144l631126,,620554,xe" fillcolor="#ab5dba [3205]" stroked="f">
                    <v:stroke joinstyle="miter"/>
                    <v:path arrowok="t" o:connecttype="custom" o:connectlocs="823867,0;0,1743145;6955,1757942;837903,0;823867,0" o:connectangles="0,0,0,0,0"/>
                  </v:shape>
                  <v:shape id="Freeform: Shape 1094483581" o:spid="_x0000_s1070" style="position:absolute;left:8192;width:8890;height:18659;visibility:visible;mso-wrap-style:square;v-text-anchor:middle" coordsize="669607,14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" path="m659035,l,1394174r5334,11144l669607,,659035,xe" fillcolor="#ab5dba [3205]" stroked="f">
                    <v:stroke joinstyle="miter"/>
                    <v:path arrowok="t" o:connecttype="custom" o:connectlocs="874956,0;0,1851150;7082,1865947;888992,0;874956,0" o:connectangles="0,0,0,0,0"/>
                  </v:shape>
                  <v:shape id="Freeform: Shape 1094483582" o:spid="_x0000_s1071" style="position:absolute;left:8721;width:9399;height:19739;visibility:visible;mso-wrap-style:square;v-text-anchor:middle" coordsize="707993,14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" path="m697421,l,1475518r5239,11144l707993,,697421,xe" fillcolor="#ab5dba [3205]" stroked="f">
                    <v:stroke joinstyle="miter"/>
                    <v:path arrowok="t" o:connecttype="custom" o:connectlocs="925918,0;0,1959157;6955,1973954;939954,0;925918,0" o:connectangles="0,0,0,0,0"/>
                  </v:shape>
                  <v:shape id="Freeform: Shape 1094483583" o:spid="_x0000_s1072" style="position:absolute;left:9249;width:9911;height:20818;visibility:visible;mso-wrap-style:square;v-text-anchor:middle" coordsize="746474,156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" path="m735902,l,1556766r5334,11144l746475,,735902,xe" fillcolor="#ab5dba [3205]" stroked="f">
                    <v:stroke joinstyle="miter"/>
                    <v:path arrowok="t" o:connecttype="custom" o:connectlocs="977007,0;0,2067036;7082,2081833;991044,0;977007,0" o:connectangles="0,0,0,0,0"/>
                  </v:shape>
                  <v:shape id="Freeform: Shape 616689792" o:spid="_x0000_s1073" style="position:absolute;left:9725;width:10420;height:21898;visibility:visible;mso-wrap-style:square;v-text-anchor:middle" coordsize="784859,1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" path="m774287,l,1638109r5239,11145l784860,,774287,xe" fillcolor="#ab5dba [3205]" stroked="f">
                    <v:stroke joinstyle="miter"/>
                    <v:path arrowok="t" o:connecttype="custom" o:connectlocs="1027968,0;0,2175041;6955,2189839;1042005,0;1027968,0" o:connectangles="0,0,0,0,0"/>
                  </v:shape>
                  <v:shape id="Freeform: Shape 616689793" o:spid="_x0000_s1074" style="position:absolute;left:10253;width:10931;height:22977;visibility:visible;mso-wrap-style:square;v-text-anchor:middle" coordsize="823341,17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" path="m812768,l,1719358r5239,11144l823341,,812768,xe" fillcolor="#ab5dba [3205]" stroked="f">
                    <v:stroke joinstyle="miter"/>
                    <v:path arrowok="t" o:connecttype="custom" o:connectlocs="1079057,0;0,2282922;6955,2297718;1093094,0;1079057,0" o:connectangles="0,0,0,0,0"/>
                  </v:shape>
                  <v:shape id="Freeform: Shape 616689794" o:spid="_x0000_s1075" style="position:absolute;left:10782;width:11441;height:24057;visibility:visible;mso-wrap-style:square;v-text-anchor:middle" coordsize="861726,181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" path="m851154,l,1800701r5239,11144l861727,,851154,xe" fillcolor="#ab5dba [3205]" stroked="f">
                    <v:stroke joinstyle="miter"/>
                    <v:path arrowok="t" o:connecttype="custom" o:connectlocs="1130019,0;0,2390927;6955,2405724;1144056,0;1130019,0" o:connectangles="0,0,0,0,0"/>
                  </v:shape>
                </v:group>
                <v:group id="Group 616689795" o:spid="_x0000_s1076" style="position:absolute;left:34209;top:46903;width:22193;height:24054" coordorigin="346" coordsize="1672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">
                  <v:shape id="Freeform: Shape 616689796" o:spid="_x0000_s1077" style="position:absolute;left:1906;width:2084;height:4296;visibility:visible;mso-wrap-style:square;v-text-anchor:middle" coordsize="208407,42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" path="m197834,l,418529r5239,11144l208407,,197834,xe" filled="f" stroked="f">
                    <v:stroke joinstyle="miter"/>
                    <v:path arrowok="t" o:connecttype="custom" o:connectlocs="197834,0;0,418529;5239,429673;208407,0;197834,0" o:connectangles="0,0,0,0,0"/>
                  </v:shape>
                  <v:shape id="Freeform: Shape 616689797" o:spid="_x0000_s1078" style="position:absolute;left:2296;width:2469;height:5110;visibility:visible;mso-wrap-style:square;v-text-anchor:middle" coordsize="246887,511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" path="m236315,l,499872r5239,11144l246888,,236315,xe" fillcolor="#ab5dba [3205]" stroked="f">
                    <v:stroke joinstyle="miter"/>
                    <v:path arrowok="t" o:connecttype="custom" o:connectlocs="236315,0;0,499872;5239,511016;246888,0;236315,0" o:connectangles="0,0,0,0,0"/>
                  </v:shape>
                  <v:shape id="Freeform: Shape 616689798" o:spid="_x0000_s1079" style="position:absolute;left:2686;width:2853;height:5922;visibility:visible;mso-wrap-style:square;v-text-anchor:middle" coordsize="285273,59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" path="m274701,l,581120r5239,11144l285274,,274701,xe" fillcolor="#ab5dba [3205]" stroked="f">
                    <v:stroke joinstyle="miter"/>
                    <v:path arrowok="t" o:connecttype="custom" o:connectlocs="274701,0;0,581120;5239,592264;285274,0;274701,0" o:connectangles="0,0,0,0,0"/>
                  </v:shape>
                  <v:shape id="Freeform: Shape 616689799" o:spid="_x0000_s1080" style="position:absolute;left:3076;width:3237;height:6736;visibility:visible;mso-wrap-style:square;v-text-anchor:middle" coordsize="323659,67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" path="m313182,l,662464r5239,11144l323659,,313182,xe" fillcolor="#ab5dba [3205]" stroked="f">
                    <v:stroke joinstyle="miter"/>
                    <v:path arrowok="t" o:connecttype="custom" o:connectlocs="313182,0;0,662464;5239,673608;323659,0;313182,0" o:connectangles="0,0,0,0,0"/>
                  </v:shape>
                  <v:shape id="Freeform: Shape 616689800" o:spid="_x0000_s1081" style="position:absolute;left:3423;width:3621;height:7549;visibility:visible;mso-wrap-style:square;v-text-anchor:middle" coordsize="362045,75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" path="m351568,l,743807r5239,11145l362045,,351568,xe" fillcolor="#ab5dba [3205]" stroked="f">
                    <v:stroke joinstyle="miter"/>
                    <v:path arrowok="t" o:connecttype="custom" o:connectlocs="351568,0;0,743807;5239,754952;362045,0;351568,0" o:connectangles="0,0,0,0,0"/>
                  </v:shape>
                  <v:shape id="Freeform: Shape 616689801" o:spid="_x0000_s1082" style="position:absolute;left:3813;width:4005;height:8361;visibility:visible;mso-wrap-style:square;v-text-anchor:middle" coordsize="400526,83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" path="m390049,l,825055r5239,11145l400526,,390049,xe" fillcolor="#ab5dba [3205]" stroked="f">
                    <v:stroke joinstyle="miter"/>
                    <v:path arrowok="t" o:connecttype="custom" o:connectlocs="390049,0;0,825055;5239,836200;400526,0;390049,0" o:connectangles="0,0,0,0,0"/>
                  </v:shape>
                  <v:shape id="Freeform: Shape 616689802" o:spid="_x0000_s1083" style="position:absolute;left:4203;width:4390;height:9175;visibility:visible;mso-wrap-style:square;v-text-anchor:middle" coordsize="439007,91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" path="m428530,l,906399r5334,11144l439008,,428530,xe" fillcolor="#ab5dba [3205]" stroked="f">
                    <v:stroke joinstyle="miter"/>
                    <v:path arrowok="t" o:connecttype="custom" o:connectlocs="428530,0;0,906399;5334,917543;439008,0;428530,0" o:connectangles="0,0,0,0,0"/>
                  </v:shape>
                  <v:shape id="Freeform: Shape 616689803" o:spid="_x0000_s1084" style="position:absolute;left:4593;width:4774;height:9987;visibility:visible;mso-wrap-style:square;v-text-anchor:middle" coordsize="477392,99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" path="m466915,l,987647r5239,11144l477393,,466915,xe" fillcolor="#ab5dba [3205]" stroked="f">
                    <v:stroke joinstyle="miter"/>
                    <v:path arrowok="t" o:connecttype="custom" o:connectlocs="466915,0;0,987647;5239,998791;477393,0;466915,0" o:connectangles="0,0,0,0,0"/>
                  </v:shape>
                  <v:shape id="Freeform: Shape 616689804" o:spid="_x0000_s1085" style="position:absolute;left:346;width:546;height:1042;visibility:visible;mso-wrap-style:square;v-text-anchor:middle" coordsize="54578,10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" path="m44101,l,93154r5239,11145l54578,,44101,xe" fillcolor="#ab5dba [3205]" stroked="f">
                    <v:stroke joinstyle="miter"/>
                    <v:path arrowok="t" o:connecttype="custom" o:connectlocs="44101,0;0,93154;5239,104299;54578,0;44101,0" o:connectangles="0,0,0,0,0"/>
                  </v:shape>
                  <v:shape id="Freeform: Shape 616689805" o:spid="_x0000_s1086" style="position:absolute;left:736;width:931;height:1856;visibility:visible;mso-wrap-style:square;v-text-anchor:middle" coordsize="93059,18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" path="m82487,l,174498r5334,11144l93059,,82487,xe" fillcolor="#ab5dba [3205]" stroked="f">
                    <v:stroke joinstyle="miter"/>
                    <v:path arrowok="t" o:connecttype="custom" o:connectlocs="82487,0;0,174498;5334,185642;93059,0;82487,0" o:connectangles="0,0,0,0,0"/>
                  </v:shape>
                  <v:shape id="Freeform: Shape 616689806" o:spid="_x0000_s1087" style="position:absolute;left:1126;width:1315;height:2668;visibility:visible;mso-wrap-style:square;v-text-anchor:middle" coordsize="131445,26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" path="m120872,l,255746r5239,11144l131445,,120872,xe" fillcolor="#ab5dba [3205]" stroked="f">
                    <v:stroke joinstyle="miter"/>
                    <v:path arrowok="t" o:connecttype="custom" o:connectlocs="120872,0;0,255746;5239,266890;131445,0;120872,0" o:connectangles="0,0,0,0,0"/>
                  </v:shape>
                  <v:shape id="Freeform: Shape 616689807" o:spid="_x0000_s1088" style="position:absolute;left:1516;width:1700;height:3482;visibility:visible;mso-wrap-style:square;v-text-anchor:middle" coordsize="169926,34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" path="m159353,l,337090r5334,11144l169926,,159353,xe" fillcolor="#ab5dba [3205]" stroked="f">
                    <v:stroke joinstyle="miter"/>
                    <v:path arrowok="t" o:connecttype="custom" o:connectlocs="159353,0;0,337090;5334,348234;169926,0;159353,0" o:connectangles="0,0,0,0,0"/>
                  </v:shape>
                  <v:shape id="Freeform: Shape 2003825824" o:spid="_x0000_s1089" style="position:absolute;left:1906;width:2083;height:4295;visibility:visible;mso-wrap-style:square;v-text-anchor:middle" coordsize="208311,42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" path="m197739,l,418338r5239,11240l208312,,197739,xe" fillcolor="#ab5dba [3205]" stroked="f">
                    <v:stroke joinstyle="miter"/>
                    <v:path arrowok="t" o:connecttype="custom" o:connectlocs="197739,0;0,418338;5239,429578;208312,0;197739,0" o:connectangles="0,0,0,0,0"/>
                  </v:shape>
                  <v:shape id="Freeform: Shape 2003825825" o:spid="_x0000_s1090" style="position:absolute;left:4983;width:5159;height:10801;visibility:visible;mso-wrap-style:square;v-text-anchor:middle" coordsize="515874,108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" path="m505396,l,1068991r5334,11144l515874,,505396,xe" fillcolor="#ab5dba [3205]" stroked="f">
                    <v:stroke joinstyle="miter"/>
                    <v:path arrowok="t" o:connecttype="custom" o:connectlocs="505396,0;0,1068991;5334,1080135;515874,0;505396,0" o:connectangles="0,0,0,0,0"/>
                  </v:shape>
                  <v:shape id="Freeform: Shape 2003825826" o:spid="_x0000_s1091" style="position:absolute;left:5373;width:5543;height:11613;visibility:visible;mso-wrap-style:square;v-text-anchor:middle" coordsize="554259,116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" path="m543782,l,1150239r5239,11144l554260,,543782,xe" fillcolor="#ab5dba [3205]" stroked="f">
                    <v:stroke joinstyle="miter"/>
                    <v:path arrowok="t" o:connecttype="custom" o:connectlocs="543782,0;0,1150239;5239,1161383;554260,0;543782,0" o:connectangles="0,0,0,0,0"/>
                  </v:shape>
                  <v:shape id="Freeform: Shape 2003825827" o:spid="_x0000_s1092" style="position:absolute;left:5763;width:5928;height:12427;visibility:visible;mso-wrap-style:square;v-text-anchor:middle" coordsize="592740,124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" path="m582168,l,1231582r5334,11145l592741,,582168,xe" fillcolor="#ab5dba [3205]" stroked="f">
                    <v:stroke joinstyle="miter"/>
                    <v:path arrowok="t" o:connecttype="custom" o:connectlocs="582168,0;0,1231582;5334,1242727;592741,0;582168,0" o:connectangles="0,0,0,0,0"/>
                  </v:shape>
                  <v:shape id="Freeform: Shape 2003825828" o:spid="_x0000_s1093" style="position:absolute;left:6153;width:6312;height:13239;visibility:visible;mso-wrap-style:square;v-text-anchor:middle" coordsize="631126,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" path="m620554,l,1312831r5239,11144l631126,,620554,xe" fillcolor="#ab5dba [3205]" stroked="f">
                    <v:stroke joinstyle="miter"/>
                    <v:path arrowok="t" o:connecttype="custom" o:connectlocs="620554,0;0,1312831;5239,1323975;631126,0;620554,0" o:connectangles="0,0,0,0,0"/>
                  </v:shape>
                  <v:shape id="Freeform: Shape 2003825829" o:spid="_x0000_s1094" style="position:absolute;left:6500;width:6696;height:14053;visibility:visible;mso-wrap-style:square;v-text-anchor:middle" coordsize="669607,140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" path="m659035,l,1394174r5334,11144l669607,,659035,xe" fillcolor="#ab5dba [3205]" stroked="f">
                    <v:stroke joinstyle="miter"/>
                    <v:path arrowok="t" o:connecttype="custom" o:connectlocs="659035,0;0,1394174;5334,1405318;669607,0;659035,0" o:connectangles="0,0,0,0,0"/>
                  </v:shape>
                  <v:shape id="Freeform: Shape 2003825830" o:spid="_x0000_s1095" style="position:absolute;left:6890;width:7080;height:14866;visibility:visible;mso-wrap-style:square;v-text-anchor:middle" coordsize="707993,148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" path="m697421,l,1475518r5239,11144l707993,,697421,xe" fillcolor="#ab5dba [3205]" stroked="f">
                    <v:stroke joinstyle="miter"/>
                    <v:path arrowok="t" o:connecttype="custom" o:connectlocs="697421,0;0,1475518;5239,1486662;707993,0;697421,0" o:connectangles="0,0,0,0,0"/>
                  </v:shape>
                  <v:shape id="Freeform: Shape 2003825831" o:spid="_x0000_s1096" style="position:absolute;left:7280;width:7465;height:15679;visibility:visible;mso-wrap-style:square;v-text-anchor:middle" coordsize="746474,156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" path="m735902,l,1556766r5334,11144l746475,,735902,xe" fillcolor="#ab5dba [3205]" stroked="f">
                    <v:stroke joinstyle="miter"/>
                    <v:path arrowok="t" o:connecttype="custom" o:connectlocs="735902,0;0,1556766;5334,1567910;746475,0;735902,0" o:connectangles="0,0,0,0,0"/>
                  </v:shape>
                  <v:shape id="Freeform: Shape 2003825832" o:spid="_x0000_s1097" style="position:absolute;left:7670;width:7849;height:16492;visibility:visible;mso-wrap-style:square;v-text-anchor:middle" coordsize="784859,164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" path="m774287,l,1638109r5239,11145l784860,,774287,xe" fillcolor="#ab5dba [3205]" stroked="f">
                    <v:stroke joinstyle="miter"/>
                    <v:path arrowok="t" o:connecttype="custom" o:connectlocs="774287,0;0,1638109;5239,1649254;784860,0;774287,0" o:connectangles="0,0,0,0,0"/>
                  </v:shape>
                  <v:shape id="Freeform: Shape 2003825833" o:spid="_x0000_s1098" style="position:absolute;left:8060;width:8234;height:17305;visibility:visible;mso-wrap-style:square;v-text-anchor:middle" coordsize="823341,17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" path="m812768,l,1719358r5239,11144l823341,,812768,xe" fillcolor="#ab5dba [3205]" stroked="f">
                    <v:stroke joinstyle="miter"/>
                    <v:path arrowok="t" o:connecttype="custom" o:connectlocs="812768,0;0,1719358;5239,1730502;823341,0;812768,0" o:connectangles="0,0,0,0,0"/>
                  </v:shape>
                  <v:shape id="Freeform: Shape 2003825834" o:spid="_x0000_s1099" style="position:absolute;left:8450;width:8617;height:18118;visibility:visible;mso-wrap-style:square;v-text-anchor:middle" coordsize="861726,1811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" path="m851154,l,1800701r5239,11144l861727,,851154,xe" fillcolor="#ab5dba [3205]" stroked="f">
                    <v:stroke joinstyle="miter"/>
                    <v:path arrowok="t" o:connecttype="custom" o:connectlocs="851154,0;0,1800701;5239,1811845;861727,0;851154,0" o:connectangles="0,0,0,0,0"/>
                  </v:shape>
                </v:group>
              </v:group>
            </w:pict>
          </mc:Fallback>
        </mc:AlternateContent>
      </w:r>
      <w:r w:rsidR="00E0037F">
        <w:rPr>
          <w:noProof/>
        </w:rPr>
        <mc:AlternateContent>
          <mc:Choice Requires="wps">
            <w:drawing>
              <wp:anchor distT="0" distB="0" distL="114300" distR="114300" simplePos="0" relativeHeight="251658243" behindDoc="1" locked="0" layoutInCell="1" allowOverlap="1" wp14:anchorId="1280FBB9" wp14:editId="6582AEC6">
                <wp:simplePos x="0" y="0"/>
                <wp:positionH relativeFrom="page">
                  <wp:posOffset>635</wp:posOffset>
                </wp:positionH>
                <wp:positionV relativeFrom="page">
                  <wp:posOffset>-3616</wp:posOffset>
                </wp:positionV>
                <wp:extent cx="7571740" cy="10754360"/>
                <wp:effectExtent l="0" t="0" r="0" b="889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1740" cy="107543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718A5" id="Rectangle 14" o:spid="_x0000_s1026" alt="&quot;&quot;" style="position:absolute;margin-left:.05pt;margin-top:-.3pt;width:596.2pt;height:846.8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" fillcolor="#232b39 [3213]" stroked="f" strokeweight="2pt">
                <w10:wrap anchorx="page" anchory="page"/>
              </v:rect>
            </w:pict>
          </mc:Fallback>
        </mc:AlternateContent>
      </w:r>
    </w:p>
    <w:p w14:paraId="3B51CECB" w14:textId="3D775A36" w:rsidR="00014213" w:rsidRPr="00D2312F" w:rsidRDefault="00E0037F" w:rsidP="0027768D">
      <w:r>
        <w:rPr>
          <w:noProof/>
        </w:rPr>
        <w:drawing>
          <wp:anchor distT="0" distB="0" distL="114300" distR="114300" simplePos="0" relativeHeight="251658244" behindDoc="0" locked="0" layoutInCell="1" allowOverlap="1" wp14:anchorId="42322FC1" wp14:editId="487FAFA8">
            <wp:simplePos x="0" y="0"/>
            <wp:positionH relativeFrom="margin">
              <wp:posOffset>-175895</wp:posOffset>
            </wp:positionH>
            <wp:positionV relativeFrom="paragraph">
              <wp:posOffset>8111684</wp:posOffset>
            </wp:positionV>
            <wp:extent cx="1197211" cy="356616"/>
            <wp:effectExtent l="0" t="0" r="3175" b="5715"/>
            <wp:wrapNone/>
            <wp:docPr id="149"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9" cstate="screen">
                      <a:extLst>
                        <a:ext uri="{28A0092B-C50C-407E-A947-70E740481C1C}">
                          <a14:useLocalDpi xmlns:a14="http://schemas.microsoft.com/office/drawing/2010/main"/>
                        </a:ext>
                      </a:extLst>
                    </a:blip>
                    <a:stretch>
                      <a:fillRect/>
                    </a:stretch>
                  </pic:blipFill>
                  <pic:spPr>
                    <a:xfrm>
                      <a:off x="0" y="0"/>
                      <a:ext cx="1197211" cy="356616"/>
                    </a:xfrm>
                    <a:prstGeom prst="rect">
                      <a:avLst/>
                    </a:prstGeom>
                  </pic:spPr>
                </pic:pic>
              </a:graphicData>
            </a:graphic>
            <wp14:sizeRelH relativeFrom="margin">
              <wp14:pctWidth>0</wp14:pctWidth>
            </wp14:sizeRelH>
            <wp14:sizeRelV relativeFrom="margin">
              <wp14:pctHeight>0</wp14:pctHeight>
            </wp14:sizeRelV>
          </wp:anchor>
        </w:drawing>
      </w:r>
    </w:p>
    <w:sectPr w:rsidR="00014213" w:rsidRPr="00D2312F" w:rsidSect="00153295">
      <w:headerReference w:type="even" r:id="rId262"/>
      <w:headerReference w:type="default" r:id="rId263"/>
      <w:footerReference w:type="even" r:id="rId264"/>
      <w:footerReference w:type="default" r:id="rId265"/>
      <w:pgSz w:w="11906" w:h="16838" w:code="9"/>
      <w:pgMar w:top="1872"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5ECE9" w14:textId="77777777" w:rsidR="00AC2E71" w:rsidRDefault="00AC2E71" w:rsidP="004F7954">
      <w:r>
        <w:separator/>
      </w:r>
    </w:p>
    <w:p w14:paraId="6ADE7E75" w14:textId="77777777" w:rsidR="00AC2E71" w:rsidRDefault="00AC2E71" w:rsidP="004F7954"/>
    <w:p w14:paraId="74A64A35" w14:textId="77777777" w:rsidR="00AC2E71" w:rsidRDefault="00AC2E71" w:rsidP="004F7954"/>
  </w:endnote>
  <w:endnote w:type="continuationSeparator" w:id="0">
    <w:p w14:paraId="1E11087F" w14:textId="77777777" w:rsidR="00AC2E71" w:rsidRDefault="00AC2E71" w:rsidP="004F7954">
      <w:r>
        <w:continuationSeparator/>
      </w:r>
    </w:p>
    <w:p w14:paraId="0E7FAABC" w14:textId="77777777" w:rsidR="00AC2E71" w:rsidRDefault="00AC2E71" w:rsidP="004F7954"/>
    <w:p w14:paraId="52C5A36C" w14:textId="77777777" w:rsidR="00AC2E71" w:rsidRDefault="00AC2E71" w:rsidP="004F7954"/>
  </w:endnote>
  <w:endnote w:type="continuationNotice" w:id="1">
    <w:p w14:paraId="4636D8EE" w14:textId="77777777" w:rsidR="00AC2E71" w:rsidRDefault="00AC2E7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14EF0FB-0286-44A7-815C-A07470AFE8AC}"/>
    <w:embedBold r:id="rId2" w:fontKey="{FA9CEB70-4569-4AEF-867A-6D91A0F05888}"/>
    <w:embedItalic r:id="rId3" w:fontKey="{EF6D9287-95CB-41EF-BA70-A8D2D4031E1F}"/>
    <w:embedBoldItalic r:id="rId4" w:fontKey="{73739C7E-17A6-49E0-A848-1B384D9A8CF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altName w:val="Cambria"/>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embedRegular r:id="rId5" w:subsetted="1" w:fontKey="{FEF5A5AD-A966-4977-967E-D33D8A76C801}"/>
  </w:font>
  <w:font w:name="VIC SemiBold">
    <w:altName w:val="Cambria"/>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D03B7181-A3F4-415C-BF26-00CC57A43680}"/>
  </w:font>
  <w:font w:name="Consolas">
    <w:panose1 w:val="020B0609020204030204"/>
    <w:charset w:val="00"/>
    <w:family w:val="modern"/>
    <w:pitch w:val="fixed"/>
    <w:sig w:usb0="E00006FF" w:usb1="0000FCFF" w:usb2="00000001" w:usb3="00000000" w:csb0="0000019F" w:csb1="00000000"/>
    <w:embedRegular r:id="rId7" w:fontKey="{4D32B0F8-2C11-4967-965B-D45BB24A132C}"/>
  </w:font>
  <w:font w:name="Calibri Light">
    <w:panose1 w:val="020F0302020204030204"/>
    <w:charset w:val="00"/>
    <w:family w:val="swiss"/>
    <w:pitch w:val="variable"/>
    <w:sig w:usb0="E4002EFF" w:usb1="C000247B" w:usb2="00000009" w:usb3="00000000" w:csb0="000001FF" w:csb1="00000000"/>
    <w:embedRegular r:id="rId8" w:fontKey="{AA85760C-009F-4B3E-B51B-01E16C0AF642}"/>
    <w:embedItalic r:id="rId9" w:fontKey="{D4402BE7-3A8D-41C0-8963-68ADB34F943F}"/>
  </w:font>
  <w:font w:name="Segoe UI">
    <w:panose1 w:val="020B0502040204020203"/>
    <w:charset w:val="00"/>
    <w:family w:val="swiss"/>
    <w:pitch w:val="variable"/>
    <w:sig w:usb0="E4002EFF" w:usb1="C000E47F" w:usb2="00000009" w:usb3="00000000" w:csb0="000001FF" w:csb1="00000000"/>
    <w:embedRegular r:id="rId10" w:fontKey="{CDB9914E-8ADF-4401-902A-9954BAA7DDC7}"/>
  </w:font>
  <w:font w:name="ZWAdobeF">
    <w:altName w:val="Calibri"/>
    <w:panose1 w:val="00000000000000000000"/>
    <w:charset w:val="00"/>
    <w:family w:val="auto"/>
    <w:pitch w:val="variable"/>
    <w:sig w:usb0="20002A87" w:usb1="00000000" w:usb2="00000000" w:usb3="00000000" w:csb0="000001FF" w:csb1="00000000"/>
    <w:embedRegular r:id="rId11" w:fontKey="{AD55377A-86E8-4CA6-8BB5-C5B15F628E36}"/>
    <w:embedItalic r:id="rId12" w:fontKey="{C05A1842-7265-4F6E-B9DA-DC8313BCF3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D72FF" w14:textId="77777777" w:rsidR="005817DA" w:rsidRDefault="005817DA" w:rsidP="004F7954"/>
  <w:p w14:paraId="273175D5" w14:textId="77777777" w:rsidR="005817DA" w:rsidRDefault="005817DA" w:rsidP="004F795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51BF" w14:textId="77777777" w:rsidR="00DF7E23" w:rsidRDefault="00DF7E2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23D4A" w14:textId="75FB9AE6" w:rsidR="00DF7E23" w:rsidRDefault="00DF7E23" w:rsidP="00FE4227">
    <w:pPr>
      <w:pStyle w:val="Footer"/>
      <w:rPr>
        <w:rStyle w:val="PageNumber"/>
      </w:rPr>
    </w:pPr>
    <w:r w:rsidRPr="00063995">
      <w:rPr>
        <w:rFonts w:asciiTheme="majorHAnsi" w:hAnsiTheme="majorHAnsi"/>
        <w:noProof w:val="0"/>
      </w:rPr>
      <w:fldChar w:fldCharType="begin"/>
    </w:r>
    <w:r w:rsidRPr="00063995">
      <w:rPr>
        <w:rFonts w:asciiTheme="majorHAnsi" w:hAnsiTheme="majorHAnsi"/>
      </w:rPr>
      <w:instrText xml:space="preserve"> StyleRef “Title” </w:instrText>
    </w:r>
    <w:r w:rsidRPr="00063995">
      <w:rPr>
        <w:rFonts w:asciiTheme="majorHAnsi" w:hAnsiTheme="majorHAnsi"/>
        <w:noProof w:val="0"/>
      </w:rPr>
      <w:fldChar w:fldCharType="separate"/>
    </w:r>
    <w:r w:rsidR="00A04F78">
      <w:rPr>
        <w:rFonts w:asciiTheme="majorHAnsi" w:hAnsiTheme="majorHAnsi"/>
      </w:rPr>
      <w:t>Procurement</w:t>
    </w:r>
    <w:r w:rsidRPr="00063995">
      <w:rPr>
        <w:rFonts w:asciiTheme="majorHAnsi" w:hAnsiTheme="majorHAnsi"/>
      </w:rPr>
      <w:fldChar w:fldCharType="end"/>
    </w:r>
    <w:r w:rsidR="00BC6A70" w:rsidRPr="00171CF8">
      <w:t xml:space="preserve"> – </w:t>
    </w:r>
    <w:r w:rsidR="00BC6A70" w:rsidRPr="00171CF8">
      <w:rPr>
        <w:noProof w:val="0"/>
      </w:rPr>
      <w:fldChar w:fldCharType="begin"/>
    </w:r>
    <w:r w:rsidR="00BC6A70" w:rsidRPr="00171CF8">
      <w:instrText xml:space="preserve"> StyleRef “Subtitle” </w:instrText>
    </w:r>
    <w:r w:rsidR="00BC6A70" w:rsidRPr="00171CF8">
      <w:rPr>
        <w:noProof w:val="0"/>
      </w:rPr>
      <w:fldChar w:fldCharType="separate"/>
    </w:r>
    <w:r w:rsidR="00A04F78">
      <w:t>Investment Lifecycle and High Value High Risk Guidelines</w:t>
    </w:r>
    <w:r w:rsidR="00BC6A70" w:rsidRPr="00171CF8">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51860305" w14:textId="4AC5100B" w:rsidR="00DF7E23" w:rsidRDefault="00DF7E2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D4EE" w14:textId="5FD31C6D" w:rsidR="00DF7E23" w:rsidRDefault="00DF7E2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018A5" w14:textId="36D201B1" w:rsidR="00D63B2F" w:rsidRDefault="00D63B2F" w:rsidP="00D63B2F">
    <w:pPr>
      <w:pStyle w:val="Footer"/>
      <w:tabs>
        <w:tab w:val="clear" w:pos="9026"/>
        <w:tab w:val="right" w:pos="14220"/>
      </w:tabs>
      <w:rPr>
        <w:rStyle w:val="PageNumber"/>
      </w:rPr>
    </w:pPr>
    <w:r w:rsidRPr="00063995">
      <w:rPr>
        <w:rFonts w:asciiTheme="majorHAnsi" w:hAnsiTheme="majorHAnsi"/>
        <w:noProof w:val="0"/>
      </w:rPr>
      <w:fldChar w:fldCharType="begin"/>
    </w:r>
    <w:r w:rsidRPr="00063995">
      <w:rPr>
        <w:rFonts w:asciiTheme="majorHAnsi" w:hAnsiTheme="majorHAnsi"/>
      </w:rPr>
      <w:instrText xml:space="preserve"> StyleRef “Title” </w:instrText>
    </w:r>
    <w:r w:rsidRPr="00063995">
      <w:rPr>
        <w:rFonts w:asciiTheme="majorHAnsi" w:hAnsiTheme="majorHAnsi"/>
        <w:noProof w:val="0"/>
      </w:rPr>
      <w:fldChar w:fldCharType="separate"/>
    </w:r>
    <w:r w:rsidR="00A04F78">
      <w:rPr>
        <w:rFonts w:asciiTheme="majorHAnsi" w:hAnsiTheme="majorHAnsi"/>
      </w:rPr>
      <w:t>Procurement</w:t>
    </w:r>
    <w:r w:rsidRPr="00063995">
      <w:rPr>
        <w:rFonts w:asciiTheme="majorHAnsi" w:hAnsiTheme="majorHAnsi"/>
      </w:rPr>
      <w:fldChar w:fldCharType="end"/>
    </w:r>
    <w:r w:rsidRPr="00EF6EC7">
      <w:t xml:space="preserve"> – </w:t>
    </w:r>
    <w:r w:rsidRPr="00EF6EC7">
      <w:rPr>
        <w:noProof w:val="0"/>
      </w:rPr>
      <w:fldChar w:fldCharType="begin"/>
    </w:r>
    <w:r w:rsidRPr="00EF6EC7">
      <w:instrText xml:space="preserve"> StyleRef “Subtitle” </w:instrText>
    </w:r>
    <w:r w:rsidRPr="00EF6EC7">
      <w:rPr>
        <w:noProof w:val="0"/>
      </w:rPr>
      <w:fldChar w:fldCharType="separate"/>
    </w:r>
    <w:r w:rsidR="00A04F78">
      <w:t>Investment Lifecycle and High Value High Risk Guidelines</w:t>
    </w:r>
    <w:r w:rsidRPr="00EF6EC7">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4A9E5B5D" w14:textId="77777777" w:rsidR="00C8685D" w:rsidRDefault="00C8685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AB7F5" w14:textId="25FA4190" w:rsidR="00DF7E23" w:rsidRDefault="00DF7E23" w:rsidP="00687718">
    <w:pPr>
      <w:pStyle w:val="Footer"/>
      <w:tabs>
        <w:tab w:val="clear" w:pos="9026"/>
        <w:tab w:val="right" w:pos="14400"/>
      </w:tabs>
      <w:rPr>
        <w:rStyle w:val="PageNumber"/>
      </w:rPr>
    </w:pPr>
    <w:r w:rsidRPr="00063995">
      <w:rPr>
        <w:rFonts w:asciiTheme="majorHAnsi" w:hAnsiTheme="majorHAnsi"/>
        <w:noProof w:val="0"/>
      </w:rPr>
      <w:fldChar w:fldCharType="begin"/>
    </w:r>
    <w:r w:rsidRPr="00063995">
      <w:rPr>
        <w:rFonts w:asciiTheme="majorHAnsi" w:hAnsiTheme="majorHAnsi"/>
      </w:rPr>
      <w:instrText xml:space="preserve"> StyleRef “Title” </w:instrText>
    </w:r>
    <w:r w:rsidRPr="00063995">
      <w:rPr>
        <w:rFonts w:asciiTheme="majorHAnsi" w:hAnsiTheme="majorHAnsi"/>
        <w:noProof w:val="0"/>
      </w:rPr>
      <w:fldChar w:fldCharType="separate"/>
    </w:r>
    <w:r w:rsidR="00A04F78">
      <w:rPr>
        <w:rFonts w:asciiTheme="majorHAnsi" w:hAnsiTheme="majorHAnsi"/>
      </w:rPr>
      <w:t>Procurement</w:t>
    </w:r>
    <w:r w:rsidRPr="00063995">
      <w:rPr>
        <w:rFonts w:asciiTheme="majorHAnsi" w:hAnsiTheme="majorHAnsi"/>
      </w:rPr>
      <w:fldChar w:fldCharType="end"/>
    </w:r>
    <w:r w:rsidR="00D63B2F" w:rsidRPr="00EF6EC7">
      <w:t xml:space="preserve"> – </w:t>
    </w:r>
    <w:r w:rsidR="00D63B2F" w:rsidRPr="00EF6EC7">
      <w:rPr>
        <w:noProof w:val="0"/>
      </w:rPr>
      <w:fldChar w:fldCharType="begin"/>
    </w:r>
    <w:r w:rsidR="00D63B2F" w:rsidRPr="00EF6EC7">
      <w:instrText xml:space="preserve"> StyleRef “Subtitle” </w:instrText>
    </w:r>
    <w:r w:rsidR="00D63B2F" w:rsidRPr="00EF6EC7">
      <w:rPr>
        <w:noProof w:val="0"/>
      </w:rPr>
      <w:fldChar w:fldCharType="separate"/>
    </w:r>
    <w:r w:rsidR="00A04F78">
      <w:t>Investment Lifecycle and High Value High Risk Guidelines</w:t>
    </w:r>
    <w:r w:rsidR="00D63B2F" w:rsidRPr="00EF6EC7">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73A7E4EE" w14:textId="60435172" w:rsidR="00DF7E23" w:rsidRDefault="00DF7E23" w:rsidP="00687718">
    <w:pPr>
      <w:pStyle w:val="Footer"/>
      <w:tabs>
        <w:tab w:val="clear" w:pos="9026"/>
        <w:tab w:val="right" w:pos="14400"/>
      </w:tabs>
      <w:rPr>
        <w:rStyle w:val="PageNumbe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509E" w14:textId="77777777" w:rsidR="00014213" w:rsidRPr="00014213" w:rsidRDefault="00014213" w:rsidP="004F795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8408B" w14:textId="77777777" w:rsidR="00DF7E23" w:rsidRPr="00E0037F" w:rsidRDefault="00DF7E23" w:rsidP="00E003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22371" w14:textId="5A191086" w:rsidR="005817DA" w:rsidRDefault="005817DA" w:rsidP="004F7954"/>
  <w:p w14:paraId="1FE6836A" w14:textId="77777777" w:rsidR="005817DA" w:rsidRDefault="005817DA" w:rsidP="004F7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EFE2E" w14:textId="5A61F354" w:rsidR="00D833BE" w:rsidRDefault="00D833BE" w:rsidP="004F7954"/>
  <w:p w14:paraId="476A13AF" w14:textId="77777777" w:rsidR="00D833BE" w:rsidRDefault="00D833BE" w:rsidP="004F79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CABDC" w14:textId="77777777" w:rsidR="00A47634" w:rsidRDefault="00A47634" w:rsidP="004F7954"/>
  <w:p w14:paraId="5A8A1660" w14:textId="77777777" w:rsidR="00A47634" w:rsidRPr="00297281" w:rsidRDefault="00A47634" w:rsidP="004F7954">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614076">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33217" w14:textId="09E6D47F" w:rsidR="00D833BE" w:rsidRDefault="00D833BE" w:rsidP="00D833BE">
    <w:pPr>
      <w:pStyle w:val="Footer"/>
      <w:jc w:val="right"/>
    </w:pPr>
    <w:r>
      <w:fldChar w:fldCharType="begin"/>
    </w:r>
    <w:r>
      <w:instrText xml:space="preserve"> page </w:instrText>
    </w:r>
    <w:r>
      <w:fldChar w:fldCharType="separate"/>
    </w:r>
    <w:r>
      <w:t>i</w:t>
    </w:r>
    <w:r>
      <w:fldChar w:fldCharType="end"/>
    </w:r>
  </w:p>
  <w:p w14:paraId="6B558D45" w14:textId="01AC2B8E" w:rsidR="00D833BE" w:rsidRDefault="00D833BE" w:rsidP="00D833B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F36E" w14:textId="77777777" w:rsidR="00B172BB" w:rsidRDefault="00B172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31492" w14:textId="095A649D" w:rsidR="001740FA" w:rsidRDefault="001740FA" w:rsidP="001740FA">
    <w:pPr>
      <w:pStyle w:val="Footer"/>
      <w:rPr>
        <w:rStyle w:val="PageNumber"/>
      </w:rPr>
    </w:pPr>
    <w:r w:rsidRPr="00063995">
      <w:rPr>
        <w:rFonts w:asciiTheme="majorHAnsi" w:hAnsiTheme="majorHAnsi"/>
        <w:noProof w:val="0"/>
      </w:rPr>
      <w:fldChar w:fldCharType="begin"/>
    </w:r>
    <w:r w:rsidRPr="00063995">
      <w:rPr>
        <w:rFonts w:asciiTheme="majorHAnsi" w:hAnsiTheme="majorHAnsi"/>
      </w:rPr>
      <w:instrText xml:space="preserve"> StyleRef “Title” </w:instrText>
    </w:r>
    <w:r w:rsidRPr="00063995">
      <w:rPr>
        <w:rFonts w:asciiTheme="majorHAnsi" w:hAnsiTheme="majorHAnsi"/>
        <w:noProof w:val="0"/>
      </w:rPr>
      <w:fldChar w:fldCharType="separate"/>
    </w:r>
    <w:r w:rsidR="00894832">
      <w:rPr>
        <w:rFonts w:asciiTheme="majorHAnsi" w:hAnsiTheme="majorHAnsi"/>
      </w:rPr>
      <w:t>Procurement</w:t>
    </w:r>
    <w:r w:rsidRPr="00063995">
      <w:rPr>
        <w:rFonts w:asciiTheme="majorHAnsi" w:hAnsiTheme="majorHAnsi"/>
      </w:rPr>
      <w:fldChar w:fldCharType="end"/>
    </w:r>
    <w:r w:rsidR="00A41B38" w:rsidRPr="008A1ADB">
      <w:t xml:space="preserve"> – </w:t>
    </w:r>
    <w:r w:rsidR="00A41B38" w:rsidRPr="008A1ADB">
      <w:rPr>
        <w:noProof w:val="0"/>
      </w:rPr>
      <w:fldChar w:fldCharType="begin"/>
    </w:r>
    <w:r w:rsidR="00A41B38" w:rsidRPr="008A1ADB">
      <w:instrText xml:space="preserve"> StyleRef “Subtitle” </w:instrText>
    </w:r>
    <w:r w:rsidR="00A41B38" w:rsidRPr="008A1ADB">
      <w:rPr>
        <w:noProof w:val="0"/>
      </w:rPr>
      <w:fldChar w:fldCharType="separate"/>
    </w:r>
    <w:r w:rsidR="00894832">
      <w:t>Investment Lifecycle and High Value High Risk Guidelines</w:t>
    </w:r>
    <w:r w:rsidR="00A41B38" w:rsidRPr="008A1ADB">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9</w:t>
    </w:r>
    <w:r w:rsidRPr="00DE60CC">
      <w:rPr>
        <w:rStyle w:val="PageNumber"/>
      </w:rPr>
      <w:fldChar w:fldCharType="end"/>
    </w:r>
  </w:p>
  <w:p w14:paraId="7C850D4F" w14:textId="0680ED32" w:rsidR="00B172BB" w:rsidRPr="00C022F9" w:rsidRDefault="00B172BB" w:rsidP="006E0A9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8BD2" w14:textId="77777777" w:rsidR="00B172BB" w:rsidRDefault="00B172B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EDFFE" w14:textId="50B54553" w:rsidR="008E1C97" w:rsidRDefault="008E1C97" w:rsidP="008E1C97">
    <w:pPr>
      <w:pStyle w:val="Footer"/>
      <w:tabs>
        <w:tab w:val="clear" w:pos="9026"/>
        <w:tab w:val="right" w:pos="14490"/>
      </w:tabs>
      <w:rPr>
        <w:rStyle w:val="PageNumber"/>
      </w:rPr>
    </w:pPr>
    <w:r w:rsidRPr="00063995">
      <w:rPr>
        <w:rFonts w:asciiTheme="majorHAnsi" w:hAnsiTheme="majorHAnsi"/>
        <w:noProof w:val="0"/>
      </w:rPr>
      <w:fldChar w:fldCharType="begin"/>
    </w:r>
    <w:r w:rsidRPr="00063995">
      <w:rPr>
        <w:rFonts w:asciiTheme="majorHAnsi" w:hAnsiTheme="majorHAnsi"/>
      </w:rPr>
      <w:instrText xml:space="preserve"> StyleRef “Title” </w:instrText>
    </w:r>
    <w:r w:rsidRPr="00063995">
      <w:rPr>
        <w:rFonts w:asciiTheme="majorHAnsi" w:hAnsiTheme="majorHAnsi"/>
        <w:noProof w:val="0"/>
      </w:rPr>
      <w:fldChar w:fldCharType="separate"/>
    </w:r>
    <w:r w:rsidR="00A04F78">
      <w:rPr>
        <w:rFonts w:asciiTheme="majorHAnsi" w:hAnsiTheme="majorHAnsi"/>
      </w:rPr>
      <w:t>Procurement</w:t>
    </w:r>
    <w:r w:rsidRPr="00063995">
      <w:rPr>
        <w:rFonts w:asciiTheme="majorHAnsi" w:hAnsiTheme="majorHAnsi"/>
      </w:rPr>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9</w:t>
    </w:r>
    <w:r w:rsidRPr="00DE60CC">
      <w:rPr>
        <w:rStyle w:val="PageNumber"/>
      </w:rPr>
      <w:fldChar w:fldCharType="end"/>
    </w:r>
  </w:p>
  <w:p w14:paraId="6A33E3D2" w14:textId="1A6ED66F" w:rsidR="008E1C97" w:rsidRPr="00C022F9" w:rsidRDefault="008E1C97" w:rsidP="006E0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29BFD" w14:textId="77777777" w:rsidR="00AC2E71" w:rsidRDefault="00AC2E71" w:rsidP="004F7954">
      <w:r>
        <w:separator/>
      </w:r>
    </w:p>
  </w:footnote>
  <w:footnote w:type="continuationSeparator" w:id="0">
    <w:p w14:paraId="77567374" w14:textId="77777777" w:rsidR="00AC2E71" w:rsidRDefault="00AC2E71" w:rsidP="004F7954">
      <w:r>
        <w:continuationSeparator/>
      </w:r>
    </w:p>
  </w:footnote>
  <w:footnote w:type="continuationNotice" w:id="1">
    <w:p w14:paraId="4A0F6B5F" w14:textId="77777777" w:rsidR="00AC2E71" w:rsidRDefault="00AC2E71">
      <w:pPr>
        <w:spacing w:before="0" w:after="0" w:line="240" w:lineRule="auto"/>
      </w:pPr>
    </w:p>
  </w:footnote>
  <w:footnote w:id="2">
    <w:p w14:paraId="0D96FC17" w14:textId="33F1034C" w:rsidR="00254C9A" w:rsidRDefault="00254C9A" w:rsidP="003274F9">
      <w:pPr>
        <w:pStyle w:val="FootnoteText"/>
      </w:pPr>
      <w:r>
        <w:rPr>
          <w:rStyle w:val="FootnoteReference"/>
        </w:rPr>
        <w:footnoteRef/>
      </w:r>
      <w:r>
        <w:t xml:space="preserve"> </w:t>
      </w:r>
      <w:r w:rsidRPr="003274F9">
        <w:t>This guideline does not outline local government requirements for infrastructure delivery. Agencies are encouraged to identify and engage with any local councils that may impose requirements that need to be considered throughout the procurement process.</w:t>
      </w:r>
    </w:p>
  </w:footnote>
  <w:footnote w:id="3">
    <w:p w14:paraId="27A484B3" w14:textId="65E44EBF" w:rsidR="00710A0D" w:rsidRDefault="00710A0D" w:rsidP="00710A0D">
      <w:pPr>
        <w:pStyle w:val="FootnoteText"/>
      </w:pPr>
      <w:r>
        <w:rPr>
          <w:rStyle w:val="FootnoteReference"/>
        </w:rPr>
        <w:footnoteRef/>
      </w:r>
      <w:r>
        <w:t xml:space="preserve"> Megaprojects are valued at $2</w:t>
      </w:r>
      <w:r w:rsidR="00A35D39">
        <w:rPr>
          <w:rFonts w:ascii="Calibri" w:hAnsi="Calibri" w:cs="Calibri"/>
        </w:rPr>
        <w:t> </w:t>
      </w:r>
      <w:r>
        <w:t>billion or more</w:t>
      </w:r>
      <w:r w:rsidR="00A35D39">
        <w:t>.</w:t>
      </w:r>
    </w:p>
  </w:footnote>
  <w:footnote w:id="4">
    <w:p w14:paraId="3B78F491" w14:textId="662C175D" w:rsidR="001A32BB" w:rsidRDefault="001A32BB" w:rsidP="001A32BB">
      <w:pPr>
        <w:pStyle w:val="FootnoteText"/>
      </w:pPr>
      <w:r>
        <w:rPr>
          <w:rStyle w:val="FootnoteReference"/>
        </w:rPr>
        <w:footnoteRef/>
      </w:r>
      <w:r>
        <w:t xml:space="preserve"> </w:t>
      </w:r>
      <w:r w:rsidR="17EE2EEC" w:rsidRPr="0030271D">
        <w:t>The</w:t>
      </w:r>
      <w:r w:rsidRPr="0030271D">
        <w:t xml:space="preserve"> table </w:t>
      </w:r>
      <w:r w:rsidR="17EE2EEC" w:rsidRPr="0030271D">
        <w:t>should</w:t>
      </w:r>
      <w:r w:rsidRPr="0030271D">
        <w:t xml:space="preserve"> serve as a general guide to test procurement model fit against specific project characteristics for shortlisting purposes. This includes differentiating between the typical benefits and limitations of each of these models. Individual questions within the table are not intended to be definitive but align to the most likely scenario.</w:t>
      </w:r>
      <w:r w:rsidR="17EE2EEC" w:rsidRPr="0030271D">
        <w:t xml:space="preserve"> </w:t>
      </w:r>
      <w:r w:rsidR="17EE2EEC" w:rsidRPr="005752D4">
        <w:t>For example, the level of input required from the rail operator for brownfield rail projects supports an alliance model in which the operator is a participant.</w:t>
      </w:r>
    </w:p>
  </w:footnote>
  <w:footnote w:id="5">
    <w:p w14:paraId="02088F0B" w14:textId="2CAA18B9" w:rsidR="12332228" w:rsidRPr="00171CF8" w:rsidRDefault="12332228" w:rsidP="00171CF8">
      <w:pPr>
        <w:pStyle w:val="FootnoteText"/>
      </w:pPr>
      <w:r w:rsidRPr="00F40419">
        <w:rPr>
          <w:rStyle w:val="FootnoteReference"/>
        </w:rPr>
        <w:footnoteRef/>
      </w:r>
      <w:r w:rsidR="3898BB9C" w:rsidRPr="00F40419">
        <w:t xml:space="preserve"> There may be department</w:t>
      </w:r>
      <w:r w:rsidR="007F730E">
        <w:t>-</w:t>
      </w:r>
      <w:r w:rsidR="3898BB9C" w:rsidRPr="00F40419">
        <w:t xml:space="preserve">specific standard form contracts endorsed under the Ministerial Directions </w:t>
      </w:r>
      <w:r w:rsidR="00E71542">
        <w:t xml:space="preserve">and Instructions </w:t>
      </w:r>
      <w:r w:rsidR="3898BB9C" w:rsidRPr="00F40419">
        <w:t>for Public Construction</w:t>
      </w:r>
      <w:r w:rsidR="00FA4B32">
        <w:t xml:space="preserve"> Procurement</w:t>
      </w:r>
      <w:r w:rsidR="3898BB9C" w:rsidRPr="3898BB9C">
        <w:t xml:space="preserve">, </w:t>
      </w:r>
      <w:r w:rsidR="3898BB9C" w:rsidRPr="00171CF8">
        <w:t>which are not intended to be impacted by th</w:t>
      </w:r>
      <w:r w:rsidR="007F730E">
        <w:t>ese</w:t>
      </w:r>
      <w:r w:rsidR="3898BB9C" w:rsidRPr="00171CF8">
        <w:t xml:space="preserve"> </w:t>
      </w:r>
      <w:r w:rsidR="007F730E">
        <w:t>g</w:t>
      </w:r>
      <w:r w:rsidR="007F730E" w:rsidRPr="00171CF8">
        <w:t>uideline</w:t>
      </w:r>
      <w:r w:rsidR="002865DA">
        <w:t>s.</w:t>
      </w:r>
    </w:p>
  </w:footnote>
  <w:footnote w:id="6">
    <w:p w14:paraId="31B98DFD" w14:textId="24B6601F" w:rsidR="12332228" w:rsidRDefault="12332228" w:rsidP="00171CF8">
      <w:pPr>
        <w:pStyle w:val="FootnoteText"/>
      </w:pPr>
      <w:r w:rsidRPr="12332228">
        <w:rPr>
          <w:rStyle w:val="FootnoteReference"/>
        </w:rPr>
        <w:footnoteRef/>
      </w:r>
      <w:r w:rsidR="3898BB9C">
        <w:t xml:space="preserve"> </w:t>
      </w:r>
      <w:r w:rsidR="3898BB9C" w:rsidRPr="3898BB9C">
        <w:t>There may be departmen</w:t>
      </w:r>
      <w:r w:rsidR="00EC70FA">
        <w:t>t-</w:t>
      </w:r>
      <w:r w:rsidR="3898BB9C" w:rsidRPr="3898BB9C">
        <w:t xml:space="preserve">specific standard form contracts endorsed under the Ministerial Directions </w:t>
      </w:r>
      <w:r w:rsidR="00E71542">
        <w:t xml:space="preserve">and Instructions </w:t>
      </w:r>
      <w:r w:rsidR="3898BB9C" w:rsidRPr="3898BB9C">
        <w:t>for Public Construction</w:t>
      </w:r>
      <w:r w:rsidR="00C51AFD">
        <w:t xml:space="preserve"> Procurement</w:t>
      </w:r>
      <w:r w:rsidR="3898BB9C" w:rsidRPr="3898BB9C">
        <w:t xml:space="preserve">, </w:t>
      </w:r>
      <w:r w:rsidR="3898BB9C" w:rsidRPr="00DC29A4">
        <w:t>which are not intended to be impacted by th</w:t>
      </w:r>
      <w:r w:rsidR="000E765D">
        <w:t>ese</w:t>
      </w:r>
      <w:r w:rsidR="3898BB9C" w:rsidRPr="00DC29A4">
        <w:t xml:space="preserve"> </w:t>
      </w:r>
      <w:r w:rsidR="000E765D">
        <w:t>g</w:t>
      </w:r>
      <w:r w:rsidR="000E765D" w:rsidRPr="00DC29A4">
        <w:t>uideline</w:t>
      </w:r>
      <w:r w:rsidR="000E765D">
        <w:t>s</w:t>
      </w:r>
      <w:r w:rsidR="3898BB9C" w:rsidRPr="00DC29A4">
        <w:t>.</w:t>
      </w:r>
    </w:p>
  </w:footnote>
  <w:footnote w:id="7">
    <w:p w14:paraId="0995FC6B" w14:textId="737726E2" w:rsidR="12332228" w:rsidRDefault="12332228" w:rsidP="00171CF8">
      <w:pPr>
        <w:pStyle w:val="FootnoteText"/>
      </w:pPr>
      <w:r w:rsidRPr="12332228">
        <w:rPr>
          <w:rStyle w:val="FootnoteReference"/>
        </w:rPr>
        <w:footnoteRef/>
      </w:r>
      <w:r w:rsidR="3898BB9C">
        <w:t xml:space="preserve"> </w:t>
      </w:r>
      <w:r w:rsidR="3898BB9C" w:rsidRPr="3898BB9C">
        <w:t>There may be department</w:t>
      </w:r>
      <w:r w:rsidR="0023004E">
        <w:t>-</w:t>
      </w:r>
      <w:r w:rsidR="3898BB9C" w:rsidRPr="3898BB9C">
        <w:t>specific standard form contracts endorsed under the Ministerial Directions</w:t>
      </w:r>
      <w:r w:rsidR="00E71542">
        <w:t xml:space="preserve"> and Instructions</w:t>
      </w:r>
      <w:r w:rsidR="3898BB9C" w:rsidRPr="3898BB9C">
        <w:t xml:space="preserve"> for Public Construction</w:t>
      </w:r>
      <w:r w:rsidR="00B9119D">
        <w:t xml:space="preserve"> Procurement</w:t>
      </w:r>
      <w:r w:rsidR="3898BB9C" w:rsidRPr="3898BB9C">
        <w:t xml:space="preserve">, </w:t>
      </w:r>
      <w:r w:rsidR="3898BB9C" w:rsidRPr="00DC29A4">
        <w:t xml:space="preserve">which are not intended to be impacted by </w:t>
      </w:r>
      <w:r w:rsidR="0023004E" w:rsidRPr="00DC29A4">
        <w:t>th</w:t>
      </w:r>
      <w:r w:rsidR="0023004E">
        <w:t>ese</w:t>
      </w:r>
      <w:r w:rsidR="0023004E" w:rsidRPr="00DC29A4">
        <w:t xml:space="preserve"> </w:t>
      </w:r>
      <w:r w:rsidR="0023004E">
        <w:t>g</w:t>
      </w:r>
      <w:r w:rsidR="0023004E" w:rsidRPr="00DC29A4">
        <w:t>uideline</w:t>
      </w:r>
      <w:r w:rsidR="0023004E">
        <w:t>s</w:t>
      </w:r>
      <w:r w:rsidR="3898BB9C" w:rsidRPr="00DC29A4">
        <w:t>.</w:t>
      </w:r>
    </w:p>
  </w:footnote>
  <w:footnote w:id="8">
    <w:p w14:paraId="4E2104C3" w14:textId="32774046" w:rsidR="004E1D40" w:rsidRDefault="004E1D40" w:rsidP="004E1D40">
      <w:pPr>
        <w:pStyle w:val="FootnoteText"/>
      </w:pPr>
      <w:r>
        <w:rPr>
          <w:rStyle w:val="FootnoteReference"/>
        </w:rPr>
        <w:footnoteRef/>
      </w:r>
      <w:r>
        <w:t xml:space="preserve"> </w:t>
      </w:r>
      <w:r w:rsidRPr="00EF78FD">
        <w:rPr>
          <w:rStyle w:val="FooterChar"/>
        </w:rPr>
        <w:t xml:space="preserve">The </w:t>
      </w:r>
      <w:r w:rsidR="00AC6FF5">
        <w:rPr>
          <w:rStyle w:val="FooterChar"/>
        </w:rPr>
        <w:t>MC procurement</w:t>
      </w:r>
      <w:r w:rsidRPr="00EF78FD">
        <w:rPr>
          <w:rStyle w:val="FooterChar"/>
        </w:rPr>
        <w:t xml:space="preserve"> model has taken various forms across delivery agencies in Victoria</w:t>
      </w:r>
      <w:r w:rsidR="00AC6FF5">
        <w:rPr>
          <w:rStyle w:val="FooterChar"/>
        </w:rPr>
        <w:t>.</w:t>
      </w:r>
      <w:r w:rsidRPr="00EF78FD">
        <w:rPr>
          <w:rStyle w:val="FooterChar"/>
        </w:rPr>
        <w:t xml:space="preserve"> </w:t>
      </w:r>
      <w:r w:rsidR="00AC6FF5">
        <w:rPr>
          <w:rStyle w:val="FooterChar"/>
        </w:rPr>
        <w:t>T</w:t>
      </w:r>
      <w:r w:rsidR="00AC6FF5" w:rsidRPr="00EF78FD">
        <w:rPr>
          <w:rStyle w:val="FooterChar"/>
        </w:rPr>
        <w:t xml:space="preserve">his </w:t>
      </w:r>
      <w:r w:rsidRPr="00EF78FD">
        <w:rPr>
          <w:rStyle w:val="FooterChar"/>
        </w:rPr>
        <w:t>section outlines DTF</w:t>
      </w:r>
      <w:r w:rsidR="00344D3F">
        <w:rPr>
          <w:rStyle w:val="FooterChar"/>
        </w:rPr>
        <w:t>’</w:t>
      </w:r>
      <w:r w:rsidRPr="00EF78FD">
        <w:rPr>
          <w:rStyle w:val="FooterChar"/>
        </w:rPr>
        <w:t>s preferred approach.</w:t>
      </w:r>
    </w:p>
  </w:footnote>
  <w:footnote w:id="9">
    <w:p w14:paraId="2B0B22FD" w14:textId="77777777" w:rsidR="00CD6306" w:rsidRDefault="00CD6306">
      <w:pPr>
        <w:pStyle w:val="FootnoteText"/>
      </w:pPr>
      <w:r>
        <w:rPr>
          <w:rStyle w:val="FootnoteReference"/>
        </w:rPr>
        <w:footnoteRef/>
      </w:r>
      <w:r w:rsidR="00FF037E">
        <w:t xml:space="preserve"> </w:t>
      </w:r>
      <w:r w:rsidR="00FF037E" w:rsidRPr="00171CF8">
        <w:rPr>
          <w:rStyle w:val="FooterChar"/>
        </w:rPr>
        <w:t xml:space="preserve">Distinct from underdeveloped business cases </w:t>
      </w:r>
      <w:r w:rsidR="00FF037E" w:rsidRPr="00171CF8" w:rsidDel="009F4CF0">
        <w:rPr>
          <w:rStyle w:val="FooterChar"/>
        </w:rPr>
        <w:t xml:space="preserve">or </w:t>
      </w:r>
      <w:r w:rsidR="00FF037E" w:rsidRPr="00171CF8">
        <w:rPr>
          <w:rStyle w:val="FooterChar"/>
        </w:rPr>
        <w:t>truncated pre-tender timelines.</w:t>
      </w:r>
    </w:p>
  </w:footnote>
  <w:footnote w:id="10">
    <w:p w14:paraId="2B7A576D" w14:textId="6E5E90C5" w:rsidR="12332228" w:rsidRDefault="12332228" w:rsidP="00171CF8">
      <w:pPr>
        <w:pStyle w:val="FootnoteText"/>
      </w:pPr>
      <w:r w:rsidRPr="12332228">
        <w:rPr>
          <w:rStyle w:val="FootnoteReference"/>
        </w:rPr>
        <w:footnoteRef/>
      </w:r>
      <w:r w:rsidR="3898BB9C">
        <w:t xml:space="preserve"> </w:t>
      </w:r>
      <w:r w:rsidR="3898BB9C" w:rsidRPr="3898BB9C">
        <w:t xml:space="preserve">There may be </w:t>
      </w:r>
      <w:r w:rsidR="003C341F">
        <w:t>department-specific</w:t>
      </w:r>
      <w:r w:rsidR="3898BB9C" w:rsidRPr="3898BB9C">
        <w:t xml:space="preserve"> standard form contracts endorsed under the Ministerial Directions</w:t>
      </w:r>
      <w:r w:rsidR="00E71542">
        <w:t xml:space="preserve"> and Instructions</w:t>
      </w:r>
      <w:r w:rsidR="3898BB9C" w:rsidRPr="3898BB9C">
        <w:t xml:space="preserve"> for Public Construction</w:t>
      </w:r>
      <w:r w:rsidR="00B9119D">
        <w:t xml:space="preserve"> Procurement</w:t>
      </w:r>
      <w:r w:rsidR="3898BB9C" w:rsidRPr="3898BB9C">
        <w:t xml:space="preserve">, </w:t>
      </w:r>
      <w:r w:rsidR="3898BB9C" w:rsidRPr="00DC29A4">
        <w:t>which are not intended to be impacted by this Guideline.</w:t>
      </w:r>
    </w:p>
  </w:footnote>
  <w:footnote w:id="11">
    <w:p w14:paraId="3D86921A" w14:textId="77777777" w:rsidR="00DE25C6" w:rsidRDefault="00DE25C6" w:rsidP="00DE25C6">
      <w:pPr>
        <w:pStyle w:val="FootnoteText"/>
      </w:pPr>
      <w:r>
        <w:rPr>
          <w:rStyle w:val="FootnoteReference"/>
        </w:rPr>
        <w:footnoteRef/>
      </w:r>
      <w:r>
        <w:t xml:space="preserve"> </w:t>
      </w:r>
      <w:r w:rsidRPr="00C23084">
        <w:t xml:space="preserve">Distinct from underdeveloped business cases </w:t>
      </w:r>
      <w:r w:rsidRPr="00C23084" w:rsidDel="004E6B39">
        <w:t xml:space="preserve">or </w:t>
      </w:r>
      <w:r w:rsidRPr="00C23084">
        <w:t>truncated pre-tender timelines.</w:t>
      </w:r>
    </w:p>
  </w:footnote>
  <w:footnote w:id="12">
    <w:p w14:paraId="25F27877" w14:textId="5D35A865" w:rsidR="12332228" w:rsidRDefault="12332228" w:rsidP="00171CF8">
      <w:pPr>
        <w:pStyle w:val="FootnoteText"/>
      </w:pPr>
      <w:r w:rsidRPr="12332228">
        <w:rPr>
          <w:rStyle w:val="FootnoteReference"/>
        </w:rPr>
        <w:footnoteRef/>
      </w:r>
      <w:r w:rsidR="3898BB9C">
        <w:t xml:space="preserve"> </w:t>
      </w:r>
      <w:r w:rsidR="3898BB9C" w:rsidRPr="3898BB9C">
        <w:t xml:space="preserve">There may be </w:t>
      </w:r>
      <w:r w:rsidR="003C341F">
        <w:t>department-specific</w:t>
      </w:r>
      <w:r w:rsidR="3898BB9C" w:rsidRPr="3898BB9C">
        <w:t xml:space="preserve"> standard form contracts endorsed under the Ministerial Directions </w:t>
      </w:r>
      <w:r w:rsidR="00E71542">
        <w:t xml:space="preserve">and Instructions </w:t>
      </w:r>
      <w:r w:rsidR="3898BB9C" w:rsidRPr="3898BB9C">
        <w:t>for Public Construction</w:t>
      </w:r>
      <w:r w:rsidR="00B9119D">
        <w:t xml:space="preserve"> Procurement</w:t>
      </w:r>
      <w:r w:rsidR="3898BB9C" w:rsidRPr="3898BB9C">
        <w:t xml:space="preserve">, </w:t>
      </w:r>
      <w:r w:rsidR="3898BB9C" w:rsidRPr="00F00271">
        <w:t>which are not intended to be impacted by this Guideline.</w:t>
      </w:r>
    </w:p>
  </w:footnote>
  <w:footnote w:id="13">
    <w:p w14:paraId="6FC57B08" w14:textId="77777777" w:rsidR="00AC64FB" w:rsidRDefault="00AC64FB" w:rsidP="00AC64FB">
      <w:pPr>
        <w:pStyle w:val="FootnoteText"/>
      </w:pPr>
      <w:r>
        <w:rPr>
          <w:rStyle w:val="FootnoteReference"/>
        </w:rPr>
        <w:footnoteRef/>
      </w:r>
      <w:r>
        <w:t xml:space="preserve"> </w:t>
      </w:r>
      <w:r w:rsidRPr="00171CF8">
        <w:t>The TOC is the estimated cost of completing the contracted works and achieving the minimum outcomes required by delivery agencies for the project.</w:t>
      </w:r>
    </w:p>
  </w:footnote>
  <w:footnote w:id="14">
    <w:p w14:paraId="0D071B59" w14:textId="2B6563CB" w:rsidR="00D172B6" w:rsidRDefault="00D172B6" w:rsidP="00D172B6">
      <w:pPr>
        <w:pStyle w:val="FootnoteText"/>
      </w:pPr>
      <w:r>
        <w:rPr>
          <w:rStyle w:val="FootnoteReference"/>
        </w:rPr>
        <w:footnoteRef/>
      </w:r>
      <w:r>
        <w:t xml:space="preserve"> </w:t>
      </w:r>
      <w:r w:rsidRPr="00C23084">
        <w:t>Projects with lower value may be determined to be suitable for alliance delivery, for example, where existing capability and capacity can be leveraged</w:t>
      </w:r>
      <w:r w:rsidR="00FB727F" w:rsidRPr="00781C4F">
        <w:t xml:space="preserve"> or where a high level of input and engagement with key stakeholders is required.</w:t>
      </w:r>
    </w:p>
  </w:footnote>
  <w:footnote w:id="15">
    <w:p w14:paraId="64B0CD1E" w14:textId="77777777" w:rsidR="00D172B6" w:rsidRDefault="00D172B6" w:rsidP="00D172B6">
      <w:pPr>
        <w:pStyle w:val="FootnoteText"/>
      </w:pPr>
      <w:r>
        <w:rPr>
          <w:rStyle w:val="FootnoteReference"/>
        </w:rPr>
        <w:footnoteRef/>
      </w:r>
      <w:r>
        <w:t xml:space="preserve"> </w:t>
      </w:r>
      <w:r w:rsidRPr="00C23084">
        <w:t xml:space="preserve">Distinct from underdeveloped business cases </w:t>
      </w:r>
      <w:r w:rsidRPr="00C23084" w:rsidDel="006370F9">
        <w:t xml:space="preserve">or </w:t>
      </w:r>
      <w:r w:rsidRPr="00C23084">
        <w:t>truncated pre-tender timelines.</w:t>
      </w:r>
    </w:p>
  </w:footnote>
  <w:footnote w:id="16">
    <w:p w14:paraId="1A0290E7" w14:textId="27DFE5A8" w:rsidR="009522E1" w:rsidRPr="00116E99" w:rsidRDefault="009522E1" w:rsidP="009522E1">
      <w:pPr>
        <w:pStyle w:val="FootnoteText"/>
        <w:rPr>
          <w:sz w:val="18"/>
          <w:szCs w:val="18"/>
        </w:rPr>
      </w:pPr>
      <w:r>
        <w:rPr>
          <w:rStyle w:val="FootnoteReference"/>
        </w:rPr>
        <w:footnoteRef/>
      </w:r>
      <w:r>
        <w:t xml:space="preserve"> </w:t>
      </w:r>
      <w:r w:rsidRPr="0060589A">
        <w:rPr>
          <w:rStyle w:val="FooterChar"/>
        </w:rPr>
        <w:t xml:space="preserve">See the DTF website at: </w:t>
      </w:r>
      <w:hyperlink r:id="rId1" w:history="1">
        <w:r w:rsidR="00F9720B">
          <w:rPr>
            <w:rStyle w:val="Hyperlink"/>
            <w:sz w:val="18"/>
            <w:szCs w:val="18"/>
          </w:rPr>
          <w:t>https://www.dtf.vic.gov.au/infrastructure-investment/investment-lifecycle-and-high-value-high-risk-guidelines</w:t>
        </w:r>
      </w:hyperlink>
      <w:r w:rsidR="00F21EE7" w:rsidRPr="00C428E6">
        <w:t>.</w:t>
      </w:r>
    </w:p>
  </w:footnote>
  <w:footnote w:id="17">
    <w:p w14:paraId="4A1DD975" w14:textId="374B0A16" w:rsidR="003324A3" w:rsidRPr="00FE1BCF" w:rsidRDefault="003324A3" w:rsidP="003324A3">
      <w:pPr>
        <w:pStyle w:val="FootnoteText"/>
      </w:pPr>
      <w:r>
        <w:rPr>
          <w:rStyle w:val="FootnoteReference"/>
        </w:rPr>
        <w:footnoteRef/>
      </w:r>
      <w:r>
        <w:t xml:space="preserve"> </w:t>
      </w:r>
      <w:r w:rsidRPr="007D48FA">
        <w:t xml:space="preserve">Australasian Procurement and Construction Council, </w:t>
      </w:r>
      <w:r w:rsidR="00344D3F">
        <w:t>‘</w:t>
      </w:r>
      <w:r w:rsidRPr="007D48FA">
        <w:t xml:space="preserve">Building and Construction Procurement Guide </w:t>
      </w:r>
      <w:r w:rsidRPr="007D48FA">
        <w:rPr>
          <w:rFonts w:hint="eastAsia"/>
        </w:rPr>
        <w:t>–</w:t>
      </w:r>
      <w:r w:rsidRPr="007D48FA">
        <w:t xml:space="preserve"> Principles and Options</w:t>
      </w:r>
      <w:r w:rsidR="00344D3F">
        <w:t>’</w:t>
      </w:r>
      <w:r w:rsidRPr="007D48FA">
        <w:t>, May 2013.</w:t>
      </w:r>
    </w:p>
  </w:footnote>
  <w:footnote w:id="18">
    <w:p w14:paraId="30C06335" w14:textId="2B59A106" w:rsidR="00254182" w:rsidRPr="00D6793F" w:rsidRDefault="00254182" w:rsidP="00E27BA0">
      <w:pPr>
        <w:pStyle w:val="FootnoteText"/>
      </w:pPr>
      <w:r w:rsidRPr="00D6793F">
        <w:rPr>
          <w:rStyle w:val="FootnoteReference"/>
        </w:rPr>
        <w:footnoteRef/>
      </w:r>
      <w:r w:rsidRPr="00D6793F">
        <w:t xml:space="preserve"> DTF propose</w:t>
      </w:r>
      <w:r w:rsidR="004F2763">
        <w:t>s</w:t>
      </w:r>
      <w:r w:rsidRPr="00D6793F">
        <w:t xml:space="preserve"> to adopt the term </w:t>
      </w:r>
      <w:r w:rsidR="004736EB">
        <w:t>t</w:t>
      </w:r>
      <w:r w:rsidRPr="00D6793F">
        <w:t xml:space="preserve">arget </w:t>
      </w:r>
      <w:r w:rsidR="004736EB">
        <w:t>c</w:t>
      </w:r>
      <w:r w:rsidR="004736EB" w:rsidRPr="00D6793F">
        <w:t xml:space="preserve">onstruction </w:t>
      </w:r>
      <w:r w:rsidR="004736EB">
        <w:t>c</w:t>
      </w:r>
      <w:r w:rsidR="004736EB" w:rsidRPr="00D6793F">
        <w:t xml:space="preserve">ost </w:t>
      </w:r>
      <w:r w:rsidRPr="00D6793F">
        <w:t xml:space="preserve">for the </w:t>
      </w:r>
      <w:r w:rsidR="00DB26B4">
        <w:t>s</w:t>
      </w:r>
      <w:r w:rsidRPr="00D6793F">
        <w:t>tate</w:t>
      </w:r>
      <w:r w:rsidR="00DB26B4">
        <w:t>-</w:t>
      </w:r>
      <w:r w:rsidRPr="00D6793F">
        <w:t>side estimate.</w:t>
      </w:r>
    </w:p>
  </w:footnote>
  <w:footnote w:id="19">
    <w:p w14:paraId="5FAAAF5C" w14:textId="0A16C0FE" w:rsidR="00254182" w:rsidRDefault="00254182" w:rsidP="00E27BA0">
      <w:pPr>
        <w:pStyle w:val="FootnoteText"/>
      </w:pPr>
      <w:r w:rsidRPr="00D6793F">
        <w:rPr>
          <w:rStyle w:val="FootnoteReference"/>
        </w:rPr>
        <w:footnoteRef/>
      </w:r>
      <w:r w:rsidRPr="00D6793F">
        <w:t xml:space="preserve"> DTF propose</w:t>
      </w:r>
      <w:r w:rsidR="004F2763">
        <w:t>s</w:t>
      </w:r>
      <w:r w:rsidRPr="00D6793F">
        <w:t xml:space="preserve"> to adopt the term</w:t>
      </w:r>
      <w:r w:rsidR="001E2C85">
        <w:t>s</w:t>
      </w:r>
      <w:r w:rsidRPr="00D6793F">
        <w:t xml:space="preserve"> </w:t>
      </w:r>
      <w:r w:rsidR="001E2C85">
        <w:rPr>
          <w:bCs/>
        </w:rPr>
        <w:t>g</w:t>
      </w:r>
      <w:r w:rsidRPr="00171CF8">
        <w:rPr>
          <w:bCs/>
        </w:rPr>
        <w:t xml:space="preserve">uaranteed </w:t>
      </w:r>
      <w:r w:rsidR="001E2C85">
        <w:rPr>
          <w:bCs/>
        </w:rPr>
        <w:t>c</w:t>
      </w:r>
      <w:r w:rsidR="001E2C85" w:rsidRPr="00171CF8">
        <w:rPr>
          <w:bCs/>
        </w:rPr>
        <w:t xml:space="preserve">onstruction </w:t>
      </w:r>
      <w:r w:rsidR="001E2C85">
        <w:rPr>
          <w:bCs/>
        </w:rPr>
        <w:t>s</w:t>
      </w:r>
      <w:r w:rsidR="001E2C85" w:rsidRPr="00171CF8">
        <w:rPr>
          <w:bCs/>
        </w:rPr>
        <w:t xml:space="preserve">um </w:t>
      </w:r>
      <w:r w:rsidRPr="00171CF8">
        <w:rPr>
          <w:bCs/>
        </w:rPr>
        <w:t>(GCS)</w:t>
      </w:r>
      <w:r w:rsidR="00527FCB">
        <w:rPr>
          <w:bCs/>
        </w:rPr>
        <w:t xml:space="preserve"> and </w:t>
      </w:r>
      <w:r w:rsidR="001E2C85">
        <w:t>w</w:t>
      </w:r>
      <w:r w:rsidR="001E2C85" w:rsidRPr="00D6793F">
        <w:t xml:space="preserve">arranted </w:t>
      </w:r>
      <w:r w:rsidR="001E2C85">
        <w:t>c</w:t>
      </w:r>
      <w:r w:rsidR="001E2C85" w:rsidRPr="00D6793F">
        <w:t xml:space="preserve">onstruction </w:t>
      </w:r>
      <w:r w:rsidR="001E2C85">
        <w:t>p</w:t>
      </w:r>
      <w:r w:rsidR="001E2C85" w:rsidRPr="00D6793F">
        <w:t xml:space="preserve">rice </w:t>
      </w:r>
      <w:r w:rsidRPr="00D6793F">
        <w:t xml:space="preserve">(WCP), rather than TOC, as TOC is typically accompanied with adjustments during the works as is typical for other reimbursable models, notably </w:t>
      </w:r>
      <w:r w:rsidR="004F2763">
        <w:t>a</w:t>
      </w:r>
      <w:r w:rsidR="004F2763" w:rsidRPr="00D6793F">
        <w:t xml:space="preserve">lliance </w:t>
      </w:r>
      <w:r w:rsidRPr="00D6793F">
        <w:t>projects.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BC9C" w14:textId="5D0868BA" w:rsidR="005817DA" w:rsidRDefault="008F382B" w:rsidP="004F7954">
    <w:pPr>
      <w:pStyle w:val="Header"/>
    </w:pPr>
    <w:r>
      <w:rPr>
        <w:noProof/>
      </w:rPr>
      <mc:AlternateContent>
        <mc:Choice Requires="wps">
          <w:drawing>
            <wp:anchor distT="0" distB="0" distL="114300" distR="114300" simplePos="0" relativeHeight="251658242" behindDoc="0" locked="0" layoutInCell="1" allowOverlap="1" wp14:anchorId="7CE80FC4" wp14:editId="7535877E">
              <wp:simplePos x="0" y="0"/>
              <wp:positionH relativeFrom="page">
                <wp:posOffset>6350</wp:posOffset>
              </wp:positionH>
              <wp:positionV relativeFrom="paragraph">
                <wp:posOffset>-444500</wp:posOffset>
              </wp:positionV>
              <wp:extent cx="7545705" cy="10754360"/>
              <wp:effectExtent l="0" t="0" r="0" b="8890"/>
              <wp:wrapNone/>
              <wp:docPr id="1940597815" name="Rectangle 19405978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705" cy="1075436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DC360" id="Rectangle 1940597815" o:spid="_x0000_s1026" alt="&quot;&quot;" style="position:absolute;margin-left:.5pt;margin-top:-35pt;width:594.15pt;height:846.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" fillcolor="#232b39 [3213]" stroked="f" strokeweight="2pt">
              <w10:wrap anchorx="page"/>
            </v:rect>
          </w:pict>
        </mc:Fallback>
      </mc:AlternateContent>
    </w:r>
    <w:r w:rsidR="005817DA">
      <w:rPr>
        <w:noProof/>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BD41" w14:textId="77777777" w:rsidR="00DF7E23" w:rsidRDefault="00DF7E23">
    <w:pPr>
      <w:pStyle w:val="Header"/>
    </w:pPr>
    <w:r>
      <w:rPr>
        <w:noProof/>
      </w:rPr>
      <mc:AlternateContent>
        <mc:Choice Requires="wpg">
          <w:drawing>
            <wp:anchor distT="0" distB="0" distL="114300" distR="114300" simplePos="0" relativeHeight="251663360" behindDoc="0" locked="0" layoutInCell="1" allowOverlap="1" wp14:anchorId="06AC1EC0" wp14:editId="14245377">
              <wp:simplePos x="0" y="0"/>
              <wp:positionH relativeFrom="page">
                <wp:align>right</wp:align>
              </wp:positionH>
              <wp:positionV relativeFrom="page">
                <wp:align>top</wp:align>
              </wp:positionV>
              <wp:extent cx="7562088" cy="859536"/>
              <wp:effectExtent l="0" t="0" r="1270" b="0"/>
              <wp:wrapNone/>
              <wp:docPr id="1940597794" name="Group 19405977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1940597795"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0597796" name="Group 1940597796"/>
                      <wpg:cNvGrpSpPr/>
                      <wpg:grpSpPr>
                        <a:xfrm>
                          <a:off x="6271745" y="-3009"/>
                          <a:ext cx="1130778" cy="796161"/>
                          <a:chOff x="-47574" y="-3009"/>
                          <a:chExt cx="1130778" cy="796161"/>
                        </a:xfrm>
                      </wpg:grpSpPr>
                      <wps:wsp>
                        <wps:cNvPr id="1940597797" name="Freeform: Shape 1940597797"/>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40597798" name="Freeform: Shape 1940597798"/>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0597799" name="Graphic 194059779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1940597800" name="Graphic 32979005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B7CA2B4" id="Group 1940597794" o:spid="_x0000_s1026" alt="&quot;&quot;" style="position:absolute;margin-left:544.25pt;margin-top:0;width:595.45pt;height:67.7pt;z-index:251663360;mso-position-horizontal:right;mso-position-horizontal-relative:page;mso-position-vertical:top;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" path="m,l7559675,r,764010l,764010,,xe" fillcolor="#232b39 [3213]" stroked="f" strokeweight=".35264mm">
                <v:stroke joinstyle="miter"/>
                <v:path arrowok="t" o:connecttype="custom" o:connectlocs="0,0;7561581,0;7561581,855084;0,855084" o:connectangles="0,0,0,0"/>
              </v:shape>
              <v:group id="Group 1940597796"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">
                <v:shape id="Freeform: Shape 1940597797"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" path="m,l179832,380524,359759,,,xe" fillcolor="#87189d [3204]" stroked="f">
                  <v:stroke joinstyle="miter"/>
                  <v:path arrowok="t" o:connecttype="custom" o:connectlocs="0,0;191973,402337;384048,0;0,0" o:connectangles="0,0,0,0"/>
                </v:shape>
                <v:shape id="Freeform: Shape 1940597798"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" path="m,l177641,375666,355187,,,xe" fillcolor="#87189d [3204]"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40597799"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">
                  <v:imagedata r:id="rId5" o:title=""/>
                </v:shape>
                <v:shape id="Graphic 329790055"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">
                  <v:imagedata r:id="rId6" o:title=""/>
                </v:shape>
              </v:group>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BFF42" w14:textId="77777777" w:rsidR="00DF7E23" w:rsidRPr="00FE4227" w:rsidRDefault="00DF7E23" w:rsidP="00FE422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BF61C" w14:textId="77777777" w:rsidR="00514EA9" w:rsidRDefault="00840AD9">
    <w:pPr>
      <w:pStyle w:val="Header"/>
    </w:pPr>
    <w:r>
      <w:rPr>
        <w:noProof/>
      </w:rPr>
      <mc:AlternateContent>
        <mc:Choice Requires="wpg">
          <w:drawing>
            <wp:anchor distT="0" distB="0" distL="114300" distR="114300" simplePos="0" relativeHeight="251666432" behindDoc="0" locked="0" layoutInCell="1" allowOverlap="1" wp14:anchorId="552D68BC" wp14:editId="0B471C26">
              <wp:simplePos x="0" y="0"/>
              <wp:positionH relativeFrom="page">
                <wp:posOffset>9331</wp:posOffset>
              </wp:positionH>
              <wp:positionV relativeFrom="page">
                <wp:posOffset>0</wp:posOffset>
              </wp:positionV>
              <wp:extent cx="10678004" cy="859536"/>
              <wp:effectExtent l="0" t="0" r="9525" b="0"/>
              <wp:wrapNone/>
              <wp:docPr id="1239886117" name="Group 1239886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78004" cy="859536"/>
                        <a:chOff x="-3116215" y="-52830"/>
                        <a:chExt cx="10677287" cy="855084"/>
                      </a:xfrm>
                    </wpg:grpSpPr>
                    <wps:wsp>
                      <wps:cNvPr id="1239886119" name="Shape 5"/>
                      <wps:cNvSpPr/>
                      <wps:spPr>
                        <a:xfrm>
                          <a:off x="-3116215" y="-52830"/>
                          <a:ext cx="10677287"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9886124" name="Group 1239886124"/>
                      <wpg:cNvGrpSpPr/>
                      <wpg:grpSpPr>
                        <a:xfrm>
                          <a:off x="6271745" y="-3009"/>
                          <a:ext cx="1130778" cy="796161"/>
                          <a:chOff x="-47574" y="-3009"/>
                          <a:chExt cx="1130778" cy="796161"/>
                        </a:xfrm>
                      </wpg:grpSpPr>
                      <wps:wsp>
                        <wps:cNvPr id="1239886125" name="Freeform: Shape 1239886125"/>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Graphic 7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80" name="Graphic 32979005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49238DF" id="Group 1239886117" o:spid="_x0000_s1026" alt="&quot;&quot;" style="position:absolute;margin-left:.75pt;margin-top:0;width:840.8pt;height:67.7pt;z-index:251666432;mso-position-horizontal-relative:page;mso-position-vertical-relative:page;mso-width-relative:margin;mso-height-relative:margin" coordorigin="-31162,-528" coordsize="106772,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">
              <v:shape id="Shape 5" o:spid="_x0000_s1027" style="position:absolute;left:-31162;top:-528;width:106772;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" path="m,l7559675,r,764010l,764010,,xe" fillcolor="#232b39 [3213]" stroked="f" strokeweight=".35264mm">
                <v:stroke joinstyle="miter"/>
                <v:path arrowok="t" o:connecttype="custom" o:connectlocs="0,0;10677288,0;10677288,855084;0,855084" o:connectangles="0,0,0,0"/>
              </v:shape>
              <v:group id="Group 1239886124"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">
                <v:shape id="Freeform: Shape 1239886125"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" path="m,l179832,380524,359759,,,xe" fillcolor="#87189d [3204]" stroked="f">
                  <v:stroke joinstyle="miter"/>
                  <v:path arrowok="t" o:connecttype="custom" o:connectlocs="0,0;191973,402337;384048,0;0,0" o:connectangles="0,0,0,0"/>
                </v:shape>
                <v:shape id="Freeform: Shape 78"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" path="m,l177641,375666,355187,,,xe" fillcolor="#87189d [3204]"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9"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">
                  <v:imagedata r:id="rId5" o:title=""/>
                </v:shape>
                <v:shape id="Graphic 329790055"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">
                  <v:imagedata r:id="rId6" o:title=""/>
                </v:shape>
              </v:group>
              <w10:wrap anchorx="page" anchory="pag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6C83" w14:textId="77777777" w:rsidR="00DF7E23" w:rsidRDefault="00DF7E23">
    <w:pPr>
      <w:pStyle w:val="Header"/>
    </w:pPr>
    <w:r>
      <w:rPr>
        <w:noProof/>
      </w:rPr>
      <mc:AlternateContent>
        <mc:Choice Requires="wpg">
          <w:drawing>
            <wp:anchor distT="0" distB="0" distL="114300" distR="114300" simplePos="0" relativeHeight="251658243" behindDoc="0" locked="0" layoutInCell="1" allowOverlap="1" wp14:anchorId="0B9CDD5C" wp14:editId="36F6ADB5">
              <wp:simplePos x="0" y="0"/>
              <wp:positionH relativeFrom="page">
                <wp:align>right</wp:align>
              </wp:positionH>
              <wp:positionV relativeFrom="page">
                <wp:align>top</wp:align>
              </wp:positionV>
              <wp:extent cx="10716768" cy="859536"/>
              <wp:effectExtent l="0" t="0" r="8890" b="0"/>
              <wp:wrapNone/>
              <wp:docPr id="329790057" name="Group 329790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716768" cy="859536"/>
                        <a:chOff x="-3156457" y="-52830"/>
                        <a:chExt cx="10715927" cy="855084"/>
                      </a:xfrm>
                    </wpg:grpSpPr>
                    <wps:wsp>
                      <wps:cNvPr id="329790058" name="Shape 5"/>
                      <wps:cNvSpPr/>
                      <wps:spPr>
                        <a:xfrm>
                          <a:off x="-3156457" y="-52830"/>
                          <a:ext cx="10715927"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9790059" name="Group 329790059"/>
                      <wpg:cNvGrpSpPr/>
                      <wpg:grpSpPr>
                        <a:xfrm>
                          <a:off x="6271745" y="-3009"/>
                          <a:ext cx="1130778" cy="796161"/>
                          <a:chOff x="-47574" y="-3009"/>
                          <a:chExt cx="1130778" cy="796161"/>
                        </a:xfrm>
                      </wpg:grpSpPr>
                      <wps:wsp>
                        <wps:cNvPr id="329790060" name="Freeform: Shape 329790060"/>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790061" name="Freeform: Shape 329790061"/>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9790062" name="Graphic 32979006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329790063" name="Graphic 329790063"/>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839188B" id="Group 329790057" o:spid="_x0000_s1026" alt="&quot;&quot;" style="position:absolute;margin-left:792.65pt;margin-top:0;width:843.85pt;height:67.7pt;z-index:251658243;mso-position-horizontal:right;mso-position-horizontal-relative:page;mso-position-vertical:top;mso-position-vertical-relative:page;mso-width-relative:margin;mso-height-relative:margin" coordorigin="-31564,-528" coordsize="107159,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">
              <v:shape id="Shape 5" o:spid="_x0000_s1027" style="position:absolute;left:-31564;top:-528;width:107158;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" path="m,l7559675,r,764010l,764010,,xe" fillcolor="#232b39 [3213]" stroked="f" strokeweight=".35264mm">
                <v:stroke joinstyle="miter"/>
                <v:path arrowok="t" o:connecttype="custom" o:connectlocs="0,0;10715928,0;10715928,855084;0,855084" o:connectangles="0,0,0,0"/>
              </v:shape>
              <v:group id="Group 329790059"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">
                <v:shape id="Freeform: Shape 329790060"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" path="m,l179832,380524,359759,,,xe" fillcolor="#87189d [3204]" stroked="f">
                  <v:stroke joinstyle="miter"/>
                  <v:path arrowok="t" o:connecttype="custom" o:connectlocs="0,0;191973,402337;384048,0;0,0" o:connectangles="0,0,0,0"/>
                </v:shape>
                <v:shape id="Freeform: Shape 329790061"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" path="m,l177641,375666,355187,,,xe" fillcolor="#87189d [3204]"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9790062"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">
                  <v:imagedata r:id="rId5" o:title=""/>
                </v:shape>
                <v:shape id="Graphic 329790063"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">
                  <v:imagedata r:id="rId6" o:title=""/>
                </v:shape>
              </v:group>
              <w10:wrap anchorx="page" anchory="page"/>
            </v:group>
          </w:pict>
        </mc:Fallback>
      </mc:AlternateContent>
    </w:r>
  </w:p>
  <w:p w14:paraId="11D2B4E2" w14:textId="77777777" w:rsidR="00DF7E23" w:rsidRDefault="00DF7E2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5A22E" w14:textId="32227BCF" w:rsidR="00014213" w:rsidRDefault="00014213" w:rsidP="004F795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0D1F" w14:textId="4BD70889" w:rsidR="00A60CA9" w:rsidRPr="00E0037F" w:rsidRDefault="00A60CA9" w:rsidP="00E003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BBC1" w14:textId="3907AF71" w:rsidR="00470962" w:rsidRDefault="00470962" w:rsidP="004F7954">
    <w:pPr>
      <w:pStyle w:val="Header"/>
    </w:pP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3A65D" w14:textId="219E291C" w:rsidR="00563527" w:rsidRDefault="00563527" w:rsidP="004F79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D018D" w14:textId="52118365" w:rsidR="00750CBE" w:rsidRDefault="00281C60" w:rsidP="004F7954">
    <w:pPr>
      <w:pStyle w:val="Header"/>
    </w:pPr>
    <w:r>
      <w:rPr>
        <w:noProof/>
      </w:rPr>
      <mc:AlternateContent>
        <mc:Choice Requires="wpg">
          <w:drawing>
            <wp:anchor distT="0" distB="0" distL="114300" distR="114300" simplePos="0" relativeHeight="251651072" behindDoc="0" locked="0" layoutInCell="1" allowOverlap="1" wp14:anchorId="04EA9D5A" wp14:editId="39F6747F">
              <wp:simplePos x="0" y="0"/>
              <wp:positionH relativeFrom="page">
                <wp:align>left</wp:align>
              </wp:positionH>
              <wp:positionV relativeFrom="page">
                <wp:align>top</wp:align>
              </wp:positionV>
              <wp:extent cx="7562088" cy="859536"/>
              <wp:effectExtent l="0" t="0" r="1270" b="0"/>
              <wp:wrapNone/>
              <wp:docPr id="329790072" name="Group 3297900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329790073"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9790074" name="Group 329790074"/>
                      <wpg:cNvGrpSpPr/>
                      <wpg:grpSpPr>
                        <a:xfrm>
                          <a:off x="6271745" y="-3009"/>
                          <a:ext cx="1130778" cy="796161"/>
                          <a:chOff x="-47574" y="-3009"/>
                          <a:chExt cx="1130778" cy="796161"/>
                        </a:xfrm>
                      </wpg:grpSpPr>
                      <wps:wsp>
                        <wps:cNvPr id="329790075" name="Freeform: Shape 329790075"/>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790076" name="Freeform: Shape 329790076"/>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9790077" name="Graphic 32979007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329790078" name="Graphic 329790078"/>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E150842" id="Group 329790072" o:spid="_x0000_s1026" alt="&quot;&quot;" style="position:absolute;margin-left:0;margin-top:0;width:595.45pt;height:67.7pt;z-index:251651072;mso-position-horizontal:left;mso-position-horizontal-relative:page;mso-position-vertical:top;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" path="m,l7559675,r,764010l,764010,,xe" fillcolor="#232b39 [3213]" stroked="f" strokeweight=".35264mm">
                <v:stroke joinstyle="miter"/>
                <v:path arrowok="t" o:connecttype="custom" o:connectlocs="0,0;7561581,0;7561581,855084;0,855084" o:connectangles="0,0,0,0"/>
              </v:shape>
              <v:group id="Group 329790074"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">
                <v:shape id="Freeform: Shape 329790075"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" path="m,l179832,380524,359759,,,xe" fillcolor="#87189d [3204]" stroked="f">
                  <v:stroke joinstyle="miter"/>
                  <v:path arrowok="t" o:connecttype="custom" o:connectlocs="0,0;191973,402337;384048,0;0,0" o:connectangles="0,0,0,0"/>
                </v:shape>
                <v:shape id="Freeform: Shape 329790076"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" path="m,l177641,375666,355187,,,xe" fillcolor="#87189d [3204]"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9790077"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">
                  <v:imagedata r:id="rId5" o:title=""/>
                </v:shape>
                <v:shape id="Graphic 329790078"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">
                  <v:imagedata r:id="rId6" o:title=""/>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EA2CD" w14:textId="77777777" w:rsidR="00B172BB" w:rsidRDefault="00B172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B5FC5" w14:textId="1A234DE9" w:rsidR="00B172BB" w:rsidRPr="0041689E" w:rsidRDefault="00281C60" w:rsidP="006E0A97">
    <w:pPr>
      <w:pStyle w:val="Header"/>
    </w:pPr>
    <w:r>
      <w:rPr>
        <w:noProof/>
      </w:rPr>
      <mc:AlternateContent>
        <mc:Choice Requires="wpg">
          <w:drawing>
            <wp:anchor distT="0" distB="0" distL="114300" distR="114300" simplePos="0" relativeHeight="251655168" behindDoc="0" locked="0" layoutInCell="1" allowOverlap="1" wp14:anchorId="5770B5FD" wp14:editId="7AE4F42E">
              <wp:simplePos x="0" y="0"/>
              <wp:positionH relativeFrom="page">
                <wp:align>left</wp:align>
              </wp:positionH>
              <wp:positionV relativeFrom="page">
                <wp:align>top</wp:align>
              </wp:positionV>
              <wp:extent cx="7562088" cy="859536"/>
              <wp:effectExtent l="0" t="0" r="1270" b="0"/>
              <wp:wrapNone/>
              <wp:docPr id="329790064" name="Group 3297900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329790065"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9790066" name="Group 329790066"/>
                      <wpg:cNvGrpSpPr/>
                      <wpg:grpSpPr>
                        <a:xfrm>
                          <a:off x="6271745" y="-3009"/>
                          <a:ext cx="1130778" cy="796161"/>
                          <a:chOff x="-47574" y="-3009"/>
                          <a:chExt cx="1130778" cy="796161"/>
                        </a:xfrm>
                      </wpg:grpSpPr>
                      <wps:wsp>
                        <wps:cNvPr id="329790068" name="Freeform: Shape 329790068"/>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9790069" name="Freeform: Shape 329790069"/>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9790070" name="Graphic 329790070"/>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329790071" name="Graphic 32979007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4C85C071" id="Group 329790064" o:spid="_x0000_s1026" alt="&quot;&quot;" style="position:absolute;margin-left:0;margin-top:0;width:595.45pt;height:67.7pt;z-index:251655168;mso-position-horizontal:left;mso-position-horizontal-relative:page;mso-position-vertical:top;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" path="m,l7559675,r,764010l,764010,,xe" fillcolor="#232b39 [3213]" stroked="f" strokeweight=".35264mm">
                <v:stroke joinstyle="miter"/>
                <v:path arrowok="t" o:connecttype="custom" o:connectlocs="0,0;7561581,0;7561581,855084;0,855084" o:connectangles="0,0,0,0"/>
              </v:shape>
              <v:group id="Group 329790066"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">
                <v:shape id="Freeform: Shape 329790068"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" path="m,l179832,380524,359759,,,xe" fillcolor="#87189d [3204]" stroked="f">
                  <v:stroke joinstyle="miter"/>
                  <v:path arrowok="t" o:connecttype="custom" o:connectlocs="0,0;191973,402337;384048,0;0,0" o:connectangles="0,0,0,0"/>
                </v:shape>
                <v:shape id="Freeform: Shape 329790069"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" path="m,l177641,375666,355187,,,xe" fillcolor="#87189d [3204]"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9790070"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">
                  <v:imagedata r:id="rId5" o:title=""/>
                </v:shape>
                <v:shape id="Graphic 329790071"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">
                  <v:imagedata r:id="rId6" o:title=""/>
                </v:shape>
              </v:group>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4F02" w14:textId="344AD3A3" w:rsidR="00B172BB" w:rsidRDefault="00B172BB" w:rsidP="006E0A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7D32B" w14:textId="77777777" w:rsidR="008E1C97" w:rsidRPr="0041689E" w:rsidRDefault="008E1C97" w:rsidP="006E0A97">
    <w:pPr>
      <w:pStyle w:val="Header"/>
    </w:pPr>
    <w:r>
      <w:rPr>
        <w:noProof/>
      </w:rPr>
      <mc:AlternateContent>
        <mc:Choice Requires="wpg">
          <w:drawing>
            <wp:anchor distT="0" distB="0" distL="114300" distR="114300" simplePos="0" relativeHeight="251659264" behindDoc="0" locked="0" layoutInCell="1" allowOverlap="1" wp14:anchorId="2C7CD5B0" wp14:editId="4D49BCD0">
              <wp:simplePos x="0" y="0"/>
              <wp:positionH relativeFrom="page">
                <wp:posOffset>-82970</wp:posOffset>
              </wp:positionH>
              <wp:positionV relativeFrom="page">
                <wp:posOffset>0</wp:posOffset>
              </wp:positionV>
              <wp:extent cx="10773604" cy="859536"/>
              <wp:effectExtent l="0" t="0" r="8890" b="0"/>
              <wp:wrapNone/>
              <wp:docPr id="1239886134" name="Group 12398861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773604" cy="859536"/>
                        <a:chOff x="-3212112" y="-52830"/>
                        <a:chExt cx="10772881" cy="855084"/>
                      </a:xfrm>
                    </wpg:grpSpPr>
                    <wps:wsp>
                      <wps:cNvPr id="1239886135" name="Shape 5"/>
                      <wps:cNvSpPr/>
                      <wps:spPr>
                        <a:xfrm>
                          <a:off x="-3212112" y="-52830"/>
                          <a:ext cx="10772881"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tx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9886136" name="Group 1239886136"/>
                      <wpg:cNvGrpSpPr/>
                      <wpg:grpSpPr>
                        <a:xfrm>
                          <a:off x="6271745" y="-3009"/>
                          <a:ext cx="1130778" cy="796161"/>
                          <a:chOff x="-47574" y="-3009"/>
                          <a:chExt cx="1130778" cy="796161"/>
                        </a:xfrm>
                      </wpg:grpSpPr>
                      <wps:wsp>
                        <wps:cNvPr id="1239886137" name="Freeform: Shape 1239886137"/>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9886138" name="Freeform: Shape 1239886138"/>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9886139" name="Graphic 123988613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1239886140" name="Graphic 1239886140"/>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9C6835E" id="Group 1239886134" o:spid="_x0000_s1026" alt="&quot;&quot;" style="position:absolute;margin-left:-6.55pt;margin-top:0;width:848.3pt;height:67.7pt;z-index:251659264;mso-position-horizontal-relative:page;mso-position-vertical-relative:page;mso-width-relative:margin;mso-height-relative:margin" coordorigin="-32121,-528" coordsize="107728,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">
              <v:shape id="Shape 5" o:spid="_x0000_s1027" style="position:absolute;left:-32121;top:-528;width:107728;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" path="m,l7559675,r,764010l,764010,,xe" fillcolor="#232b39 [3213]" stroked="f" strokeweight=".35264mm">
                <v:stroke joinstyle="miter"/>
                <v:path arrowok="t" o:connecttype="custom" o:connectlocs="0,0;10772882,0;10772882,855084;0,855084" o:connectangles="0,0,0,0"/>
              </v:shape>
              <v:group id="Group 1239886136"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">
                <v:shape id="Freeform: Shape 1239886137"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" path="m,l179832,380524,359759,,,xe" fillcolor="#87189d [3204]" stroked="f">
                  <v:stroke joinstyle="miter"/>
                  <v:path arrowok="t" o:connecttype="custom" o:connectlocs="0,0;191973,402337;384048,0;0,0" o:connectangles="0,0,0,0"/>
                </v:shape>
                <v:shape id="Freeform: Shape 1239886138"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" path="m,l177641,375666,355187,,,xe" fillcolor="#87189d [3204]"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239886139"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">
                  <v:imagedata r:id="rId5" o:title=""/>
                </v:shape>
                <v:shape id="Graphic 1239886140"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">
                  <v:imagedata r:id="rId6" o:title=""/>
                </v:shape>
              </v:group>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EB772" w14:textId="77777777" w:rsidR="00DF7E23" w:rsidRDefault="00DF7E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7BBB"/>
    <w:multiLevelType w:val="multilevel"/>
    <w:tmpl w:val="4F002AC6"/>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 w15:restartNumberingAfterBreak="0">
    <w:nsid w:val="0242454B"/>
    <w:multiLevelType w:val="hybridMultilevel"/>
    <w:tmpl w:val="35CC1C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BF776F"/>
    <w:multiLevelType w:val="hybridMultilevel"/>
    <w:tmpl w:val="63A884DA"/>
    <w:lvl w:ilvl="0" w:tplc="0C090001">
      <w:start w:val="1"/>
      <w:numFmt w:val="bullet"/>
      <w:lvlText w:val=""/>
      <w:lvlJc w:val="left"/>
      <w:pPr>
        <w:ind w:left="1512" w:hanging="360"/>
      </w:pPr>
      <w:rPr>
        <w:rFonts w:ascii="Symbol" w:hAnsi="Symbol" w:hint="default"/>
      </w:rPr>
    </w:lvl>
    <w:lvl w:ilvl="1" w:tplc="0C090003" w:tentative="1">
      <w:start w:val="1"/>
      <w:numFmt w:val="bullet"/>
      <w:lvlText w:val="o"/>
      <w:lvlJc w:val="left"/>
      <w:pPr>
        <w:ind w:left="2232" w:hanging="360"/>
      </w:pPr>
      <w:rPr>
        <w:rFonts w:ascii="Courier New" w:hAnsi="Courier New" w:cs="Courier New" w:hint="default"/>
      </w:rPr>
    </w:lvl>
    <w:lvl w:ilvl="2" w:tplc="0C090005" w:tentative="1">
      <w:start w:val="1"/>
      <w:numFmt w:val="bullet"/>
      <w:lvlText w:val=""/>
      <w:lvlJc w:val="left"/>
      <w:pPr>
        <w:ind w:left="2952" w:hanging="360"/>
      </w:pPr>
      <w:rPr>
        <w:rFonts w:ascii="Wingdings" w:hAnsi="Wingdings" w:hint="default"/>
      </w:rPr>
    </w:lvl>
    <w:lvl w:ilvl="3" w:tplc="0C090001" w:tentative="1">
      <w:start w:val="1"/>
      <w:numFmt w:val="bullet"/>
      <w:lvlText w:val=""/>
      <w:lvlJc w:val="left"/>
      <w:pPr>
        <w:ind w:left="3672" w:hanging="360"/>
      </w:pPr>
      <w:rPr>
        <w:rFonts w:ascii="Symbol" w:hAnsi="Symbol" w:hint="default"/>
      </w:rPr>
    </w:lvl>
    <w:lvl w:ilvl="4" w:tplc="0C090003" w:tentative="1">
      <w:start w:val="1"/>
      <w:numFmt w:val="bullet"/>
      <w:lvlText w:val="o"/>
      <w:lvlJc w:val="left"/>
      <w:pPr>
        <w:ind w:left="4392" w:hanging="360"/>
      </w:pPr>
      <w:rPr>
        <w:rFonts w:ascii="Courier New" w:hAnsi="Courier New" w:cs="Courier New" w:hint="default"/>
      </w:rPr>
    </w:lvl>
    <w:lvl w:ilvl="5" w:tplc="0C090005" w:tentative="1">
      <w:start w:val="1"/>
      <w:numFmt w:val="bullet"/>
      <w:lvlText w:val=""/>
      <w:lvlJc w:val="left"/>
      <w:pPr>
        <w:ind w:left="5112" w:hanging="360"/>
      </w:pPr>
      <w:rPr>
        <w:rFonts w:ascii="Wingdings" w:hAnsi="Wingdings" w:hint="default"/>
      </w:rPr>
    </w:lvl>
    <w:lvl w:ilvl="6" w:tplc="0C090001" w:tentative="1">
      <w:start w:val="1"/>
      <w:numFmt w:val="bullet"/>
      <w:lvlText w:val=""/>
      <w:lvlJc w:val="left"/>
      <w:pPr>
        <w:ind w:left="5832" w:hanging="360"/>
      </w:pPr>
      <w:rPr>
        <w:rFonts w:ascii="Symbol" w:hAnsi="Symbol" w:hint="default"/>
      </w:rPr>
    </w:lvl>
    <w:lvl w:ilvl="7" w:tplc="0C090003" w:tentative="1">
      <w:start w:val="1"/>
      <w:numFmt w:val="bullet"/>
      <w:lvlText w:val="o"/>
      <w:lvlJc w:val="left"/>
      <w:pPr>
        <w:ind w:left="6552" w:hanging="360"/>
      </w:pPr>
      <w:rPr>
        <w:rFonts w:ascii="Courier New" w:hAnsi="Courier New" w:cs="Courier New" w:hint="default"/>
      </w:rPr>
    </w:lvl>
    <w:lvl w:ilvl="8" w:tplc="0C090005" w:tentative="1">
      <w:start w:val="1"/>
      <w:numFmt w:val="bullet"/>
      <w:lvlText w:val=""/>
      <w:lvlJc w:val="left"/>
      <w:pPr>
        <w:ind w:left="7272" w:hanging="360"/>
      </w:pPr>
      <w:rPr>
        <w:rFonts w:ascii="Wingdings" w:hAnsi="Wingdings" w:hint="default"/>
      </w:rPr>
    </w:lvl>
  </w:abstractNum>
  <w:abstractNum w:abstractNumId="3" w15:restartNumberingAfterBreak="0">
    <w:nsid w:val="12E0589D"/>
    <w:multiLevelType w:val="multilevel"/>
    <w:tmpl w:val="BFA0EC4C"/>
    <w:lvl w:ilvl="0">
      <w:start w:val="1"/>
      <w:numFmt w:val="bullet"/>
      <w:pStyle w:val="HighlightBoxcheckbox"/>
      <w:lvlText w:val=""/>
      <w:lvlJc w:val="left"/>
      <w:pPr>
        <w:ind w:left="284" w:hanging="284"/>
      </w:pPr>
      <w:rPr>
        <w:rFonts w:ascii="Wingdings" w:hAnsi="Wingdings"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26456FFD"/>
    <w:multiLevelType w:val="multilevel"/>
    <w:tmpl w:val="C0D2F066"/>
    <w:styleLink w:val="Bullet"/>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8DD716F"/>
    <w:multiLevelType w:val="multilevel"/>
    <w:tmpl w:val="9DAEB9F0"/>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b w:val="0"/>
        <w:bCs w:val="0"/>
      </w:rPr>
    </w:lvl>
    <w:lvl w:ilvl="4">
      <w:start w:val="1"/>
      <w:numFmt w:val="decimal"/>
      <w:pStyle w:val="Heading3numbered"/>
      <w:lvlText w:val="%3.%4.%5"/>
      <w:lvlJc w:val="left"/>
      <w:pPr>
        <w:tabs>
          <w:tab w:val="num" w:pos="792"/>
        </w:tabs>
        <w:ind w:left="792" w:hanging="792"/>
      </w:pPr>
      <w:rPr>
        <w:rFonts w:hint="default"/>
        <w:sz w:val="24"/>
        <w:szCs w:val="24"/>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abstractNum w:abstractNumId="6" w15:restartNumberingAfterBreak="0">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3AB13A0E"/>
    <w:multiLevelType w:val="hybridMultilevel"/>
    <w:tmpl w:val="FFFFFFFF"/>
    <w:styleLink w:val="Number"/>
    <w:lvl w:ilvl="0" w:tplc="8D928E22">
      <w:start w:val="1"/>
      <w:numFmt w:val="bullet"/>
      <w:lvlText w:val=""/>
      <w:lvlJc w:val="left"/>
      <w:pPr>
        <w:ind w:left="720" w:hanging="360"/>
      </w:pPr>
      <w:rPr>
        <w:rFonts w:ascii="Symbol" w:hAnsi="Symbol" w:hint="default"/>
      </w:rPr>
    </w:lvl>
    <w:lvl w:ilvl="1" w:tplc="15248D4A">
      <w:start w:val="1"/>
      <w:numFmt w:val="bullet"/>
      <w:lvlText w:val="o"/>
      <w:lvlJc w:val="left"/>
      <w:pPr>
        <w:ind w:left="1440" w:hanging="360"/>
      </w:pPr>
      <w:rPr>
        <w:rFonts w:ascii="Courier New" w:hAnsi="Courier New" w:hint="default"/>
      </w:rPr>
    </w:lvl>
    <w:lvl w:ilvl="2" w:tplc="F9D8A0EE">
      <w:start w:val="1"/>
      <w:numFmt w:val="bullet"/>
      <w:lvlText w:val=""/>
      <w:lvlJc w:val="left"/>
      <w:pPr>
        <w:ind w:left="2160" w:hanging="360"/>
      </w:pPr>
      <w:rPr>
        <w:rFonts w:ascii="Wingdings" w:hAnsi="Wingdings" w:hint="default"/>
      </w:rPr>
    </w:lvl>
    <w:lvl w:ilvl="3" w:tplc="792E8050">
      <w:start w:val="1"/>
      <w:numFmt w:val="bullet"/>
      <w:lvlText w:val=""/>
      <w:lvlJc w:val="left"/>
      <w:pPr>
        <w:ind w:left="2880" w:hanging="360"/>
      </w:pPr>
      <w:rPr>
        <w:rFonts w:ascii="Symbol" w:hAnsi="Symbol" w:hint="default"/>
      </w:rPr>
    </w:lvl>
    <w:lvl w:ilvl="4" w:tplc="FB4C5176">
      <w:start w:val="1"/>
      <w:numFmt w:val="bullet"/>
      <w:lvlText w:val="o"/>
      <w:lvlJc w:val="left"/>
      <w:pPr>
        <w:ind w:left="3600" w:hanging="360"/>
      </w:pPr>
      <w:rPr>
        <w:rFonts w:ascii="Courier New" w:hAnsi="Courier New" w:hint="default"/>
      </w:rPr>
    </w:lvl>
    <w:lvl w:ilvl="5" w:tplc="8580292E">
      <w:start w:val="1"/>
      <w:numFmt w:val="bullet"/>
      <w:lvlText w:val=""/>
      <w:lvlJc w:val="left"/>
      <w:pPr>
        <w:ind w:left="4320" w:hanging="360"/>
      </w:pPr>
      <w:rPr>
        <w:rFonts w:ascii="Wingdings" w:hAnsi="Wingdings" w:hint="default"/>
      </w:rPr>
    </w:lvl>
    <w:lvl w:ilvl="6" w:tplc="1A7E9E0C">
      <w:start w:val="1"/>
      <w:numFmt w:val="bullet"/>
      <w:lvlText w:val=""/>
      <w:lvlJc w:val="left"/>
      <w:pPr>
        <w:ind w:left="5040" w:hanging="360"/>
      </w:pPr>
      <w:rPr>
        <w:rFonts w:ascii="Symbol" w:hAnsi="Symbol" w:hint="default"/>
      </w:rPr>
    </w:lvl>
    <w:lvl w:ilvl="7" w:tplc="992CCC58">
      <w:start w:val="1"/>
      <w:numFmt w:val="bullet"/>
      <w:lvlText w:val="o"/>
      <w:lvlJc w:val="left"/>
      <w:pPr>
        <w:ind w:left="5760" w:hanging="360"/>
      </w:pPr>
      <w:rPr>
        <w:rFonts w:ascii="Courier New" w:hAnsi="Courier New" w:hint="default"/>
      </w:rPr>
    </w:lvl>
    <w:lvl w:ilvl="8" w:tplc="DB6092EA">
      <w:start w:val="1"/>
      <w:numFmt w:val="bullet"/>
      <w:lvlText w:val=""/>
      <w:lvlJc w:val="left"/>
      <w:pPr>
        <w:ind w:left="6480" w:hanging="360"/>
      </w:pPr>
      <w:rPr>
        <w:rFonts w:ascii="Wingdings" w:hAnsi="Wingdings" w:hint="default"/>
      </w:rPr>
    </w:lvl>
  </w:abstractNum>
  <w:abstractNum w:abstractNumId="8" w15:restartNumberingAfterBreak="0">
    <w:nsid w:val="3B95093A"/>
    <w:multiLevelType w:val="multilevel"/>
    <w:tmpl w:val="D5EC43D0"/>
    <w:lvl w:ilvl="0">
      <w:start w:val="1"/>
      <w:numFmt w:val="upperLetter"/>
      <w:pStyle w:val="Appendixtitle"/>
      <w:suff w:val="space"/>
      <w:lvlText w:val="Appendix %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46D3A6A"/>
    <w:multiLevelType w:val="hybridMultilevel"/>
    <w:tmpl w:val="4F002AC6"/>
    <w:lvl w:ilvl="0" w:tplc="F5B0101E">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tplc="90FEFF4E">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tplc="1754372E">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tplc="3B1ACB16">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tplc="83189A0C">
      <w:start w:val="1"/>
      <w:numFmt w:val="bullet"/>
      <w:lvlText w:val=""/>
      <w:lvlJc w:val="left"/>
      <w:pPr>
        <w:tabs>
          <w:tab w:val="num" w:pos="2211"/>
        </w:tabs>
        <w:ind w:left="2211" w:hanging="283"/>
      </w:pPr>
      <w:rPr>
        <w:rFonts w:ascii="Symbol" w:hAnsi="Symbol" w:hint="default"/>
        <w:b w:val="0"/>
        <w:i w:val="0"/>
        <w:vanish w:val="0"/>
        <w:color w:val="auto"/>
        <w:sz w:val="22"/>
      </w:rPr>
    </w:lvl>
    <w:lvl w:ilvl="5" w:tplc="36049C4E">
      <w:start w:val="1"/>
      <w:numFmt w:val="bullet"/>
      <w:lvlText w:val=""/>
      <w:lvlJc w:val="left"/>
      <w:pPr>
        <w:tabs>
          <w:tab w:val="num" w:pos="2495"/>
        </w:tabs>
        <w:ind w:left="2495" w:hanging="284"/>
      </w:pPr>
      <w:rPr>
        <w:rFonts w:ascii="Symbol" w:hAnsi="Symbol" w:hint="default"/>
        <w:b w:val="0"/>
        <w:i w:val="0"/>
        <w:vanish w:val="0"/>
        <w:color w:val="auto"/>
        <w:sz w:val="22"/>
      </w:rPr>
    </w:lvl>
    <w:lvl w:ilvl="6" w:tplc="E78A5C92">
      <w:start w:val="1"/>
      <w:numFmt w:val="bullet"/>
      <w:lvlText w:val=""/>
      <w:lvlJc w:val="left"/>
      <w:pPr>
        <w:tabs>
          <w:tab w:val="num" w:pos="2778"/>
        </w:tabs>
        <w:ind w:left="2778" w:hanging="283"/>
      </w:pPr>
      <w:rPr>
        <w:rFonts w:ascii="Symbol" w:hAnsi="Symbol" w:hint="default"/>
        <w:b w:val="0"/>
        <w:i w:val="0"/>
        <w:vanish w:val="0"/>
        <w:color w:val="auto"/>
        <w:sz w:val="22"/>
      </w:rPr>
    </w:lvl>
    <w:lvl w:ilvl="7" w:tplc="E6340DD4">
      <w:start w:val="1"/>
      <w:numFmt w:val="bullet"/>
      <w:lvlText w:val=""/>
      <w:lvlJc w:val="left"/>
      <w:pPr>
        <w:tabs>
          <w:tab w:val="num" w:pos="3062"/>
        </w:tabs>
        <w:ind w:left="3062" w:hanging="284"/>
      </w:pPr>
      <w:rPr>
        <w:rFonts w:ascii="Symbol" w:hAnsi="Symbol" w:hint="default"/>
        <w:b w:val="0"/>
        <w:i w:val="0"/>
        <w:vanish w:val="0"/>
        <w:color w:val="auto"/>
        <w:sz w:val="22"/>
      </w:rPr>
    </w:lvl>
    <w:lvl w:ilvl="8" w:tplc="F84E91B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0" w15:restartNumberingAfterBreak="0">
    <w:nsid w:val="4AD87AC7"/>
    <w:multiLevelType w:val="multilevel"/>
    <w:tmpl w:val="959E5978"/>
    <w:lvl w:ilvl="0">
      <w:numFmt w:val="none"/>
      <w:suff w:val="nothing"/>
      <w:lvlText w:val=""/>
      <w:lvlJc w:val="left"/>
      <w:pPr>
        <w:ind w:left="964" w:firstLine="0"/>
      </w:pPr>
      <w:rPr>
        <w:rFonts w:ascii="Times New Roman" w:hAnsi="Times New Roman" w:cs="Times New Roman" w:hint="default"/>
        <w:b w:val="0"/>
        <w:i w:val="0"/>
        <w:caps w:val="0"/>
        <w:strike w:val="0"/>
        <w:dstrike w:val="0"/>
        <w:sz w:val="22"/>
        <w:szCs w:val="22"/>
        <w:u w:val="none"/>
        <w:effect w:val="none"/>
      </w:rPr>
    </w:lvl>
    <w:lvl w:ilvl="1">
      <w:start w:val="1"/>
      <w:numFmt w:val="lowerLetter"/>
      <w:lvlText w:val="(%2)"/>
      <w:lvlJc w:val="left"/>
      <w:pPr>
        <w:tabs>
          <w:tab w:val="num" w:pos="1928"/>
        </w:tabs>
        <w:ind w:left="1928" w:hanging="964"/>
      </w:pPr>
      <w:rPr>
        <w:rFonts w:ascii="Arial" w:hAnsi="Arial" w:cs="Times New Roman" w:hint="default"/>
        <w:b w:val="0"/>
        <w:i w:val="0"/>
        <w:strike w:val="0"/>
        <w:dstrike w:val="0"/>
        <w:sz w:val="20"/>
        <w:szCs w:val="22"/>
        <w:u w:val="none"/>
        <w:effect w:val="none"/>
      </w:rPr>
    </w:lvl>
    <w:lvl w:ilvl="2">
      <w:start w:val="1"/>
      <w:numFmt w:val="lowerRoman"/>
      <w:lvlText w:val="(%3)"/>
      <w:lvlJc w:val="left"/>
      <w:pPr>
        <w:tabs>
          <w:tab w:val="num" w:pos="2892"/>
        </w:tabs>
        <w:ind w:left="2892" w:hanging="964"/>
      </w:pPr>
      <w:rPr>
        <w:rFonts w:ascii="Arial" w:hAnsi="Arial" w:cs="Times New Roman" w:hint="default"/>
        <w:b w:val="0"/>
        <w:i w:val="0"/>
        <w:strike w:val="0"/>
        <w:dstrike w:val="0"/>
        <w:sz w:val="20"/>
        <w:u w:val="none"/>
        <w:effect w:val="none"/>
      </w:rPr>
    </w:lvl>
    <w:lvl w:ilvl="3">
      <w:start w:val="1"/>
      <w:numFmt w:val="upperLetter"/>
      <w:lvlText w:val="%4."/>
      <w:lvlJc w:val="left"/>
      <w:pPr>
        <w:tabs>
          <w:tab w:val="num" w:pos="3856"/>
        </w:tabs>
        <w:ind w:left="3856" w:hanging="964"/>
      </w:pPr>
      <w:rPr>
        <w:rFonts w:ascii="Arial" w:hAnsi="Arial" w:cs="Times New Roman" w:hint="default"/>
        <w:b w:val="0"/>
        <w:i w:val="0"/>
        <w:strike w:val="0"/>
        <w:dstrike w:val="0"/>
        <w:sz w:val="20"/>
        <w:u w:val="none"/>
        <w:effect w:val="none"/>
      </w:rPr>
    </w:lvl>
    <w:lvl w:ilvl="4">
      <w:start w:val="1"/>
      <w:numFmt w:val="none"/>
      <w:lvlText w:val="%5"/>
      <w:lvlJc w:val="left"/>
      <w:pPr>
        <w:tabs>
          <w:tab w:val="num" w:pos="3856"/>
        </w:tabs>
        <w:ind w:left="3856" w:hanging="964"/>
      </w:pPr>
      <w:rPr>
        <w:b w:val="0"/>
        <w:i w:val="0"/>
        <w:strike w:val="0"/>
        <w:dstrike w:val="0"/>
        <w:u w:val="none"/>
        <w:effect w:val="none"/>
      </w:rPr>
    </w:lvl>
    <w:lvl w:ilvl="5">
      <w:start w:val="1"/>
      <w:numFmt w:val="none"/>
      <w:lvlText w:val="%6"/>
      <w:lvlJc w:val="left"/>
      <w:pPr>
        <w:tabs>
          <w:tab w:val="num" w:pos="4820"/>
        </w:tabs>
        <w:ind w:left="4820" w:hanging="964"/>
      </w:pPr>
      <w:rPr>
        <w:b w:val="0"/>
        <w:i w:val="0"/>
        <w:strike w:val="0"/>
        <w:dstrike w:val="0"/>
        <w:u w:val="none"/>
        <w:effect w:val="none"/>
      </w:rPr>
    </w:lvl>
    <w:lvl w:ilvl="6">
      <w:start w:val="1"/>
      <w:numFmt w:val="none"/>
      <w:lvlText w:val="%7"/>
      <w:lvlJc w:val="left"/>
      <w:pPr>
        <w:tabs>
          <w:tab w:val="num" w:pos="5783"/>
        </w:tabs>
        <w:ind w:left="5783" w:hanging="963"/>
      </w:pPr>
      <w:rPr>
        <w:b w:val="0"/>
        <w:i w:val="0"/>
        <w:strike w:val="0"/>
        <w:dstrike w:val="0"/>
        <w:u w:val="none"/>
        <w:effect w:val="none"/>
      </w:rPr>
    </w:lvl>
    <w:lvl w:ilvl="7">
      <w:start w:val="1"/>
      <w:numFmt w:val="none"/>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11" w15:restartNumberingAfterBreak="0">
    <w:nsid w:val="5876689F"/>
    <w:multiLevelType w:val="multilevel"/>
    <w:tmpl w:val="FFFFFFFF"/>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DD15B31"/>
    <w:multiLevelType w:val="hybridMultilevel"/>
    <w:tmpl w:val="7DB033B2"/>
    <w:styleLink w:val="11111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5DA09A4"/>
    <w:multiLevelType w:val="multilevel"/>
    <w:tmpl w:val="3454DEA0"/>
    <w:lvl w:ilvl="0">
      <w:start w:val="1"/>
      <w:numFmt w:val="bullet"/>
      <w:pStyle w:val="HighlightBox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7DBB4BD0"/>
    <w:multiLevelType w:val="hybridMultilevel"/>
    <w:tmpl w:val="917CD88C"/>
    <w:styleLink w:val="1ai"/>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8930383">
    <w:abstractNumId w:val="0"/>
  </w:num>
  <w:num w:numId="2" w16cid:durableId="1850363913">
    <w:abstractNumId w:val="6"/>
  </w:num>
  <w:num w:numId="3" w16cid:durableId="2096513369">
    <w:abstractNumId w:val="13"/>
  </w:num>
  <w:num w:numId="4" w16cid:durableId="1018503606">
    <w:abstractNumId w:val="4"/>
  </w:num>
  <w:num w:numId="5" w16cid:durableId="1147429561">
    <w:abstractNumId w:val="4"/>
    <w:lvlOverride w:ilvl="0">
      <w:startOverride w:val="37"/>
    </w:lvlOverride>
    <w:lvlOverride w:ilvl="1"/>
    <w:lvlOverride w:ilvl="2">
      <w:startOverride w:val="9"/>
    </w:lvlOverride>
    <w:lvlOverride w:ilvl="3"/>
    <w:lvlOverride w:ilvl="4"/>
    <w:lvlOverride w:ilvl="5"/>
    <w:lvlOverride w:ilvl="6"/>
    <w:lvlOverride w:ilvl="7"/>
    <w:lvlOverride w:ilvl="8"/>
  </w:num>
  <w:num w:numId="6" w16cid:durableId="978925053">
    <w:abstractNumId w:val="7"/>
  </w:num>
  <w:num w:numId="7" w16cid:durableId="1528830745">
    <w:abstractNumId w:val="12"/>
  </w:num>
  <w:num w:numId="8" w16cid:durableId="79303105">
    <w:abstractNumId w:val="14"/>
  </w:num>
  <w:num w:numId="9" w16cid:durableId="2010061236">
    <w:abstractNumId w:val="3"/>
  </w:num>
  <w:num w:numId="10" w16cid:durableId="1959799292">
    <w:abstractNumId w:val="11"/>
  </w:num>
  <w:num w:numId="11" w16cid:durableId="1861627514">
    <w:abstractNumId w:val="9"/>
  </w:num>
  <w:num w:numId="12" w16cid:durableId="2107454707">
    <w:abstractNumId w:val="5"/>
  </w:num>
  <w:num w:numId="13" w16cid:durableId="21263461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568139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8589030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83645902">
    <w:abstractNumId w:val="1"/>
  </w:num>
  <w:num w:numId="17" w16cid:durableId="1340963310">
    <w:abstractNumId w:val="4"/>
    <w:lvlOverride w:ilvl="0">
      <w:startOverride w:val="37"/>
    </w:lvlOverride>
    <w:lvlOverride w:ilvl="1"/>
    <w:lvlOverride w:ilvl="2">
      <w:startOverride w:val="9"/>
    </w:lvlOverride>
    <w:lvlOverride w:ilvl="3"/>
    <w:lvlOverride w:ilvl="4"/>
    <w:lvlOverride w:ilvl="5"/>
    <w:lvlOverride w:ilvl="6"/>
    <w:lvlOverride w:ilvl="7"/>
    <w:lvlOverride w:ilvl="8"/>
  </w:num>
  <w:num w:numId="18" w16cid:durableId="475344056">
    <w:abstractNumId w:val="9"/>
  </w:num>
  <w:num w:numId="19" w16cid:durableId="792595509">
    <w:abstractNumId w:val="9"/>
  </w:num>
  <w:num w:numId="20" w16cid:durableId="1330869110">
    <w:abstractNumId w:val="9"/>
  </w:num>
  <w:num w:numId="21" w16cid:durableId="1600722665">
    <w:abstractNumId w:val="4"/>
    <w:lvlOverride w:ilvl="0">
      <w:startOverride w:val="37"/>
    </w:lvlOverride>
    <w:lvlOverride w:ilvl="1"/>
    <w:lvlOverride w:ilvl="2">
      <w:startOverride w:val="9"/>
    </w:lvlOverride>
    <w:lvlOverride w:ilvl="3"/>
    <w:lvlOverride w:ilvl="4"/>
    <w:lvlOverride w:ilvl="5"/>
    <w:lvlOverride w:ilvl="6"/>
    <w:lvlOverride w:ilvl="7"/>
    <w:lvlOverride w:ilvl="8"/>
  </w:num>
  <w:num w:numId="22" w16cid:durableId="2140029285">
    <w:abstractNumId w:val="4"/>
    <w:lvlOverride w:ilvl="0">
      <w:startOverride w:val="37"/>
    </w:lvlOverride>
    <w:lvlOverride w:ilvl="1"/>
    <w:lvlOverride w:ilvl="2">
      <w:startOverride w:val="9"/>
    </w:lvlOverride>
    <w:lvlOverride w:ilvl="3"/>
    <w:lvlOverride w:ilvl="4"/>
    <w:lvlOverride w:ilvl="5"/>
    <w:lvlOverride w:ilvl="6"/>
    <w:lvlOverride w:ilvl="7"/>
    <w:lvlOverride w:ilvl="8"/>
  </w:num>
  <w:num w:numId="23" w16cid:durableId="1128471820">
    <w:abstractNumId w:val="9"/>
  </w:num>
  <w:num w:numId="24" w16cid:durableId="1134056907">
    <w:abstractNumId w:val="4"/>
    <w:lvlOverride w:ilvl="0">
      <w:startOverride w:val="37"/>
    </w:lvlOverride>
    <w:lvlOverride w:ilvl="1"/>
    <w:lvlOverride w:ilvl="2">
      <w:startOverride w:val="9"/>
    </w:lvlOverride>
    <w:lvlOverride w:ilvl="3"/>
    <w:lvlOverride w:ilvl="4"/>
    <w:lvlOverride w:ilvl="5"/>
    <w:lvlOverride w:ilvl="6"/>
    <w:lvlOverride w:ilvl="7"/>
    <w:lvlOverride w:ilvl="8"/>
  </w:num>
  <w:num w:numId="25" w16cid:durableId="1397624530">
    <w:abstractNumId w:val="4"/>
    <w:lvlOverride w:ilvl="0">
      <w:startOverride w:val="37"/>
    </w:lvlOverride>
    <w:lvlOverride w:ilvl="1"/>
    <w:lvlOverride w:ilvl="2">
      <w:startOverride w:val="9"/>
    </w:lvlOverride>
    <w:lvlOverride w:ilvl="3"/>
    <w:lvlOverride w:ilvl="4"/>
    <w:lvlOverride w:ilvl="5"/>
    <w:lvlOverride w:ilvl="6"/>
    <w:lvlOverride w:ilvl="7"/>
    <w:lvlOverride w:ilvl="8"/>
  </w:num>
  <w:num w:numId="26" w16cid:durableId="1287200609">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removePersonalInformation/>
  <w:removeDateAndTime/>
  <w:displayBackgroundShape/>
  <w:embedTrueTypeFont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25A"/>
    <w:rsid w:val="000003B9"/>
    <w:rsid w:val="00000B88"/>
    <w:rsid w:val="00000F54"/>
    <w:rsid w:val="000015A7"/>
    <w:rsid w:val="00001894"/>
    <w:rsid w:val="0000199D"/>
    <w:rsid w:val="00001A5F"/>
    <w:rsid w:val="00002358"/>
    <w:rsid w:val="000024CD"/>
    <w:rsid w:val="0000267D"/>
    <w:rsid w:val="0000322D"/>
    <w:rsid w:val="000038C2"/>
    <w:rsid w:val="00003B63"/>
    <w:rsid w:val="0000458B"/>
    <w:rsid w:val="0000460A"/>
    <w:rsid w:val="000046FE"/>
    <w:rsid w:val="000047DC"/>
    <w:rsid w:val="00004E2A"/>
    <w:rsid w:val="0000583B"/>
    <w:rsid w:val="00005850"/>
    <w:rsid w:val="00005E35"/>
    <w:rsid w:val="00005EF2"/>
    <w:rsid w:val="00006A40"/>
    <w:rsid w:val="00006BD4"/>
    <w:rsid w:val="00006C67"/>
    <w:rsid w:val="00006FE0"/>
    <w:rsid w:val="00006FF8"/>
    <w:rsid w:val="00007009"/>
    <w:rsid w:val="000073A4"/>
    <w:rsid w:val="000075B4"/>
    <w:rsid w:val="00007661"/>
    <w:rsid w:val="00007883"/>
    <w:rsid w:val="00007B36"/>
    <w:rsid w:val="00007CF1"/>
    <w:rsid w:val="00007DDB"/>
    <w:rsid w:val="0001111F"/>
    <w:rsid w:val="000114AC"/>
    <w:rsid w:val="00011E1F"/>
    <w:rsid w:val="0001248C"/>
    <w:rsid w:val="00012B57"/>
    <w:rsid w:val="00012C1E"/>
    <w:rsid w:val="00012E10"/>
    <w:rsid w:val="00012F6F"/>
    <w:rsid w:val="0001304F"/>
    <w:rsid w:val="0001314A"/>
    <w:rsid w:val="00013BC1"/>
    <w:rsid w:val="00013DE5"/>
    <w:rsid w:val="00014213"/>
    <w:rsid w:val="0001450D"/>
    <w:rsid w:val="000146B1"/>
    <w:rsid w:val="00014B55"/>
    <w:rsid w:val="00014EEB"/>
    <w:rsid w:val="00014F7A"/>
    <w:rsid w:val="00015340"/>
    <w:rsid w:val="00015450"/>
    <w:rsid w:val="0001570B"/>
    <w:rsid w:val="0001692D"/>
    <w:rsid w:val="00016958"/>
    <w:rsid w:val="00016BBF"/>
    <w:rsid w:val="00016C8D"/>
    <w:rsid w:val="00017313"/>
    <w:rsid w:val="00017C45"/>
    <w:rsid w:val="00017CF0"/>
    <w:rsid w:val="000202B2"/>
    <w:rsid w:val="0002030D"/>
    <w:rsid w:val="000206EC"/>
    <w:rsid w:val="0002086E"/>
    <w:rsid w:val="000209A3"/>
    <w:rsid w:val="000209D3"/>
    <w:rsid w:val="00020E3E"/>
    <w:rsid w:val="00021E50"/>
    <w:rsid w:val="00021FBA"/>
    <w:rsid w:val="0002207A"/>
    <w:rsid w:val="00022104"/>
    <w:rsid w:val="000225F4"/>
    <w:rsid w:val="00022A4D"/>
    <w:rsid w:val="00022D84"/>
    <w:rsid w:val="00022D8E"/>
    <w:rsid w:val="00022ED8"/>
    <w:rsid w:val="000231CC"/>
    <w:rsid w:val="00023719"/>
    <w:rsid w:val="000238DB"/>
    <w:rsid w:val="00023B0C"/>
    <w:rsid w:val="00023BF3"/>
    <w:rsid w:val="00023C25"/>
    <w:rsid w:val="0002441D"/>
    <w:rsid w:val="00025021"/>
    <w:rsid w:val="00025085"/>
    <w:rsid w:val="0002510B"/>
    <w:rsid w:val="00025787"/>
    <w:rsid w:val="00025EC8"/>
    <w:rsid w:val="000261E8"/>
    <w:rsid w:val="00026811"/>
    <w:rsid w:val="00026A3C"/>
    <w:rsid w:val="00026E6F"/>
    <w:rsid w:val="00027618"/>
    <w:rsid w:val="0002792D"/>
    <w:rsid w:val="00027D79"/>
    <w:rsid w:val="00027DB3"/>
    <w:rsid w:val="00027E16"/>
    <w:rsid w:val="00027F3C"/>
    <w:rsid w:val="00027FD2"/>
    <w:rsid w:val="000300AE"/>
    <w:rsid w:val="00030428"/>
    <w:rsid w:val="000306E2"/>
    <w:rsid w:val="00030BE2"/>
    <w:rsid w:val="00030CB0"/>
    <w:rsid w:val="00031201"/>
    <w:rsid w:val="0003131B"/>
    <w:rsid w:val="00031DF9"/>
    <w:rsid w:val="000321F2"/>
    <w:rsid w:val="00032832"/>
    <w:rsid w:val="00032AB7"/>
    <w:rsid w:val="00032B03"/>
    <w:rsid w:val="00032CA1"/>
    <w:rsid w:val="000334D5"/>
    <w:rsid w:val="0003470D"/>
    <w:rsid w:val="00035DCC"/>
    <w:rsid w:val="00035DFB"/>
    <w:rsid w:val="00036206"/>
    <w:rsid w:val="000364BE"/>
    <w:rsid w:val="00036612"/>
    <w:rsid w:val="00036AC8"/>
    <w:rsid w:val="00036BA5"/>
    <w:rsid w:val="00037091"/>
    <w:rsid w:val="00037321"/>
    <w:rsid w:val="00037647"/>
    <w:rsid w:val="00037E8B"/>
    <w:rsid w:val="00037F41"/>
    <w:rsid w:val="000406B8"/>
    <w:rsid w:val="00040A49"/>
    <w:rsid w:val="00040B31"/>
    <w:rsid w:val="000414F2"/>
    <w:rsid w:val="0004185E"/>
    <w:rsid w:val="00041A3D"/>
    <w:rsid w:val="00042649"/>
    <w:rsid w:val="0004281C"/>
    <w:rsid w:val="00042CFB"/>
    <w:rsid w:val="00042FF9"/>
    <w:rsid w:val="000431EF"/>
    <w:rsid w:val="000433E4"/>
    <w:rsid w:val="00043903"/>
    <w:rsid w:val="00043EF3"/>
    <w:rsid w:val="00043FFB"/>
    <w:rsid w:val="000443E2"/>
    <w:rsid w:val="00044655"/>
    <w:rsid w:val="00044ACA"/>
    <w:rsid w:val="00044C93"/>
    <w:rsid w:val="00044F85"/>
    <w:rsid w:val="0004512E"/>
    <w:rsid w:val="000456BE"/>
    <w:rsid w:val="00045748"/>
    <w:rsid w:val="00045E0D"/>
    <w:rsid w:val="000469F0"/>
    <w:rsid w:val="00046BE4"/>
    <w:rsid w:val="000472B4"/>
    <w:rsid w:val="000474D9"/>
    <w:rsid w:val="000475AB"/>
    <w:rsid w:val="000475AF"/>
    <w:rsid w:val="0004764D"/>
    <w:rsid w:val="000477B3"/>
    <w:rsid w:val="000500F6"/>
    <w:rsid w:val="000516ED"/>
    <w:rsid w:val="00051BA3"/>
    <w:rsid w:val="00051E67"/>
    <w:rsid w:val="0005230E"/>
    <w:rsid w:val="0005239A"/>
    <w:rsid w:val="000525B5"/>
    <w:rsid w:val="00052FA8"/>
    <w:rsid w:val="000531F1"/>
    <w:rsid w:val="00053318"/>
    <w:rsid w:val="00053A64"/>
    <w:rsid w:val="00053BEB"/>
    <w:rsid w:val="00053C44"/>
    <w:rsid w:val="00053D72"/>
    <w:rsid w:val="00053EF1"/>
    <w:rsid w:val="00054183"/>
    <w:rsid w:val="000541EF"/>
    <w:rsid w:val="0005479B"/>
    <w:rsid w:val="00054B07"/>
    <w:rsid w:val="0005570C"/>
    <w:rsid w:val="00055A33"/>
    <w:rsid w:val="00056341"/>
    <w:rsid w:val="0005637D"/>
    <w:rsid w:val="000566F2"/>
    <w:rsid w:val="000568AC"/>
    <w:rsid w:val="00056988"/>
    <w:rsid w:val="00056BBB"/>
    <w:rsid w:val="00056DA0"/>
    <w:rsid w:val="00056EC9"/>
    <w:rsid w:val="00057034"/>
    <w:rsid w:val="000574DE"/>
    <w:rsid w:val="000575FE"/>
    <w:rsid w:val="00057CF6"/>
    <w:rsid w:val="000606C7"/>
    <w:rsid w:val="00060743"/>
    <w:rsid w:val="00060773"/>
    <w:rsid w:val="00060BA0"/>
    <w:rsid w:val="00060D35"/>
    <w:rsid w:val="00061149"/>
    <w:rsid w:val="00061978"/>
    <w:rsid w:val="00061DBD"/>
    <w:rsid w:val="00061DF4"/>
    <w:rsid w:val="00061FDD"/>
    <w:rsid w:val="000620E0"/>
    <w:rsid w:val="00062173"/>
    <w:rsid w:val="00062177"/>
    <w:rsid w:val="00062530"/>
    <w:rsid w:val="0006254D"/>
    <w:rsid w:val="00062794"/>
    <w:rsid w:val="0006284D"/>
    <w:rsid w:val="00062BB6"/>
    <w:rsid w:val="00062BFB"/>
    <w:rsid w:val="00063436"/>
    <w:rsid w:val="00063A29"/>
    <w:rsid w:val="00063AEF"/>
    <w:rsid w:val="00063CBE"/>
    <w:rsid w:val="00063ED3"/>
    <w:rsid w:val="00063FE5"/>
    <w:rsid w:val="00064169"/>
    <w:rsid w:val="00064974"/>
    <w:rsid w:val="00064977"/>
    <w:rsid w:val="00064D0D"/>
    <w:rsid w:val="00064D3F"/>
    <w:rsid w:val="00064F79"/>
    <w:rsid w:val="00065559"/>
    <w:rsid w:val="00065729"/>
    <w:rsid w:val="00065BF1"/>
    <w:rsid w:val="00066256"/>
    <w:rsid w:val="00066434"/>
    <w:rsid w:val="00066901"/>
    <w:rsid w:val="00066D06"/>
    <w:rsid w:val="00066E61"/>
    <w:rsid w:val="000675E3"/>
    <w:rsid w:val="00067712"/>
    <w:rsid w:val="00067B7F"/>
    <w:rsid w:val="00067CC3"/>
    <w:rsid w:val="000701A3"/>
    <w:rsid w:val="000709B6"/>
    <w:rsid w:val="00070C43"/>
    <w:rsid w:val="000712AA"/>
    <w:rsid w:val="000713BF"/>
    <w:rsid w:val="00071674"/>
    <w:rsid w:val="000724F7"/>
    <w:rsid w:val="00072E84"/>
    <w:rsid w:val="000732E5"/>
    <w:rsid w:val="00073726"/>
    <w:rsid w:val="00073F29"/>
    <w:rsid w:val="00074263"/>
    <w:rsid w:val="000743A4"/>
    <w:rsid w:val="00074477"/>
    <w:rsid w:val="000747A1"/>
    <w:rsid w:val="00074EC9"/>
    <w:rsid w:val="0007503E"/>
    <w:rsid w:val="00075B0F"/>
    <w:rsid w:val="00075CB4"/>
    <w:rsid w:val="00075D85"/>
    <w:rsid w:val="00075E3A"/>
    <w:rsid w:val="00075E6C"/>
    <w:rsid w:val="00075FA3"/>
    <w:rsid w:val="0007611F"/>
    <w:rsid w:val="000763CF"/>
    <w:rsid w:val="000769C0"/>
    <w:rsid w:val="00076D2D"/>
    <w:rsid w:val="00076DFB"/>
    <w:rsid w:val="00077002"/>
    <w:rsid w:val="0007723D"/>
    <w:rsid w:val="000775DC"/>
    <w:rsid w:val="0008043F"/>
    <w:rsid w:val="0008149F"/>
    <w:rsid w:val="00081509"/>
    <w:rsid w:val="00081669"/>
    <w:rsid w:val="000818B2"/>
    <w:rsid w:val="00081ACC"/>
    <w:rsid w:val="00081B13"/>
    <w:rsid w:val="00081C12"/>
    <w:rsid w:val="000821A5"/>
    <w:rsid w:val="000827F9"/>
    <w:rsid w:val="00082D96"/>
    <w:rsid w:val="00083245"/>
    <w:rsid w:val="00083355"/>
    <w:rsid w:val="00083843"/>
    <w:rsid w:val="0008411A"/>
    <w:rsid w:val="000844DF"/>
    <w:rsid w:val="0008463F"/>
    <w:rsid w:val="00084961"/>
    <w:rsid w:val="00084DED"/>
    <w:rsid w:val="000853A5"/>
    <w:rsid w:val="00085A70"/>
    <w:rsid w:val="00085D7C"/>
    <w:rsid w:val="00086013"/>
    <w:rsid w:val="00086631"/>
    <w:rsid w:val="0008668A"/>
    <w:rsid w:val="000867B5"/>
    <w:rsid w:val="000867F6"/>
    <w:rsid w:val="00086ABA"/>
    <w:rsid w:val="00086B78"/>
    <w:rsid w:val="0008726A"/>
    <w:rsid w:val="000873E4"/>
    <w:rsid w:val="00087765"/>
    <w:rsid w:val="00090441"/>
    <w:rsid w:val="00090484"/>
    <w:rsid w:val="00090C59"/>
    <w:rsid w:val="0009141B"/>
    <w:rsid w:val="00091784"/>
    <w:rsid w:val="00091A5A"/>
    <w:rsid w:val="00091DE7"/>
    <w:rsid w:val="00092EA4"/>
    <w:rsid w:val="00093920"/>
    <w:rsid w:val="00093978"/>
    <w:rsid w:val="000939A7"/>
    <w:rsid w:val="0009442D"/>
    <w:rsid w:val="00094F3F"/>
    <w:rsid w:val="000951E2"/>
    <w:rsid w:val="0009521E"/>
    <w:rsid w:val="00095603"/>
    <w:rsid w:val="0009579D"/>
    <w:rsid w:val="000960CD"/>
    <w:rsid w:val="0009664C"/>
    <w:rsid w:val="00096885"/>
    <w:rsid w:val="00096A62"/>
    <w:rsid w:val="00096AFF"/>
    <w:rsid w:val="00097179"/>
    <w:rsid w:val="000974E2"/>
    <w:rsid w:val="00097918"/>
    <w:rsid w:val="00097D7C"/>
    <w:rsid w:val="000A03D9"/>
    <w:rsid w:val="000A04E6"/>
    <w:rsid w:val="000A04F7"/>
    <w:rsid w:val="000A0707"/>
    <w:rsid w:val="000A0FA6"/>
    <w:rsid w:val="000A1958"/>
    <w:rsid w:val="000A1EA1"/>
    <w:rsid w:val="000A1FEC"/>
    <w:rsid w:val="000A2315"/>
    <w:rsid w:val="000A23AE"/>
    <w:rsid w:val="000A296A"/>
    <w:rsid w:val="000A2A08"/>
    <w:rsid w:val="000A2B5F"/>
    <w:rsid w:val="000A30D7"/>
    <w:rsid w:val="000A313C"/>
    <w:rsid w:val="000A3506"/>
    <w:rsid w:val="000A36E7"/>
    <w:rsid w:val="000A3949"/>
    <w:rsid w:val="000A3A4A"/>
    <w:rsid w:val="000A3DFA"/>
    <w:rsid w:val="000A4386"/>
    <w:rsid w:val="000A48CF"/>
    <w:rsid w:val="000A4D1A"/>
    <w:rsid w:val="000A4EE5"/>
    <w:rsid w:val="000A50C8"/>
    <w:rsid w:val="000A57B1"/>
    <w:rsid w:val="000A5888"/>
    <w:rsid w:val="000A5F93"/>
    <w:rsid w:val="000A645C"/>
    <w:rsid w:val="000A75B0"/>
    <w:rsid w:val="000A77D1"/>
    <w:rsid w:val="000A7A0B"/>
    <w:rsid w:val="000A7D9A"/>
    <w:rsid w:val="000A7DA7"/>
    <w:rsid w:val="000B0225"/>
    <w:rsid w:val="000B04E4"/>
    <w:rsid w:val="000B05F9"/>
    <w:rsid w:val="000B08C5"/>
    <w:rsid w:val="000B166D"/>
    <w:rsid w:val="000B1BF5"/>
    <w:rsid w:val="000B1C3D"/>
    <w:rsid w:val="000B1CFD"/>
    <w:rsid w:val="000B2447"/>
    <w:rsid w:val="000B29AD"/>
    <w:rsid w:val="000B2D7D"/>
    <w:rsid w:val="000B333C"/>
    <w:rsid w:val="000B333F"/>
    <w:rsid w:val="000B34BC"/>
    <w:rsid w:val="000B35FE"/>
    <w:rsid w:val="000B41CE"/>
    <w:rsid w:val="000B43D4"/>
    <w:rsid w:val="000B4F03"/>
    <w:rsid w:val="000B4F5B"/>
    <w:rsid w:val="000B5A1B"/>
    <w:rsid w:val="000B5B61"/>
    <w:rsid w:val="000B5E7B"/>
    <w:rsid w:val="000B5F5F"/>
    <w:rsid w:val="000B64C0"/>
    <w:rsid w:val="000B6505"/>
    <w:rsid w:val="000B66D8"/>
    <w:rsid w:val="000B6A26"/>
    <w:rsid w:val="000B6E8D"/>
    <w:rsid w:val="000B73D3"/>
    <w:rsid w:val="000B74A8"/>
    <w:rsid w:val="000B796B"/>
    <w:rsid w:val="000B7AAE"/>
    <w:rsid w:val="000C039B"/>
    <w:rsid w:val="000C04A5"/>
    <w:rsid w:val="000C0589"/>
    <w:rsid w:val="000C05C3"/>
    <w:rsid w:val="000C0664"/>
    <w:rsid w:val="000C07DC"/>
    <w:rsid w:val="000C0987"/>
    <w:rsid w:val="000C107F"/>
    <w:rsid w:val="000C14E5"/>
    <w:rsid w:val="000C1836"/>
    <w:rsid w:val="000C1B4E"/>
    <w:rsid w:val="000C1D88"/>
    <w:rsid w:val="000C1DF9"/>
    <w:rsid w:val="000C2AE7"/>
    <w:rsid w:val="000C2CC4"/>
    <w:rsid w:val="000C3559"/>
    <w:rsid w:val="000C35BB"/>
    <w:rsid w:val="000C37B1"/>
    <w:rsid w:val="000C4234"/>
    <w:rsid w:val="000C4682"/>
    <w:rsid w:val="000C48EC"/>
    <w:rsid w:val="000C4D72"/>
    <w:rsid w:val="000C4E89"/>
    <w:rsid w:val="000C508C"/>
    <w:rsid w:val="000C54CD"/>
    <w:rsid w:val="000C562A"/>
    <w:rsid w:val="000C5A13"/>
    <w:rsid w:val="000C5C1C"/>
    <w:rsid w:val="000C61E1"/>
    <w:rsid w:val="000C625B"/>
    <w:rsid w:val="000C6372"/>
    <w:rsid w:val="000C6626"/>
    <w:rsid w:val="000C6746"/>
    <w:rsid w:val="000C68B9"/>
    <w:rsid w:val="000C6A41"/>
    <w:rsid w:val="000C6BD0"/>
    <w:rsid w:val="000C6D96"/>
    <w:rsid w:val="000C7033"/>
    <w:rsid w:val="000C704B"/>
    <w:rsid w:val="000C718C"/>
    <w:rsid w:val="000C75DD"/>
    <w:rsid w:val="000C7A31"/>
    <w:rsid w:val="000C7BD6"/>
    <w:rsid w:val="000C7E1F"/>
    <w:rsid w:val="000D03B2"/>
    <w:rsid w:val="000D07C1"/>
    <w:rsid w:val="000D0FD9"/>
    <w:rsid w:val="000D1072"/>
    <w:rsid w:val="000D140A"/>
    <w:rsid w:val="000D1702"/>
    <w:rsid w:val="000D173D"/>
    <w:rsid w:val="000D1913"/>
    <w:rsid w:val="000D2113"/>
    <w:rsid w:val="000D2265"/>
    <w:rsid w:val="000D2534"/>
    <w:rsid w:val="000D2FE3"/>
    <w:rsid w:val="000D3BCB"/>
    <w:rsid w:val="000D3F34"/>
    <w:rsid w:val="000D3F4A"/>
    <w:rsid w:val="000D3FD8"/>
    <w:rsid w:val="000D4585"/>
    <w:rsid w:val="000D4A7C"/>
    <w:rsid w:val="000D5003"/>
    <w:rsid w:val="000D5667"/>
    <w:rsid w:val="000D5CB8"/>
    <w:rsid w:val="000D63A8"/>
    <w:rsid w:val="000D64E2"/>
    <w:rsid w:val="000D7DE1"/>
    <w:rsid w:val="000D7FA2"/>
    <w:rsid w:val="000E03C0"/>
    <w:rsid w:val="000E06B5"/>
    <w:rsid w:val="000E09DB"/>
    <w:rsid w:val="000E0BC5"/>
    <w:rsid w:val="000E1093"/>
    <w:rsid w:val="000E1208"/>
    <w:rsid w:val="000E152A"/>
    <w:rsid w:val="000E1A15"/>
    <w:rsid w:val="000E1AF3"/>
    <w:rsid w:val="000E1DF1"/>
    <w:rsid w:val="000E21A9"/>
    <w:rsid w:val="000E2527"/>
    <w:rsid w:val="000E256F"/>
    <w:rsid w:val="000E27C0"/>
    <w:rsid w:val="000E326B"/>
    <w:rsid w:val="000E376C"/>
    <w:rsid w:val="000E392D"/>
    <w:rsid w:val="000E3D05"/>
    <w:rsid w:val="000E4862"/>
    <w:rsid w:val="000E4F4E"/>
    <w:rsid w:val="000E54E5"/>
    <w:rsid w:val="000E6493"/>
    <w:rsid w:val="000E6F9D"/>
    <w:rsid w:val="000E7016"/>
    <w:rsid w:val="000E73F5"/>
    <w:rsid w:val="000E73FC"/>
    <w:rsid w:val="000E7439"/>
    <w:rsid w:val="000E7604"/>
    <w:rsid w:val="000E765D"/>
    <w:rsid w:val="000F012B"/>
    <w:rsid w:val="000F01D8"/>
    <w:rsid w:val="000F073D"/>
    <w:rsid w:val="000F0E17"/>
    <w:rsid w:val="000F0F6F"/>
    <w:rsid w:val="000F107E"/>
    <w:rsid w:val="000F138D"/>
    <w:rsid w:val="000F16CA"/>
    <w:rsid w:val="000F185C"/>
    <w:rsid w:val="000F1C46"/>
    <w:rsid w:val="000F1CE4"/>
    <w:rsid w:val="000F22E5"/>
    <w:rsid w:val="000F259D"/>
    <w:rsid w:val="000F25D8"/>
    <w:rsid w:val="000F2B03"/>
    <w:rsid w:val="000F333A"/>
    <w:rsid w:val="000F33D9"/>
    <w:rsid w:val="000F3AF1"/>
    <w:rsid w:val="000F3C10"/>
    <w:rsid w:val="000F3FA1"/>
    <w:rsid w:val="000F4288"/>
    <w:rsid w:val="000F50D3"/>
    <w:rsid w:val="000F5285"/>
    <w:rsid w:val="000F545B"/>
    <w:rsid w:val="000F5780"/>
    <w:rsid w:val="000F57DF"/>
    <w:rsid w:val="000F5D62"/>
    <w:rsid w:val="000F6084"/>
    <w:rsid w:val="000F6575"/>
    <w:rsid w:val="000F6B0D"/>
    <w:rsid w:val="000F7165"/>
    <w:rsid w:val="000F761E"/>
    <w:rsid w:val="000F763D"/>
    <w:rsid w:val="000F7C50"/>
    <w:rsid w:val="000F7D5B"/>
    <w:rsid w:val="0010018D"/>
    <w:rsid w:val="001001E0"/>
    <w:rsid w:val="001005AE"/>
    <w:rsid w:val="0010067F"/>
    <w:rsid w:val="00100718"/>
    <w:rsid w:val="00100974"/>
    <w:rsid w:val="00100B98"/>
    <w:rsid w:val="00101151"/>
    <w:rsid w:val="00101CEC"/>
    <w:rsid w:val="00101CF6"/>
    <w:rsid w:val="00101D21"/>
    <w:rsid w:val="00101D24"/>
    <w:rsid w:val="0010203F"/>
    <w:rsid w:val="001021D1"/>
    <w:rsid w:val="00102251"/>
    <w:rsid w:val="00102379"/>
    <w:rsid w:val="00102B56"/>
    <w:rsid w:val="00102C02"/>
    <w:rsid w:val="00102F74"/>
    <w:rsid w:val="00103008"/>
    <w:rsid w:val="00103239"/>
    <w:rsid w:val="001035E1"/>
    <w:rsid w:val="001036DC"/>
    <w:rsid w:val="00103722"/>
    <w:rsid w:val="00103EBC"/>
    <w:rsid w:val="001040FD"/>
    <w:rsid w:val="00104284"/>
    <w:rsid w:val="00104850"/>
    <w:rsid w:val="0010532B"/>
    <w:rsid w:val="00105479"/>
    <w:rsid w:val="001055A7"/>
    <w:rsid w:val="00105BFF"/>
    <w:rsid w:val="00105C15"/>
    <w:rsid w:val="001063A9"/>
    <w:rsid w:val="001065D6"/>
    <w:rsid w:val="001068D5"/>
    <w:rsid w:val="00106A69"/>
    <w:rsid w:val="00106BDD"/>
    <w:rsid w:val="00106D35"/>
    <w:rsid w:val="00106D36"/>
    <w:rsid w:val="00107267"/>
    <w:rsid w:val="0010751D"/>
    <w:rsid w:val="00107556"/>
    <w:rsid w:val="00107595"/>
    <w:rsid w:val="001075FE"/>
    <w:rsid w:val="001078F4"/>
    <w:rsid w:val="00107A7F"/>
    <w:rsid w:val="00110218"/>
    <w:rsid w:val="00110245"/>
    <w:rsid w:val="00110628"/>
    <w:rsid w:val="00110709"/>
    <w:rsid w:val="001108D1"/>
    <w:rsid w:val="0011092E"/>
    <w:rsid w:val="001109B8"/>
    <w:rsid w:val="0011134C"/>
    <w:rsid w:val="00111448"/>
    <w:rsid w:val="0011187A"/>
    <w:rsid w:val="00111A34"/>
    <w:rsid w:val="00111B39"/>
    <w:rsid w:val="00111E4D"/>
    <w:rsid w:val="00111E74"/>
    <w:rsid w:val="001120A5"/>
    <w:rsid w:val="00112236"/>
    <w:rsid w:val="0011234B"/>
    <w:rsid w:val="0011257A"/>
    <w:rsid w:val="001128FC"/>
    <w:rsid w:val="00112D41"/>
    <w:rsid w:val="00113040"/>
    <w:rsid w:val="0011334B"/>
    <w:rsid w:val="00113497"/>
    <w:rsid w:val="00113ADC"/>
    <w:rsid w:val="00113B0D"/>
    <w:rsid w:val="00113B3F"/>
    <w:rsid w:val="00113BDC"/>
    <w:rsid w:val="00113DC0"/>
    <w:rsid w:val="0011406F"/>
    <w:rsid w:val="00114235"/>
    <w:rsid w:val="0011440A"/>
    <w:rsid w:val="0011475D"/>
    <w:rsid w:val="00114E43"/>
    <w:rsid w:val="0011518D"/>
    <w:rsid w:val="001151B5"/>
    <w:rsid w:val="00116577"/>
    <w:rsid w:val="0011666A"/>
    <w:rsid w:val="00116735"/>
    <w:rsid w:val="001168CB"/>
    <w:rsid w:val="00116E99"/>
    <w:rsid w:val="00116EB0"/>
    <w:rsid w:val="00116FC6"/>
    <w:rsid w:val="00117180"/>
    <w:rsid w:val="001173E0"/>
    <w:rsid w:val="00117696"/>
    <w:rsid w:val="00117702"/>
    <w:rsid w:val="0012004D"/>
    <w:rsid w:val="001200FF"/>
    <w:rsid w:val="001206F3"/>
    <w:rsid w:val="00120BB0"/>
    <w:rsid w:val="00121252"/>
    <w:rsid w:val="0012133B"/>
    <w:rsid w:val="0012171C"/>
    <w:rsid w:val="0012224C"/>
    <w:rsid w:val="00122917"/>
    <w:rsid w:val="00122A36"/>
    <w:rsid w:val="00122CA1"/>
    <w:rsid w:val="00122E7F"/>
    <w:rsid w:val="00122EF0"/>
    <w:rsid w:val="00123405"/>
    <w:rsid w:val="00123854"/>
    <w:rsid w:val="001240A8"/>
    <w:rsid w:val="00124565"/>
    <w:rsid w:val="00124609"/>
    <w:rsid w:val="00124750"/>
    <w:rsid w:val="00124C75"/>
    <w:rsid w:val="00124CA0"/>
    <w:rsid w:val="00124E58"/>
    <w:rsid w:val="00125354"/>
    <w:rsid w:val="001254CE"/>
    <w:rsid w:val="00125546"/>
    <w:rsid w:val="0012590C"/>
    <w:rsid w:val="001259A9"/>
    <w:rsid w:val="00125FBE"/>
    <w:rsid w:val="0012624C"/>
    <w:rsid w:val="0012661A"/>
    <w:rsid w:val="00126799"/>
    <w:rsid w:val="00126807"/>
    <w:rsid w:val="00127797"/>
    <w:rsid w:val="00127CB7"/>
    <w:rsid w:val="00127DA0"/>
    <w:rsid w:val="00127DC2"/>
    <w:rsid w:val="001302B3"/>
    <w:rsid w:val="00130490"/>
    <w:rsid w:val="00130A2D"/>
    <w:rsid w:val="00130E3E"/>
    <w:rsid w:val="001318B9"/>
    <w:rsid w:val="00131A03"/>
    <w:rsid w:val="00131CA5"/>
    <w:rsid w:val="00132400"/>
    <w:rsid w:val="0013273C"/>
    <w:rsid w:val="00133B2A"/>
    <w:rsid w:val="00133E20"/>
    <w:rsid w:val="00133FD8"/>
    <w:rsid w:val="00134063"/>
    <w:rsid w:val="00134077"/>
    <w:rsid w:val="00134417"/>
    <w:rsid w:val="0013445E"/>
    <w:rsid w:val="001349ED"/>
    <w:rsid w:val="00134A2B"/>
    <w:rsid w:val="00134EF7"/>
    <w:rsid w:val="0013547F"/>
    <w:rsid w:val="00135824"/>
    <w:rsid w:val="0013588A"/>
    <w:rsid w:val="00135ABB"/>
    <w:rsid w:val="00135BE5"/>
    <w:rsid w:val="00135DC3"/>
    <w:rsid w:val="00135FD1"/>
    <w:rsid w:val="001362DA"/>
    <w:rsid w:val="001364FC"/>
    <w:rsid w:val="00137419"/>
    <w:rsid w:val="00137725"/>
    <w:rsid w:val="00137A31"/>
    <w:rsid w:val="00137E88"/>
    <w:rsid w:val="00140498"/>
    <w:rsid w:val="00140777"/>
    <w:rsid w:val="0014096C"/>
    <w:rsid w:val="00140B6E"/>
    <w:rsid w:val="00140DE7"/>
    <w:rsid w:val="001410CF"/>
    <w:rsid w:val="00141262"/>
    <w:rsid w:val="00141747"/>
    <w:rsid w:val="001418DF"/>
    <w:rsid w:val="001419C2"/>
    <w:rsid w:val="00141EEF"/>
    <w:rsid w:val="001422CC"/>
    <w:rsid w:val="001423E8"/>
    <w:rsid w:val="00142D3D"/>
    <w:rsid w:val="001433EE"/>
    <w:rsid w:val="001434B3"/>
    <w:rsid w:val="001435FC"/>
    <w:rsid w:val="00143A00"/>
    <w:rsid w:val="00143DCA"/>
    <w:rsid w:val="00143DF7"/>
    <w:rsid w:val="00143E4C"/>
    <w:rsid w:val="00144046"/>
    <w:rsid w:val="001440A1"/>
    <w:rsid w:val="001440EB"/>
    <w:rsid w:val="00144184"/>
    <w:rsid w:val="00144495"/>
    <w:rsid w:val="00144A57"/>
    <w:rsid w:val="00144F94"/>
    <w:rsid w:val="00145834"/>
    <w:rsid w:val="001458FC"/>
    <w:rsid w:val="001459D6"/>
    <w:rsid w:val="0014658A"/>
    <w:rsid w:val="001468EC"/>
    <w:rsid w:val="00146B23"/>
    <w:rsid w:val="0014700A"/>
    <w:rsid w:val="00150193"/>
    <w:rsid w:val="00150427"/>
    <w:rsid w:val="0015052E"/>
    <w:rsid w:val="00150604"/>
    <w:rsid w:val="00150D0B"/>
    <w:rsid w:val="00151088"/>
    <w:rsid w:val="00151120"/>
    <w:rsid w:val="001515D5"/>
    <w:rsid w:val="00151C1A"/>
    <w:rsid w:val="00151D06"/>
    <w:rsid w:val="00151EC6"/>
    <w:rsid w:val="00151F1D"/>
    <w:rsid w:val="0015206B"/>
    <w:rsid w:val="001522C9"/>
    <w:rsid w:val="00152AB2"/>
    <w:rsid w:val="00152C29"/>
    <w:rsid w:val="00153295"/>
    <w:rsid w:val="001532DC"/>
    <w:rsid w:val="001536D1"/>
    <w:rsid w:val="00153964"/>
    <w:rsid w:val="00153A8A"/>
    <w:rsid w:val="00153C77"/>
    <w:rsid w:val="00153CB0"/>
    <w:rsid w:val="00153CF4"/>
    <w:rsid w:val="00153D6D"/>
    <w:rsid w:val="00153E93"/>
    <w:rsid w:val="00153F2E"/>
    <w:rsid w:val="00153F74"/>
    <w:rsid w:val="001541DC"/>
    <w:rsid w:val="00154280"/>
    <w:rsid w:val="00154A75"/>
    <w:rsid w:val="00154DF5"/>
    <w:rsid w:val="00155062"/>
    <w:rsid w:val="001554F8"/>
    <w:rsid w:val="001559C0"/>
    <w:rsid w:val="00155FBF"/>
    <w:rsid w:val="00156382"/>
    <w:rsid w:val="0015660D"/>
    <w:rsid w:val="001567C8"/>
    <w:rsid w:val="00156A9C"/>
    <w:rsid w:val="00156CAB"/>
    <w:rsid w:val="00156F0C"/>
    <w:rsid w:val="00157133"/>
    <w:rsid w:val="001573ED"/>
    <w:rsid w:val="0015769C"/>
    <w:rsid w:val="00157ED8"/>
    <w:rsid w:val="00160065"/>
    <w:rsid w:val="0016016E"/>
    <w:rsid w:val="0016026E"/>
    <w:rsid w:val="001607B0"/>
    <w:rsid w:val="00160C5F"/>
    <w:rsid w:val="001617B6"/>
    <w:rsid w:val="00161990"/>
    <w:rsid w:val="00161AC4"/>
    <w:rsid w:val="00161D38"/>
    <w:rsid w:val="00161E41"/>
    <w:rsid w:val="001623B6"/>
    <w:rsid w:val="00162A26"/>
    <w:rsid w:val="00162EEC"/>
    <w:rsid w:val="00163023"/>
    <w:rsid w:val="00163346"/>
    <w:rsid w:val="00163485"/>
    <w:rsid w:val="001635C3"/>
    <w:rsid w:val="001638E3"/>
    <w:rsid w:val="00163B98"/>
    <w:rsid w:val="00163F01"/>
    <w:rsid w:val="00163FD7"/>
    <w:rsid w:val="001647D0"/>
    <w:rsid w:val="0016491D"/>
    <w:rsid w:val="00164E67"/>
    <w:rsid w:val="001654BB"/>
    <w:rsid w:val="00165C9B"/>
    <w:rsid w:val="00165E66"/>
    <w:rsid w:val="00166278"/>
    <w:rsid w:val="001669A7"/>
    <w:rsid w:val="00166BDD"/>
    <w:rsid w:val="00166F90"/>
    <w:rsid w:val="001675E4"/>
    <w:rsid w:val="00170E35"/>
    <w:rsid w:val="00170F22"/>
    <w:rsid w:val="00170FE6"/>
    <w:rsid w:val="00171022"/>
    <w:rsid w:val="001712FF"/>
    <w:rsid w:val="0017174C"/>
    <w:rsid w:val="001718CA"/>
    <w:rsid w:val="001718E3"/>
    <w:rsid w:val="00171928"/>
    <w:rsid w:val="00171A6C"/>
    <w:rsid w:val="00171A8A"/>
    <w:rsid w:val="00171CF8"/>
    <w:rsid w:val="0017241A"/>
    <w:rsid w:val="00172C93"/>
    <w:rsid w:val="00172F80"/>
    <w:rsid w:val="0017315F"/>
    <w:rsid w:val="0017317F"/>
    <w:rsid w:val="00173A51"/>
    <w:rsid w:val="00173FC0"/>
    <w:rsid w:val="001740FA"/>
    <w:rsid w:val="00174791"/>
    <w:rsid w:val="001747BB"/>
    <w:rsid w:val="0017484A"/>
    <w:rsid w:val="00174CA0"/>
    <w:rsid w:val="00174DC8"/>
    <w:rsid w:val="00175403"/>
    <w:rsid w:val="00175449"/>
    <w:rsid w:val="00175D37"/>
    <w:rsid w:val="00175FED"/>
    <w:rsid w:val="00176493"/>
    <w:rsid w:val="001769B9"/>
    <w:rsid w:val="00176B7C"/>
    <w:rsid w:val="00176CB0"/>
    <w:rsid w:val="001770DB"/>
    <w:rsid w:val="0017755B"/>
    <w:rsid w:val="00177E31"/>
    <w:rsid w:val="001801CF"/>
    <w:rsid w:val="0018033C"/>
    <w:rsid w:val="00180756"/>
    <w:rsid w:val="001808F7"/>
    <w:rsid w:val="00180E0F"/>
    <w:rsid w:val="00180FC6"/>
    <w:rsid w:val="0018146A"/>
    <w:rsid w:val="00181714"/>
    <w:rsid w:val="0018213A"/>
    <w:rsid w:val="0018251A"/>
    <w:rsid w:val="00182576"/>
    <w:rsid w:val="00182588"/>
    <w:rsid w:val="00182638"/>
    <w:rsid w:val="00182854"/>
    <w:rsid w:val="00182C8D"/>
    <w:rsid w:val="00182FD8"/>
    <w:rsid w:val="001833DB"/>
    <w:rsid w:val="001835E7"/>
    <w:rsid w:val="001836DB"/>
    <w:rsid w:val="00183725"/>
    <w:rsid w:val="00183DE6"/>
    <w:rsid w:val="00183E8D"/>
    <w:rsid w:val="0018415D"/>
    <w:rsid w:val="00184C54"/>
    <w:rsid w:val="0018519D"/>
    <w:rsid w:val="001852F0"/>
    <w:rsid w:val="001854CA"/>
    <w:rsid w:val="001857D6"/>
    <w:rsid w:val="001859D1"/>
    <w:rsid w:val="00186A4C"/>
    <w:rsid w:val="00186C5E"/>
    <w:rsid w:val="001870C0"/>
    <w:rsid w:val="00187D37"/>
    <w:rsid w:val="00187E6D"/>
    <w:rsid w:val="00187F4F"/>
    <w:rsid w:val="00187FF9"/>
    <w:rsid w:val="001906A9"/>
    <w:rsid w:val="00190AD2"/>
    <w:rsid w:val="00190D0E"/>
    <w:rsid w:val="001911FC"/>
    <w:rsid w:val="001912D6"/>
    <w:rsid w:val="0019155C"/>
    <w:rsid w:val="0019183E"/>
    <w:rsid w:val="00191DD6"/>
    <w:rsid w:val="001923C2"/>
    <w:rsid w:val="00192574"/>
    <w:rsid w:val="00192966"/>
    <w:rsid w:val="00192B26"/>
    <w:rsid w:val="00193631"/>
    <w:rsid w:val="00193B6F"/>
    <w:rsid w:val="00193FF1"/>
    <w:rsid w:val="0019411E"/>
    <w:rsid w:val="0019416D"/>
    <w:rsid w:val="00194366"/>
    <w:rsid w:val="00194FA3"/>
    <w:rsid w:val="0019502F"/>
    <w:rsid w:val="001953DA"/>
    <w:rsid w:val="001954D5"/>
    <w:rsid w:val="00195AE9"/>
    <w:rsid w:val="00196135"/>
    <w:rsid w:val="00196143"/>
    <w:rsid w:val="001962A1"/>
    <w:rsid w:val="001963DF"/>
    <w:rsid w:val="00196479"/>
    <w:rsid w:val="00196858"/>
    <w:rsid w:val="00196A6A"/>
    <w:rsid w:val="00196D08"/>
    <w:rsid w:val="0019740D"/>
    <w:rsid w:val="001975F9"/>
    <w:rsid w:val="00197876"/>
    <w:rsid w:val="00197BBC"/>
    <w:rsid w:val="001A0287"/>
    <w:rsid w:val="001A0545"/>
    <w:rsid w:val="001A0969"/>
    <w:rsid w:val="001A0E64"/>
    <w:rsid w:val="001A10DB"/>
    <w:rsid w:val="001A1283"/>
    <w:rsid w:val="001A15BC"/>
    <w:rsid w:val="001A1821"/>
    <w:rsid w:val="001A186E"/>
    <w:rsid w:val="001A1A61"/>
    <w:rsid w:val="001A1DBC"/>
    <w:rsid w:val="001A1E1D"/>
    <w:rsid w:val="001A24FC"/>
    <w:rsid w:val="001A2909"/>
    <w:rsid w:val="001A32BB"/>
    <w:rsid w:val="001A3479"/>
    <w:rsid w:val="001A45F2"/>
    <w:rsid w:val="001A47F2"/>
    <w:rsid w:val="001A4E00"/>
    <w:rsid w:val="001A5047"/>
    <w:rsid w:val="001A5349"/>
    <w:rsid w:val="001A5510"/>
    <w:rsid w:val="001A5900"/>
    <w:rsid w:val="001A5D02"/>
    <w:rsid w:val="001A5FC6"/>
    <w:rsid w:val="001A66A3"/>
    <w:rsid w:val="001A6773"/>
    <w:rsid w:val="001A6EEA"/>
    <w:rsid w:val="001A7842"/>
    <w:rsid w:val="001A7974"/>
    <w:rsid w:val="001A7A61"/>
    <w:rsid w:val="001A7AB4"/>
    <w:rsid w:val="001B0084"/>
    <w:rsid w:val="001B0093"/>
    <w:rsid w:val="001B05FC"/>
    <w:rsid w:val="001B0FDB"/>
    <w:rsid w:val="001B13A5"/>
    <w:rsid w:val="001B146D"/>
    <w:rsid w:val="001B176D"/>
    <w:rsid w:val="001B17A1"/>
    <w:rsid w:val="001B183A"/>
    <w:rsid w:val="001B19D1"/>
    <w:rsid w:val="001B1C2E"/>
    <w:rsid w:val="001B1F5C"/>
    <w:rsid w:val="001B26EC"/>
    <w:rsid w:val="001B2B63"/>
    <w:rsid w:val="001B2F15"/>
    <w:rsid w:val="001B4059"/>
    <w:rsid w:val="001B4083"/>
    <w:rsid w:val="001B426A"/>
    <w:rsid w:val="001B44FB"/>
    <w:rsid w:val="001B465E"/>
    <w:rsid w:val="001B482D"/>
    <w:rsid w:val="001B4FEA"/>
    <w:rsid w:val="001B580B"/>
    <w:rsid w:val="001B5BAF"/>
    <w:rsid w:val="001B600F"/>
    <w:rsid w:val="001B629D"/>
    <w:rsid w:val="001B64FC"/>
    <w:rsid w:val="001B72D2"/>
    <w:rsid w:val="001B7502"/>
    <w:rsid w:val="001B7820"/>
    <w:rsid w:val="001B784B"/>
    <w:rsid w:val="001B7C1A"/>
    <w:rsid w:val="001B7D06"/>
    <w:rsid w:val="001BCE38"/>
    <w:rsid w:val="001C0595"/>
    <w:rsid w:val="001C0962"/>
    <w:rsid w:val="001C0ADC"/>
    <w:rsid w:val="001C0C72"/>
    <w:rsid w:val="001C0CEE"/>
    <w:rsid w:val="001C0EDA"/>
    <w:rsid w:val="001C0F03"/>
    <w:rsid w:val="001C1069"/>
    <w:rsid w:val="001C15FA"/>
    <w:rsid w:val="001C20CF"/>
    <w:rsid w:val="001C21BD"/>
    <w:rsid w:val="001C2234"/>
    <w:rsid w:val="001C23E5"/>
    <w:rsid w:val="001C2DF3"/>
    <w:rsid w:val="001C39BE"/>
    <w:rsid w:val="001C3A33"/>
    <w:rsid w:val="001C42AC"/>
    <w:rsid w:val="001C47EF"/>
    <w:rsid w:val="001C49A6"/>
    <w:rsid w:val="001C4A11"/>
    <w:rsid w:val="001C4A1D"/>
    <w:rsid w:val="001C4BDE"/>
    <w:rsid w:val="001C522C"/>
    <w:rsid w:val="001C5277"/>
    <w:rsid w:val="001C52F7"/>
    <w:rsid w:val="001C589E"/>
    <w:rsid w:val="001C5FD9"/>
    <w:rsid w:val="001C60B9"/>
    <w:rsid w:val="001C626E"/>
    <w:rsid w:val="001C7250"/>
    <w:rsid w:val="001C744E"/>
    <w:rsid w:val="001C76A1"/>
    <w:rsid w:val="001C7BAE"/>
    <w:rsid w:val="001CB30B"/>
    <w:rsid w:val="001D0120"/>
    <w:rsid w:val="001D03B6"/>
    <w:rsid w:val="001D0713"/>
    <w:rsid w:val="001D0B95"/>
    <w:rsid w:val="001D1101"/>
    <w:rsid w:val="001D116F"/>
    <w:rsid w:val="001D11D9"/>
    <w:rsid w:val="001D21FF"/>
    <w:rsid w:val="001D2417"/>
    <w:rsid w:val="001D2615"/>
    <w:rsid w:val="001D2925"/>
    <w:rsid w:val="001D2EF5"/>
    <w:rsid w:val="001D3045"/>
    <w:rsid w:val="001D34C3"/>
    <w:rsid w:val="001D3666"/>
    <w:rsid w:val="001D3897"/>
    <w:rsid w:val="001D3DE7"/>
    <w:rsid w:val="001D3F02"/>
    <w:rsid w:val="001D3FF7"/>
    <w:rsid w:val="001D4036"/>
    <w:rsid w:val="001D4193"/>
    <w:rsid w:val="001D41CB"/>
    <w:rsid w:val="001D446B"/>
    <w:rsid w:val="001D472D"/>
    <w:rsid w:val="001D4B06"/>
    <w:rsid w:val="001D5683"/>
    <w:rsid w:val="001D5B13"/>
    <w:rsid w:val="001D5C56"/>
    <w:rsid w:val="001D6012"/>
    <w:rsid w:val="001D601C"/>
    <w:rsid w:val="001D6758"/>
    <w:rsid w:val="001D6E0F"/>
    <w:rsid w:val="001D75E3"/>
    <w:rsid w:val="001D7750"/>
    <w:rsid w:val="001D7858"/>
    <w:rsid w:val="001D7B2E"/>
    <w:rsid w:val="001D7C5E"/>
    <w:rsid w:val="001E06C5"/>
    <w:rsid w:val="001E0BEE"/>
    <w:rsid w:val="001E0C0E"/>
    <w:rsid w:val="001E0FF0"/>
    <w:rsid w:val="001E1092"/>
    <w:rsid w:val="001E17F4"/>
    <w:rsid w:val="001E1EAB"/>
    <w:rsid w:val="001E1EF5"/>
    <w:rsid w:val="001E2714"/>
    <w:rsid w:val="001E27BD"/>
    <w:rsid w:val="001E287A"/>
    <w:rsid w:val="001E2A20"/>
    <w:rsid w:val="001E2C33"/>
    <w:rsid w:val="001E2C85"/>
    <w:rsid w:val="001E2D0F"/>
    <w:rsid w:val="001E31FA"/>
    <w:rsid w:val="001E3212"/>
    <w:rsid w:val="001E3627"/>
    <w:rsid w:val="001E36A8"/>
    <w:rsid w:val="001E395C"/>
    <w:rsid w:val="001E3B4B"/>
    <w:rsid w:val="001E3D7A"/>
    <w:rsid w:val="001E3EB4"/>
    <w:rsid w:val="001E48F9"/>
    <w:rsid w:val="001E4A52"/>
    <w:rsid w:val="001E4B00"/>
    <w:rsid w:val="001E4B74"/>
    <w:rsid w:val="001E4B7D"/>
    <w:rsid w:val="001E4F86"/>
    <w:rsid w:val="001E50E6"/>
    <w:rsid w:val="001E52A3"/>
    <w:rsid w:val="001E5475"/>
    <w:rsid w:val="001E5740"/>
    <w:rsid w:val="001E58FE"/>
    <w:rsid w:val="001E6283"/>
    <w:rsid w:val="001E641E"/>
    <w:rsid w:val="001E64F6"/>
    <w:rsid w:val="001E65B7"/>
    <w:rsid w:val="001E6D27"/>
    <w:rsid w:val="001E77C1"/>
    <w:rsid w:val="001E77CA"/>
    <w:rsid w:val="001E78E0"/>
    <w:rsid w:val="001E7A3D"/>
    <w:rsid w:val="001E7AEB"/>
    <w:rsid w:val="001E7DEA"/>
    <w:rsid w:val="001F04CD"/>
    <w:rsid w:val="001F08AD"/>
    <w:rsid w:val="001F08E4"/>
    <w:rsid w:val="001F0C6B"/>
    <w:rsid w:val="001F0D12"/>
    <w:rsid w:val="001F12CC"/>
    <w:rsid w:val="001F1411"/>
    <w:rsid w:val="001F1835"/>
    <w:rsid w:val="001F1958"/>
    <w:rsid w:val="001F1CA4"/>
    <w:rsid w:val="001F2AC1"/>
    <w:rsid w:val="001F2D80"/>
    <w:rsid w:val="001F30B5"/>
    <w:rsid w:val="001F38CF"/>
    <w:rsid w:val="001F4600"/>
    <w:rsid w:val="001F4649"/>
    <w:rsid w:val="001F4670"/>
    <w:rsid w:val="001F4689"/>
    <w:rsid w:val="001F46E4"/>
    <w:rsid w:val="001F481F"/>
    <w:rsid w:val="001F48B5"/>
    <w:rsid w:val="001F4D89"/>
    <w:rsid w:val="001F4EFB"/>
    <w:rsid w:val="001F505C"/>
    <w:rsid w:val="001F596B"/>
    <w:rsid w:val="001F5FB5"/>
    <w:rsid w:val="001F6068"/>
    <w:rsid w:val="001F6AA4"/>
    <w:rsid w:val="001F6DAE"/>
    <w:rsid w:val="001F6E39"/>
    <w:rsid w:val="001F6EFF"/>
    <w:rsid w:val="001F77A5"/>
    <w:rsid w:val="001F79E1"/>
    <w:rsid w:val="001F7C89"/>
    <w:rsid w:val="001F7CDE"/>
    <w:rsid w:val="001F7FF8"/>
    <w:rsid w:val="0020040F"/>
    <w:rsid w:val="00200413"/>
    <w:rsid w:val="00200494"/>
    <w:rsid w:val="00200592"/>
    <w:rsid w:val="002007C7"/>
    <w:rsid w:val="002007CD"/>
    <w:rsid w:val="00200D7B"/>
    <w:rsid w:val="00200FF4"/>
    <w:rsid w:val="0020158F"/>
    <w:rsid w:val="00201902"/>
    <w:rsid w:val="00201B22"/>
    <w:rsid w:val="00201BDA"/>
    <w:rsid w:val="00202276"/>
    <w:rsid w:val="0020290E"/>
    <w:rsid w:val="00202A4B"/>
    <w:rsid w:val="002030FC"/>
    <w:rsid w:val="00203244"/>
    <w:rsid w:val="002035D5"/>
    <w:rsid w:val="0020446F"/>
    <w:rsid w:val="00204552"/>
    <w:rsid w:val="00204A0B"/>
    <w:rsid w:val="00204B82"/>
    <w:rsid w:val="00204C12"/>
    <w:rsid w:val="00205382"/>
    <w:rsid w:val="00205567"/>
    <w:rsid w:val="00205990"/>
    <w:rsid w:val="0020604A"/>
    <w:rsid w:val="002063A1"/>
    <w:rsid w:val="00206C0F"/>
    <w:rsid w:val="00206EC0"/>
    <w:rsid w:val="002070C2"/>
    <w:rsid w:val="0020738E"/>
    <w:rsid w:val="00207521"/>
    <w:rsid w:val="002077A3"/>
    <w:rsid w:val="00207810"/>
    <w:rsid w:val="00207AF5"/>
    <w:rsid w:val="00207FCF"/>
    <w:rsid w:val="002101E5"/>
    <w:rsid w:val="00210CB6"/>
    <w:rsid w:val="0021166C"/>
    <w:rsid w:val="00211F96"/>
    <w:rsid w:val="0021246D"/>
    <w:rsid w:val="00212590"/>
    <w:rsid w:val="002126D5"/>
    <w:rsid w:val="002126D7"/>
    <w:rsid w:val="00212DAD"/>
    <w:rsid w:val="0021317A"/>
    <w:rsid w:val="00213700"/>
    <w:rsid w:val="00213E6A"/>
    <w:rsid w:val="00213F14"/>
    <w:rsid w:val="002141B5"/>
    <w:rsid w:val="00214243"/>
    <w:rsid w:val="002146CE"/>
    <w:rsid w:val="002147F6"/>
    <w:rsid w:val="00214FBF"/>
    <w:rsid w:val="00215139"/>
    <w:rsid w:val="00215711"/>
    <w:rsid w:val="00215799"/>
    <w:rsid w:val="00215CF6"/>
    <w:rsid w:val="00215E71"/>
    <w:rsid w:val="00216638"/>
    <w:rsid w:val="002169A7"/>
    <w:rsid w:val="00216E0D"/>
    <w:rsid w:val="002172EE"/>
    <w:rsid w:val="002174E3"/>
    <w:rsid w:val="0021787E"/>
    <w:rsid w:val="0022036C"/>
    <w:rsid w:val="002223CC"/>
    <w:rsid w:val="00222997"/>
    <w:rsid w:val="00222A95"/>
    <w:rsid w:val="00222BEB"/>
    <w:rsid w:val="00222BEE"/>
    <w:rsid w:val="00222CA8"/>
    <w:rsid w:val="00223253"/>
    <w:rsid w:val="00223FE0"/>
    <w:rsid w:val="00224049"/>
    <w:rsid w:val="00224482"/>
    <w:rsid w:val="002244AA"/>
    <w:rsid w:val="002246FB"/>
    <w:rsid w:val="00224819"/>
    <w:rsid w:val="00224956"/>
    <w:rsid w:val="00224B8A"/>
    <w:rsid w:val="00224D42"/>
    <w:rsid w:val="00224D99"/>
    <w:rsid w:val="00224F81"/>
    <w:rsid w:val="00225632"/>
    <w:rsid w:val="00225ADA"/>
    <w:rsid w:val="00225E60"/>
    <w:rsid w:val="00225EFF"/>
    <w:rsid w:val="00226BD6"/>
    <w:rsid w:val="00227835"/>
    <w:rsid w:val="00227CFA"/>
    <w:rsid w:val="0023004E"/>
    <w:rsid w:val="00230EFF"/>
    <w:rsid w:val="00230FA8"/>
    <w:rsid w:val="0023202C"/>
    <w:rsid w:val="00232042"/>
    <w:rsid w:val="002320BA"/>
    <w:rsid w:val="002324CC"/>
    <w:rsid w:val="00232BBF"/>
    <w:rsid w:val="00232E40"/>
    <w:rsid w:val="002338BE"/>
    <w:rsid w:val="00233BAF"/>
    <w:rsid w:val="00233D03"/>
    <w:rsid w:val="00233D96"/>
    <w:rsid w:val="00234563"/>
    <w:rsid w:val="002348C6"/>
    <w:rsid w:val="00234C2A"/>
    <w:rsid w:val="00234C82"/>
    <w:rsid w:val="00234C95"/>
    <w:rsid w:val="00234DDA"/>
    <w:rsid w:val="00235176"/>
    <w:rsid w:val="00235645"/>
    <w:rsid w:val="00235995"/>
    <w:rsid w:val="00235BF4"/>
    <w:rsid w:val="002364D8"/>
    <w:rsid w:val="002364DB"/>
    <w:rsid w:val="00236527"/>
    <w:rsid w:val="0023656D"/>
    <w:rsid w:val="00237B3C"/>
    <w:rsid w:val="002401E8"/>
    <w:rsid w:val="0024064E"/>
    <w:rsid w:val="00240A2C"/>
    <w:rsid w:val="00240D56"/>
    <w:rsid w:val="00240FEB"/>
    <w:rsid w:val="00241604"/>
    <w:rsid w:val="00241E36"/>
    <w:rsid w:val="00241F08"/>
    <w:rsid w:val="00242327"/>
    <w:rsid w:val="002424D9"/>
    <w:rsid w:val="00242543"/>
    <w:rsid w:val="00243175"/>
    <w:rsid w:val="002431CC"/>
    <w:rsid w:val="002431CF"/>
    <w:rsid w:val="00243593"/>
    <w:rsid w:val="00243D41"/>
    <w:rsid w:val="00245043"/>
    <w:rsid w:val="002451E8"/>
    <w:rsid w:val="00245302"/>
    <w:rsid w:val="00245999"/>
    <w:rsid w:val="00245EDC"/>
    <w:rsid w:val="00245F36"/>
    <w:rsid w:val="00246D42"/>
    <w:rsid w:val="002472B8"/>
    <w:rsid w:val="0024749F"/>
    <w:rsid w:val="0024789F"/>
    <w:rsid w:val="00247A32"/>
    <w:rsid w:val="00247C66"/>
    <w:rsid w:val="0025016F"/>
    <w:rsid w:val="002504B2"/>
    <w:rsid w:val="0025066A"/>
    <w:rsid w:val="00250DCC"/>
    <w:rsid w:val="00251594"/>
    <w:rsid w:val="00251908"/>
    <w:rsid w:val="002523EB"/>
    <w:rsid w:val="0025257E"/>
    <w:rsid w:val="0025268F"/>
    <w:rsid w:val="002526A3"/>
    <w:rsid w:val="00252965"/>
    <w:rsid w:val="002529B1"/>
    <w:rsid w:val="00252F8E"/>
    <w:rsid w:val="00252FE7"/>
    <w:rsid w:val="002530AD"/>
    <w:rsid w:val="00253D0D"/>
    <w:rsid w:val="00254182"/>
    <w:rsid w:val="0025456C"/>
    <w:rsid w:val="00254A91"/>
    <w:rsid w:val="00254C9A"/>
    <w:rsid w:val="00254E79"/>
    <w:rsid w:val="0025553E"/>
    <w:rsid w:val="00255757"/>
    <w:rsid w:val="00255818"/>
    <w:rsid w:val="00255B2F"/>
    <w:rsid w:val="00255DB0"/>
    <w:rsid w:val="00255F48"/>
    <w:rsid w:val="002560E7"/>
    <w:rsid w:val="002569F1"/>
    <w:rsid w:val="00257864"/>
    <w:rsid w:val="00257CE7"/>
    <w:rsid w:val="00257F83"/>
    <w:rsid w:val="002600A9"/>
    <w:rsid w:val="002601A5"/>
    <w:rsid w:val="002607E2"/>
    <w:rsid w:val="0026089F"/>
    <w:rsid w:val="00260977"/>
    <w:rsid w:val="00260B89"/>
    <w:rsid w:val="00261403"/>
    <w:rsid w:val="00261724"/>
    <w:rsid w:val="00261B67"/>
    <w:rsid w:val="00261DA3"/>
    <w:rsid w:val="002627C4"/>
    <w:rsid w:val="00262AFF"/>
    <w:rsid w:val="00262C18"/>
    <w:rsid w:val="00262CC6"/>
    <w:rsid w:val="00262F8B"/>
    <w:rsid w:val="00263ADA"/>
    <w:rsid w:val="00263C34"/>
    <w:rsid w:val="002641BA"/>
    <w:rsid w:val="0026492E"/>
    <w:rsid w:val="00264C8F"/>
    <w:rsid w:val="00265157"/>
    <w:rsid w:val="00265F20"/>
    <w:rsid w:val="00265FC4"/>
    <w:rsid w:val="00266182"/>
    <w:rsid w:val="0026640A"/>
    <w:rsid w:val="002666F4"/>
    <w:rsid w:val="00267088"/>
    <w:rsid w:val="002700C1"/>
    <w:rsid w:val="002703AE"/>
    <w:rsid w:val="00270413"/>
    <w:rsid w:val="002709BE"/>
    <w:rsid w:val="002712B5"/>
    <w:rsid w:val="00272CE1"/>
    <w:rsid w:val="00272F75"/>
    <w:rsid w:val="00272FBE"/>
    <w:rsid w:val="00272FC5"/>
    <w:rsid w:val="002730BA"/>
    <w:rsid w:val="002730E0"/>
    <w:rsid w:val="00273326"/>
    <w:rsid w:val="002733C9"/>
    <w:rsid w:val="00273514"/>
    <w:rsid w:val="00273775"/>
    <w:rsid w:val="00273793"/>
    <w:rsid w:val="00273DB1"/>
    <w:rsid w:val="00274964"/>
    <w:rsid w:val="00274B8D"/>
    <w:rsid w:val="00274E9F"/>
    <w:rsid w:val="002752B3"/>
    <w:rsid w:val="00275920"/>
    <w:rsid w:val="00275A01"/>
    <w:rsid w:val="00275CC4"/>
    <w:rsid w:val="00276DE2"/>
    <w:rsid w:val="00276F86"/>
    <w:rsid w:val="002770AB"/>
    <w:rsid w:val="0027768D"/>
    <w:rsid w:val="0027772C"/>
    <w:rsid w:val="0027792B"/>
    <w:rsid w:val="00277DF7"/>
    <w:rsid w:val="002807B0"/>
    <w:rsid w:val="0028084B"/>
    <w:rsid w:val="00280E96"/>
    <w:rsid w:val="0028123B"/>
    <w:rsid w:val="0028141B"/>
    <w:rsid w:val="00281459"/>
    <w:rsid w:val="002815D1"/>
    <w:rsid w:val="002816F7"/>
    <w:rsid w:val="00281C60"/>
    <w:rsid w:val="002826E2"/>
    <w:rsid w:val="00282D31"/>
    <w:rsid w:val="00283D3C"/>
    <w:rsid w:val="00283E02"/>
    <w:rsid w:val="00284318"/>
    <w:rsid w:val="00284409"/>
    <w:rsid w:val="002849F6"/>
    <w:rsid w:val="00284EF7"/>
    <w:rsid w:val="00284FA2"/>
    <w:rsid w:val="00285052"/>
    <w:rsid w:val="002855E1"/>
    <w:rsid w:val="00285929"/>
    <w:rsid w:val="00285D2E"/>
    <w:rsid w:val="002865DA"/>
    <w:rsid w:val="00286D23"/>
    <w:rsid w:val="00286DA3"/>
    <w:rsid w:val="00286F59"/>
    <w:rsid w:val="002871CE"/>
    <w:rsid w:val="002872ED"/>
    <w:rsid w:val="00287304"/>
    <w:rsid w:val="0028730B"/>
    <w:rsid w:val="00287611"/>
    <w:rsid w:val="0028790E"/>
    <w:rsid w:val="00287AFB"/>
    <w:rsid w:val="00287C56"/>
    <w:rsid w:val="00287EAD"/>
    <w:rsid w:val="00287ECF"/>
    <w:rsid w:val="002907E5"/>
    <w:rsid w:val="00290F2C"/>
    <w:rsid w:val="00291360"/>
    <w:rsid w:val="0029158C"/>
    <w:rsid w:val="00291CC5"/>
    <w:rsid w:val="00291E9C"/>
    <w:rsid w:val="00292099"/>
    <w:rsid w:val="0029244C"/>
    <w:rsid w:val="002929B4"/>
    <w:rsid w:val="00292A58"/>
    <w:rsid w:val="00292B41"/>
    <w:rsid w:val="00292D36"/>
    <w:rsid w:val="002933ED"/>
    <w:rsid w:val="0029359A"/>
    <w:rsid w:val="0029413E"/>
    <w:rsid w:val="002941B8"/>
    <w:rsid w:val="00294246"/>
    <w:rsid w:val="002947C5"/>
    <w:rsid w:val="00294C0F"/>
    <w:rsid w:val="00295786"/>
    <w:rsid w:val="00295A58"/>
    <w:rsid w:val="00295BED"/>
    <w:rsid w:val="00295DBD"/>
    <w:rsid w:val="0029623A"/>
    <w:rsid w:val="00296576"/>
    <w:rsid w:val="00296BC2"/>
    <w:rsid w:val="00296FFA"/>
    <w:rsid w:val="002970A6"/>
    <w:rsid w:val="002970B9"/>
    <w:rsid w:val="00297281"/>
    <w:rsid w:val="00297322"/>
    <w:rsid w:val="0029ABAA"/>
    <w:rsid w:val="002A0427"/>
    <w:rsid w:val="002A06F4"/>
    <w:rsid w:val="002A08B9"/>
    <w:rsid w:val="002A0EE6"/>
    <w:rsid w:val="002A11ED"/>
    <w:rsid w:val="002A162D"/>
    <w:rsid w:val="002A1DB1"/>
    <w:rsid w:val="002A22F6"/>
    <w:rsid w:val="002A285F"/>
    <w:rsid w:val="002A2AAF"/>
    <w:rsid w:val="002A2E26"/>
    <w:rsid w:val="002A312D"/>
    <w:rsid w:val="002A32E8"/>
    <w:rsid w:val="002A338E"/>
    <w:rsid w:val="002A38B4"/>
    <w:rsid w:val="002A3E33"/>
    <w:rsid w:val="002A40DE"/>
    <w:rsid w:val="002A423B"/>
    <w:rsid w:val="002A4536"/>
    <w:rsid w:val="002A4DA5"/>
    <w:rsid w:val="002A4E7D"/>
    <w:rsid w:val="002A503B"/>
    <w:rsid w:val="002A554A"/>
    <w:rsid w:val="002A5982"/>
    <w:rsid w:val="002A5AD6"/>
    <w:rsid w:val="002A6136"/>
    <w:rsid w:val="002A62C8"/>
    <w:rsid w:val="002A6302"/>
    <w:rsid w:val="002A642A"/>
    <w:rsid w:val="002A6466"/>
    <w:rsid w:val="002A688C"/>
    <w:rsid w:val="002A6A94"/>
    <w:rsid w:val="002A6AFD"/>
    <w:rsid w:val="002A700F"/>
    <w:rsid w:val="002A7178"/>
    <w:rsid w:val="002A745E"/>
    <w:rsid w:val="002A7FBC"/>
    <w:rsid w:val="002B03F1"/>
    <w:rsid w:val="002B0A5A"/>
    <w:rsid w:val="002B0B5E"/>
    <w:rsid w:val="002B0EBB"/>
    <w:rsid w:val="002B1529"/>
    <w:rsid w:val="002B1670"/>
    <w:rsid w:val="002B173D"/>
    <w:rsid w:val="002B23AD"/>
    <w:rsid w:val="002B2475"/>
    <w:rsid w:val="002B26D4"/>
    <w:rsid w:val="002B2741"/>
    <w:rsid w:val="002B2F61"/>
    <w:rsid w:val="002B399F"/>
    <w:rsid w:val="002B3AB6"/>
    <w:rsid w:val="002B4159"/>
    <w:rsid w:val="002B48C7"/>
    <w:rsid w:val="002B4F3D"/>
    <w:rsid w:val="002B5313"/>
    <w:rsid w:val="002B54BF"/>
    <w:rsid w:val="002B5626"/>
    <w:rsid w:val="002B5E2B"/>
    <w:rsid w:val="002B5FEA"/>
    <w:rsid w:val="002B63D5"/>
    <w:rsid w:val="002B6DAA"/>
    <w:rsid w:val="002B6E61"/>
    <w:rsid w:val="002B708C"/>
    <w:rsid w:val="002B7817"/>
    <w:rsid w:val="002B7A6B"/>
    <w:rsid w:val="002C018F"/>
    <w:rsid w:val="002C0498"/>
    <w:rsid w:val="002C09FC"/>
    <w:rsid w:val="002C13DA"/>
    <w:rsid w:val="002C142E"/>
    <w:rsid w:val="002C1453"/>
    <w:rsid w:val="002C1676"/>
    <w:rsid w:val="002C18A1"/>
    <w:rsid w:val="002C1E0F"/>
    <w:rsid w:val="002C3122"/>
    <w:rsid w:val="002C3873"/>
    <w:rsid w:val="002C3F31"/>
    <w:rsid w:val="002C41F9"/>
    <w:rsid w:val="002C4BBA"/>
    <w:rsid w:val="002C4E08"/>
    <w:rsid w:val="002C5299"/>
    <w:rsid w:val="002C570B"/>
    <w:rsid w:val="002C5856"/>
    <w:rsid w:val="002C5ACA"/>
    <w:rsid w:val="002C5B12"/>
    <w:rsid w:val="002C5BFC"/>
    <w:rsid w:val="002C6522"/>
    <w:rsid w:val="002C6568"/>
    <w:rsid w:val="002C69E7"/>
    <w:rsid w:val="002C6E24"/>
    <w:rsid w:val="002C7152"/>
    <w:rsid w:val="002C71DD"/>
    <w:rsid w:val="002C745E"/>
    <w:rsid w:val="002C785E"/>
    <w:rsid w:val="002C79A2"/>
    <w:rsid w:val="002C7D16"/>
    <w:rsid w:val="002D0101"/>
    <w:rsid w:val="002D02ED"/>
    <w:rsid w:val="002D08C7"/>
    <w:rsid w:val="002D0ACE"/>
    <w:rsid w:val="002D10AB"/>
    <w:rsid w:val="002D1174"/>
    <w:rsid w:val="002D12F5"/>
    <w:rsid w:val="002D1810"/>
    <w:rsid w:val="002D1F9C"/>
    <w:rsid w:val="002D21E7"/>
    <w:rsid w:val="002D2225"/>
    <w:rsid w:val="002D2931"/>
    <w:rsid w:val="002D29E6"/>
    <w:rsid w:val="002D2C83"/>
    <w:rsid w:val="002D2D40"/>
    <w:rsid w:val="002D3466"/>
    <w:rsid w:val="002D3724"/>
    <w:rsid w:val="002D3BF0"/>
    <w:rsid w:val="002D3CBE"/>
    <w:rsid w:val="002D3EF5"/>
    <w:rsid w:val="002D4669"/>
    <w:rsid w:val="002D4842"/>
    <w:rsid w:val="002D4A24"/>
    <w:rsid w:val="002D4AE5"/>
    <w:rsid w:val="002D4B0E"/>
    <w:rsid w:val="002D4BE3"/>
    <w:rsid w:val="002D54E6"/>
    <w:rsid w:val="002D54EB"/>
    <w:rsid w:val="002D57A9"/>
    <w:rsid w:val="002D58F9"/>
    <w:rsid w:val="002D6449"/>
    <w:rsid w:val="002D6481"/>
    <w:rsid w:val="002D65C0"/>
    <w:rsid w:val="002D673C"/>
    <w:rsid w:val="002D6818"/>
    <w:rsid w:val="002D69E1"/>
    <w:rsid w:val="002D69F1"/>
    <w:rsid w:val="002D711A"/>
    <w:rsid w:val="002D723E"/>
    <w:rsid w:val="002D7336"/>
    <w:rsid w:val="002D7606"/>
    <w:rsid w:val="002D7723"/>
    <w:rsid w:val="002D77FF"/>
    <w:rsid w:val="002D7992"/>
    <w:rsid w:val="002D7C48"/>
    <w:rsid w:val="002D7DFB"/>
    <w:rsid w:val="002E076E"/>
    <w:rsid w:val="002E0A75"/>
    <w:rsid w:val="002E0BD2"/>
    <w:rsid w:val="002E0EF8"/>
    <w:rsid w:val="002E2272"/>
    <w:rsid w:val="002E258A"/>
    <w:rsid w:val="002E2B1B"/>
    <w:rsid w:val="002E2C4C"/>
    <w:rsid w:val="002E2CF5"/>
    <w:rsid w:val="002E336A"/>
    <w:rsid w:val="002E3396"/>
    <w:rsid w:val="002E3424"/>
    <w:rsid w:val="002E35F5"/>
    <w:rsid w:val="002E36D2"/>
    <w:rsid w:val="002E3796"/>
    <w:rsid w:val="002E3FCF"/>
    <w:rsid w:val="002E401C"/>
    <w:rsid w:val="002E4387"/>
    <w:rsid w:val="002E51B8"/>
    <w:rsid w:val="002E5EDE"/>
    <w:rsid w:val="002E69F1"/>
    <w:rsid w:val="002E6DED"/>
    <w:rsid w:val="002E6F32"/>
    <w:rsid w:val="002F0276"/>
    <w:rsid w:val="002F02A7"/>
    <w:rsid w:val="002F085F"/>
    <w:rsid w:val="002F0880"/>
    <w:rsid w:val="002F0B12"/>
    <w:rsid w:val="002F1190"/>
    <w:rsid w:val="002F132A"/>
    <w:rsid w:val="002F1567"/>
    <w:rsid w:val="002F1B71"/>
    <w:rsid w:val="002F231C"/>
    <w:rsid w:val="002F2953"/>
    <w:rsid w:val="002F295B"/>
    <w:rsid w:val="002F2F4A"/>
    <w:rsid w:val="002F2F87"/>
    <w:rsid w:val="002F32FD"/>
    <w:rsid w:val="002F33DB"/>
    <w:rsid w:val="002F340D"/>
    <w:rsid w:val="002F35F1"/>
    <w:rsid w:val="002F4103"/>
    <w:rsid w:val="002F41B1"/>
    <w:rsid w:val="002F47A4"/>
    <w:rsid w:val="002F47C8"/>
    <w:rsid w:val="002F4AB8"/>
    <w:rsid w:val="002F577A"/>
    <w:rsid w:val="002F5AB3"/>
    <w:rsid w:val="002F5D69"/>
    <w:rsid w:val="002F5F87"/>
    <w:rsid w:val="002F6011"/>
    <w:rsid w:val="002F6013"/>
    <w:rsid w:val="002F6665"/>
    <w:rsid w:val="002F6829"/>
    <w:rsid w:val="002F6B5A"/>
    <w:rsid w:val="002F6F01"/>
    <w:rsid w:val="002F6FAE"/>
    <w:rsid w:val="002F7401"/>
    <w:rsid w:val="002F7431"/>
    <w:rsid w:val="002F7709"/>
    <w:rsid w:val="002F7927"/>
    <w:rsid w:val="002F7996"/>
    <w:rsid w:val="002F7AB4"/>
    <w:rsid w:val="00300275"/>
    <w:rsid w:val="003006E9"/>
    <w:rsid w:val="00300957"/>
    <w:rsid w:val="00300B52"/>
    <w:rsid w:val="00300C2B"/>
    <w:rsid w:val="00300CD1"/>
    <w:rsid w:val="003011A8"/>
    <w:rsid w:val="003011AB"/>
    <w:rsid w:val="00301206"/>
    <w:rsid w:val="00301391"/>
    <w:rsid w:val="00301BA5"/>
    <w:rsid w:val="00301FA0"/>
    <w:rsid w:val="00301FA9"/>
    <w:rsid w:val="0030235F"/>
    <w:rsid w:val="003024B8"/>
    <w:rsid w:val="0030271D"/>
    <w:rsid w:val="0030304D"/>
    <w:rsid w:val="00303190"/>
    <w:rsid w:val="003037AD"/>
    <w:rsid w:val="00303960"/>
    <w:rsid w:val="00303F72"/>
    <w:rsid w:val="00303F7A"/>
    <w:rsid w:val="003044BB"/>
    <w:rsid w:val="0030468A"/>
    <w:rsid w:val="0030478B"/>
    <w:rsid w:val="00304BF1"/>
    <w:rsid w:val="0030538E"/>
    <w:rsid w:val="0030563B"/>
    <w:rsid w:val="00305669"/>
    <w:rsid w:val="003057BE"/>
    <w:rsid w:val="00305DBB"/>
    <w:rsid w:val="003061B6"/>
    <w:rsid w:val="00306319"/>
    <w:rsid w:val="0030637C"/>
    <w:rsid w:val="00306567"/>
    <w:rsid w:val="00306844"/>
    <w:rsid w:val="003069F2"/>
    <w:rsid w:val="00306EF6"/>
    <w:rsid w:val="003073CD"/>
    <w:rsid w:val="0030778F"/>
    <w:rsid w:val="00307F86"/>
    <w:rsid w:val="00310751"/>
    <w:rsid w:val="00310AE5"/>
    <w:rsid w:val="00310C94"/>
    <w:rsid w:val="00310EF1"/>
    <w:rsid w:val="00310F5C"/>
    <w:rsid w:val="0031149C"/>
    <w:rsid w:val="00311934"/>
    <w:rsid w:val="00311B56"/>
    <w:rsid w:val="00311FF0"/>
    <w:rsid w:val="00312014"/>
    <w:rsid w:val="00312737"/>
    <w:rsid w:val="00312760"/>
    <w:rsid w:val="00313118"/>
    <w:rsid w:val="00313425"/>
    <w:rsid w:val="003138DC"/>
    <w:rsid w:val="00313A10"/>
    <w:rsid w:val="003141E9"/>
    <w:rsid w:val="0031450F"/>
    <w:rsid w:val="0031479C"/>
    <w:rsid w:val="00315291"/>
    <w:rsid w:val="00315350"/>
    <w:rsid w:val="00315934"/>
    <w:rsid w:val="00315A52"/>
    <w:rsid w:val="00315AEF"/>
    <w:rsid w:val="00315C92"/>
    <w:rsid w:val="00316317"/>
    <w:rsid w:val="0031637E"/>
    <w:rsid w:val="00316520"/>
    <w:rsid w:val="00317085"/>
    <w:rsid w:val="003172C0"/>
    <w:rsid w:val="00317536"/>
    <w:rsid w:val="003176D8"/>
    <w:rsid w:val="003177BB"/>
    <w:rsid w:val="0031782D"/>
    <w:rsid w:val="00317A53"/>
    <w:rsid w:val="00320089"/>
    <w:rsid w:val="003203F5"/>
    <w:rsid w:val="00320840"/>
    <w:rsid w:val="00320919"/>
    <w:rsid w:val="00320B34"/>
    <w:rsid w:val="00320C7A"/>
    <w:rsid w:val="00320DFA"/>
    <w:rsid w:val="00321132"/>
    <w:rsid w:val="0032149E"/>
    <w:rsid w:val="003216B0"/>
    <w:rsid w:val="003216D5"/>
    <w:rsid w:val="00322F6F"/>
    <w:rsid w:val="00323361"/>
    <w:rsid w:val="00323700"/>
    <w:rsid w:val="003237C2"/>
    <w:rsid w:val="003238D2"/>
    <w:rsid w:val="003239FD"/>
    <w:rsid w:val="00323BE4"/>
    <w:rsid w:val="0032408B"/>
    <w:rsid w:val="00324549"/>
    <w:rsid w:val="003245CC"/>
    <w:rsid w:val="00325F8C"/>
    <w:rsid w:val="00326043"/>
    <w:rsid w:val="003266CF"/>
    <w:rsid w:val="00326C1B"/>
    <w:rsid w:val="00326F16"/>
    <w:rsid w:val="003270C0"/>
    <w:rsid w:val="003274F9"/>
    <w:rsid w:val="00327B58"/>
    <w:rsid w:val="003308DC"/>
    <w:rsid w:val="003310AE"/>
    <w:rsid w:val="00331215"/>
    <w:rsid w:val="00331620"/>
    <w:rsid w:val="00331BBB"/>
    <w:rsid w:val="00331E50"/>
    <w:rsid w:val="00331F97"/>
    <w:rsid w:val="003324A3"/>
    <w:rsid w:val="00332593"/>
    <w:rsid w:val="00332A67"/>
    <w:rsid w:val="00332F49"/>
    <w:rsid w:val="003332AE"/>
    <w:rsid w:val="00333BA0"/>
    <w:rsid w:val="00333DC1"/>
    <w:rsid w:val="003342B0"/>
    <w:rsid w:val="00334BD3"/>
    <w:rsid w:val="003353A0"/>
    <w:rsid w:val="00335A6D"/>
    <w:rsid w:val="0033626C"/>
    <w:rsid w:val="003363F7"/>
    <w:rsid w:val="0033667A"/>
    <w:rsid w:val="0033716B"/>
    <w:rsid w:val="0033748E"/>
    <w:rsid w:val="00337743"/>
    <w:rsid w:val="00337E24"/>
    <w:rsid w:val="00337F38"/>
    <w:rsid w:val="00340272"/>
    <w:rsid w:val="00340314"/>
    <w:rsid w:val="0034038E"/>
    <w:rsid w:val="003406C4"/>
    <w:rsid w:val="00340F22"/>
    <w:rsid w:val="00341055"/>
    <w:rsid w:val="0034124A"/>
    <w:rsid w:val="00341490"/>
    <w:rsid w:val="0034175C"/>
    <w:rsid w:val="00341DAC"/>
    <w:rsid w:val="00341FFC"/>
    <w:rsid w:val="00342009"/>
    <w:rsid w:val="00342133"/>
    <w:rsid w:val="00342DAE"/>
    <w:rsid w:val="00342E80"/>
    <w:rsid w:val="003431E9"/>
    <w:rsid w:val="0034333A"/>
    <w:rsid w:val="003434D0"/>
    <w:rsid w:val="00343791"/>
    <w:rsid w:val="003437E8"/>
    <w:rsid w:val="00344641"/>
    <w:rsid w:val="00344962"/>
    <w:rsid w:val="003449C2"/>
    <w:rsid w:val="00344D3F"/>
    <w:rsid w:val="00345229"/>
    <w:rsid w:val="003455F1"/>
    <w:rsid w:val="00345771"/>
    <w:rsid w:val="00345B6A"/>
    <w:rsid w:val="00345E4B"/>
    <w:rsid w:val="00345EE9"/>
    <w:rsid w:val="003460CB"/>
    <w:rsid w:val="003461A5"/>
    <w:rsid w:val="003467CD"/>
    <w:rsid w:val="00346F2A"/>
    <w:rsid w:val="00347161"/>
    <w:rsid w:val="0034716E"/>
    <w:rsid w:val="00347174"/>
    <w:rsid w:val="0034726D"/>
    <w:rsid w:val="00347371"/>
    <w:rsid w:val="00347FF9"/>
    <w:rsid w:val="00350302"/>
    <w:rsid w:val="00351884"/>
    <w:rsid w:val="00351E2D"/>
    <w:rsid w:val="003520AD"/>
    <w:rsid w:val="003521D3"/>
    <w:rsid w:val="0035253F"/>
    <w:rsid w:val="00352E5D"/>
    <w:rsid w:val="0035373B"/>
    <w:rsid w:val="00353948"/>
    <w:rsid w:val="003539E4"/>
    <w:rsid w:val="00353C92"/>
    <w:rsid w:val="0035407B"/>
    <w:rsid w:val="003541D1"/>
    <w:rsid w:val="00354A56"/>
    <w:rsid w:val="00354D7C"/>
    <w:rsid w:val="0035558A"/>
    <w:rsid w:val="0035572F"/>
    <w:rsid w:val="003559C7"/>
    <w:rsid w:val="00355C47"/>
    <w:rsid w:val="00355C69"/>
    <w:rsid w:val="00356312"/>
    <w:rsid w:val="00356F06"/>
    <w:rsid w:val="003572EA"/>
    <w:rsid w:val="00357353"/>
    <w:rsid w:val="00357444"/>
    <w:rsid w:val="00357706"/>
    <w:rsid w:val="00357A76"/>
    <w:rsid w:val="0035F119"/>
    <w:rsid w:val="00360086"/>
    <w:rsid w:val="00360363"/>
    <w:rsid w:val="00360903"/>
    <w:rsid w:val="0036132F"/>
    <w:rsid w:val="0036192D"/>
    <w:rsid w:val="00361B61"/>
    <w:rsid w:val="00361C61"/>
    <w:rsid w:val="00361D8A"/>
    <w:rsid w:val="00362331"/>
    <w:rsid w:val="00362591"/>
    <w:rsid w:val="003625BC"/>
    <w:rsid w:val="003628E8"/>
    <w:rsid w:val="00363165"/>
    <w:rsid w:val="00363200"/>
    <w:rsid w:val="00363642"/>
    <w:rsid w:val="003637DC"/>
    <w:rsid w:val="003638F5"/>
    <w:rsid w:val="003639C7"/>
    <w:rsid w:val="00363ADE"/>
    <w:rsid w:val="003641F1"/>
    <w:rsid w:val="00364277"/>
    <w:rsid w:val="003645E1"/>
    <w:rsid w:val="00364A6B"/>
    <w:rsid w:val="00364C48"/>
    <w:rsid w:val="00365338"/>
    <w:rsid w:val="0036583C"/>
    <w:rsid w:val="00365B05"/>
    <w:rsid w:val="0036676E"/>
    <w:rsid w:val="00366A51"/>
    <w:rsid w:val="0036778F"/>
    <w:rsid w:val="003677A3"/>
    <w:rsid w:val="00367DC9"/>
    <w:rsid w:val="0037015B"/>
    <w:rsid w:val="00370185"/>
    <w:rsid w:val="00370320"/>
    <w:rsid w:val="003703A3"/>
    <w:rsid w:val="00370641"/>
    <w:rsid w:val="00370656"/>
    <w:rsid w:val="00370696"/>
    <w:rsid w:val="00370C1F"/>
    <w:rsid w:val="00370E46"/>
    <w:rsid w:val="00370ED9"/>
    <w:rsid w:val="00371503"/>
    <w:rsid w:val="003716D0"/>
    <w:rsid w:val="00372405"/>
    <w:rsid w:val="00372837"/>
    <w:rsid w:val="00373640"/>
    <w:rsid w:val="003736CD"/>
    <w:rsid w:val="00373A20"/>
    <w:rsid w:val="00373B0B"/>
    <w:rsid w:val="00373C96"/>
    <w:rsid w:val="0037400C"/>
    <w:rsid w:val="003741DF"/>
    <w:rsid w:val="0037450B"/>
    <w:rsid w:val="00374F54"/>
    <w:rsid w:val="003757DF"/>
    <w:rsid w:val="00375CBA"/>
    <w:rsid w:val="00375CD6"/>
    <w:rsid w:val="00375F85"/>
    <w:rsid w:val="0037609F"/>
    <w:rsid w:val="00376BA4"/>
    <w:rsid w:val="00376F08"/>
    <w:rsid w:val="00376FE1"/>
    <w:rsid w:val="00377317"/>
    <w:rsid w:val="00377338"/>
    <w:rsid w:val="00377B6A"/>
    <w:rsid w:val="00377DCC"/>
    <w:rsid w:val="0037CC5F"/>
    <w:rsid w:val="00380D57"/>
    <w:rsid w:val="00381018"/>
    <w:rsid w:val="00381B97"/>
    <w:rsid w:val="00381D8D"/>
    <w:rsid w:val="00381F41"/>
    <w:rsid w:val="00382A32"/>
    <w:rsid w:val="00382AFC"/>
    <w:rsid w:val="00382BA7"/>
    <w:rsid w:val="00383271"/>
    <w:rsid w:val="0038334B"/>
    <w:rsid w:val="00383589"/>
    <w:rsid w:val="003835CD"/>
    <w:rsid w:val="003835D4"/>
    <w:rsid w:val="00383670"/>
    <w:rsid w:val="00383988"/>
    <w:rsid w:val="00383B27"/>
    <w:rsid w:val="00383B69"/>
    <w:rsid w:val="0038427B"/>
    <w:rsid w:val="0038467C"/>
    <w:rsid w:val="00384B75"/>
    <w:rsid w:val="00384F7F"/>
    <w:rsid w:val="00385227"/>
    <w:rsid w:val="003852DE"/>
    <w:rsid w:val="0038572C"/>
    <w:rsid w:val="00385AE2"/>
    <w:rsid w:val="00385B47"/>
    <w:rsid w:val="00385ECD"/>
    <w:rsid w:val="0038621E"/>
    <w:rsid w:val="00386353"/>
    <w:rsid w:val="00386988"/>
    <w:rsid w:val="00386BDB"/>
    <w:rsid w:val="00386C62"/>
    <w:rsid w:val="00386DB0"/>
    <w:rsid w:val="0038771C"/>
    <w:rsid w:val="00387C0D"/>
    <w:rsid w:val="00387CA1"/>
    <w:rsid w:val="0039033D"/>
    <w:rsid w:val="00390587"/>
    <w:rsid w:val="003906C1"/>
    <w:rsid w:val="003909AB"/>
    <w:rsid w:val="00390B14"/>
    <w:rsid w:val="00390D29"/>
    <w:rsid w:val="003915D7"/>
    <w:rsid w:val="00391815"/>
    <w:rsid w:val="00391A46"/>
    <w:rsid w:val="00391BA4"/>
    <w:rsid w:val="00392484"/>
    <w:rsid w:val="00393444"/>
    <w:rsid w:val="00393457"/>
    <w:rsid w:val="0039363C"/>
    <w:rsid w:val="0039399A"/>
    <w:rsid w:val="00393D1F"/>
    <w:rsid w:val="0039406B"/>
    <w:rsid w:val="003941A5"/>
    <w:rsid w:val="003944D9"/>
    <w:rsid w:val="003946F4"/>
    <w:rsid w:val="00394D9C"/>
    <w:rsid w:val="0039529C"/>
    <w:rsid w:val="0039530B"/>
    <w:rsid w:val="003956CF"/>
    <w:rsid w:val="00395A0B"/>
    <w:rsid w:val="00396367"/>
    <w:rsid w:val="00396976"/>
    <w:rsid w:val="00396C10"/>
    <w:rsid w:val="00396D1D"/>
    <w:rsid w:val="0039709A"/>
    <w:rsid w:val="0039752D"/>
    <w:rsid w:val="00397668"/>
    <w:rsid w:val="00397A86"/>
    <w:rsid w:val="00397F30"/>
    <w:rsid w:val="003A0539"/>
    <w:rsid w:val="003A0546"/>
    <w:rsid w:val="003A09C2"/>
    <w:rsid w:val="003A0AAA"/>
    <w:rsid w:val="003A0C6B"/>
    <w:rsid w:val="003A0E9D"/>
    <w:rsid w:val="003A17F7"/>
    <w:rsid w:val="003A1895"/>
    <w:rsid w:val="003A1A7F"/>
    <w:rsid w:val="003A21AD"/>
    <w:rsid w:val="003A21EB"/>
    <w:rsid w:val="003A2270"/>
    <w:rsid w:val="003A25BA"/>
    <w:rsid w:val="003A2B27"/>
    <w:rsid w:val="003A2E1B"/>
    <w:rsid w:val="003A3151"/>
    <w:rsid w:val="003A38F4"/>
    <w:rsid w:val="003A3D68"/>
    <w:rsid w:val="003A3E32"/>
    <w:rsid w:val="003A3FA9"/>
    <w:rsid w:val="003A430B"/>
    <w:rsid w:val="003A4ADF"/>
    <w:rsid w:val="003A541A"/>
    <w:rsid w:val="003A5457"/>
    <w:rsid w:val="003A5481"/>
    <w:rsid w:val="003A64CD"/>
    <w:rsid w:val="003A6731"/>
    <w:rsid w:val="003A6745"/>
    <w:rsid w:val="003A6923"/>
    <w:rsid w:val="003A6F66"/>
    <w:rsid w:val="003A7257"/>
    <w:rsid w:val="003A7633"/>
    <w:rsid w:val="003A7A29"/>
    <w:rsid w:val="003A7CEE"/>
    <w:rsid w:val="003A7F0E"/>
    <w:rsid w:val="003A7F20"/>
    <w:rsid w:val="003B0070"/>
    <w:rsid w:val="003B039E"/>
    <w:rsid w:val="003B046D"/>
    <w:rsid w:val="003B0D21"/>
    <w:rsid w:val="003B11D1"/>
    <w:rsid w:val="003B1230"/>
    <w:rsid w:val="003B145A"/>
    <w:rsid w:val="003B1776"/>
    <w:rsid w:val="003B19B8"/>
    <w:rsid w:val="003B213C"/>
    <w:rsid w:val="003B2719"/>
    <w:rsid w:val="003B30B8"/>
    <w:rsid w:val="003B3628"/>
    <w:rsid w:val="003B36A7"/>
    <w:rsid w:val="003B36E5"/>
    <w:rsid w:val="003B3847"/>
    <w:rsid w:val="003B3D0C"/>
    <w:rsid w:val="003B3E89"/>
    <w:rsid w:val="003B3F15"/>
    <w:rsid w:val="003B4026"/>
    <w:rsid w:val="003B4166"/>
    <w:rsid w:val="003B430E"/>
    <w:rsid w:val="003B44C7"/>
    <w:rsid w:val="003B4594"/>
    <w:rsid w:val="003B47BD"/>
    <w:rsid w:val="003B4838"/>
    <w:rsid w:val="003B4868"/>
    <w:rsid w:val="003B48A3"/>
    <w:rsid w:val="003B4ADF"/>
    <w:rsid w:val="003B5002"/>
    <w:rsid w:val="003B5ADF"/>
    <w:rsid w:val="003B5CFD"/>
    <w:rsid w:val="003B611D"/>
    <w:rsid w:val="003B6145"/>
    <w:rsid w:val="003B6153"/>
    <w:rsid w:val="003B64B5"/>
    <w:rsid w:val="003B6A4B"/>
    <w:rsid w:val="003B6C3B"/>
    <w:rsid w:val="003B7183"/>
    <w:rsid w:val="003B7253"/>
    <w:rsid w:val="003B74C2"/>
    <w:rsid w:val="003B74DC"/>
    <w:rsid w:val="003B770C"/>
    <w:rsid w:val="003B77B8"/>
    <w:rsid w:val="003B7EB2"/>
    <w:rsid w:val="003C00EE"/>
    <w:rsid w:val="003C018E"/>
    <w:rsid w:val="003C048D"/>
    <w:rsid w:val="003C0A4F"/>
    <w:rsid w:val="003C0B8B"/>
    <w:rsid w:val="003C0D29"/>
    <w:rsid w:val="003C0DF4"/>
    <w:rsid w:val="003C1511"/>
    <w:rsid w:val="003C163F"/>
    <w:rsid w:val="003C1720"/>
    <w:rsid w:val="003C18AF"/>
    <w:rsid w:val="003C1AB2"/>
    <w:rsid w:val="003C2146"/>
    <w:rsid w:val="003C2158"/>
    <w:rsid w:val="003C21DE"/>
    <w:rsid w:val="003C26ED"/>
    <w:rsid w:val="003C2C67"/>
    <w:rsid w:val="003C2D4C"/>
    <w:rsid w:val="003C321B"/>
    <w:rsid w:val="003C3413"/>
    <w:rsid w:val="003C341F"/>
    <w:rsid w:val="003C3B3A"/>
    <w:rsid w:val="003C3B5E"/>
    <w:rsid w:val="003C3F86"/>
    <w:rsid w:val="003C4009"/>
    <w:rsid w:val="003C43E7"/>
    <w:rsid w:val="003C47FF"/>
    <w:rsid w:val="003C4989"/>
    <w:rsid w:val="003C4B9F"/>
    <w:rsid w:val="003C59E9"/>
    <w:rsid w:val="003C5BA4"/>
    <w:rsid w:val="003C6374"/>
    <w:rsid w:val="003C644E"/>
    <w:rsid w:val="003C663D"/>
    <w:rsid w:val="003C66F1"/>
    <w:rsid w:val="003C676B"/>
    <w:rsid w:val="003C6E84"/>
    <w:rsid w:val="003C72A8"/>
    <w:rsid w:val="003C7509"/>
    <w:rsid w:val="003C75C6"/>
    <w:rsid w:val="003C7738"/>
    <w:rsid w:val="003C77E6"/>
    <w:rsid w:val="003CC8C1"/>
    <w:rsid w:val="003D0320"/>
    <w:rsid w:val="003D0484"/>
    <w:rsid w:val="003D149E"/>
    <w:rsid w:val="003D1763"/>
    <w:rsid w:val="003D1CBF"/>
    <w:rsid w:val="003D3C32"/>
    <w:rsid w:val="003D3D64"/>
    <w:rsid w:val="003D42CD"/>
    <w:rsid w:val="003D4370"/>
    <w:rsid w:val="003D44A1"/>
    <w:rsid w:val="003D46CF"/>
    <w:rsid w:val="003D4860"/>
    <w:rsid w:val="003D4A19"/>
    <w:rsid w:val="003D4AFE"/>
    <w:rsid w:val="003D4B96"/>
    <w:rsid w:val="003D4BF9"/>
    <w:rsid w:val="003D521E"/>
    <w:rsid w:val="003D5320"/>
    <w:rsid w:val="003D5A47"/>
    <w:rsid w:val="003D6495"/>
    <w:rsid w:val="003D649C"/>
    <w:rsid w:val="003D673E"/>
    <w:rsid w:val="003D7161"/>
    <w:rsid w:val="003D71B7"/>
    <w:rsid w:val="003D743F"/>
    <w:rsid w:val="003D74B0"/>
    <w:rsid w:val="003D7554"/>
    <w:rsid w:val="003D75E8"/>
    <w:rsid w:val="003D7E46"/>
    <w:rsid w:val="003E0608"/>
    <w:rsid w:val="003E0BA8"/>
    <w:rsid w:val="003E106B"/>
    <w:rsid w:val="003E10E5"/>
    <w:rsid w:val="003E16D5"/>
    <w:rsid w:val="003E1707"/>
    <w:rsid w:val="003E1903"/>
    <w:rsid w:val="003E1F90"/>
    <w:rsid w:val="003E239C"/>
    <w:rsid w:val="003E2795"/>
    <w:rsid w:val="003E28B9"/>
    <w:rsid w:val="003E2977"/>
    <w:rsid w:val="003E2EE5"/>
    <w:rsid w:val="003E30C3"/>
    <w:rsid w:val="003E3145"/>
    <w:rsid w:val="003E322E"/>
    <w:rsid w:val="003E3370"/>
    <w:rsid w:val="003E3724"/>
    <w:rsid w:val="003E3781"/>
    <w:rsid w:val="003E3A42"/>
    <w:rsid w:val="003E3CB6"/>
    <w:rsid w:val="003E3E26"/>
    <w:rsid w:val="003E3EB6"/>
    <w:rsid w:val="003E410B"/>
    <w:rsid w:val="003E41FF"/>
    <w:rsid w:val="003E423D"/>
    <w:rsid w:val="003E42BA"/>
    <w:rsid w:val="003E4422"/>
    <w:rsid w:val="003E472E"/>
    <w:rsid w:val="003E4A30"/>
    <w:rsid w:val="003E4E17"/>
    <w:rsid w:val="003E4EAB"/>
    <w:rsid w:val="003E5A0E"/>
    <w:rsid w:val="003E6272"/>
    <w:rsid w:val="003E630F"/>
    <w:rsid w:val="003E6536"/>
    <w:rsid w:val="003E6B1B"/>
    <w:rsid w:val="003E6B1E"/>
    <w:rsid w:val="003E6BF0"/>
    <w:rsid w:val="003E6CA3"/>
    <w:rsid w:val="003E7214"/>
    <w:rsid w:val="003E7253"/>
    <w:rsid w:val="003E7693"/>
    <w:rsid w:val="003E7751"/>
    <w:rsid w:val="003E7A3D"/>
    <w:rsid w:val="003F01A9"/>
    <w:rsid w:val="003F0A42"/>
    <w:rsid w:val="003F0A56"/>
    <w:rsid w:val="003F0C25"/>
    <w:rsid w:val="003F0D16"/>
    <w:rsid w:val="003F0E2B"/>
    <w:rsid w:val="003F1295"/>
    <w:rsid w:val="003F197C"/>
    <w:rsid w:val="003F1CB3"/>
    <w:rsid w:val="003F1CD8"/>
    <w:rsid w:val="003F1EF9"/>
    <w:rsid w:val="003F232D"/>
    <w:rsid w:val="003F266D"/>
    <w:rsid w:val="003F2AB1"/>
    <w:rsid w:val="003F2D93"/>
    <w:rsid w:val="003F2FA3"/>
    <w:rsid w:val="003F319C"/>
    <w:rsid w:val="003F3370"/>
    <w:rsid w:val="003F3627"/>
    <w:rsid w:val="003F39C2"/>
    <w:rsid w:val="003F3BF5"/>
    <w:rsid w:val="003F3DCF"/>
    <w:rsid w:val="003F3E24"/>
    <w:rsid w:val="003F455C"/>
    <w:rsid w:val="003F46E4"/>
    <w:rsid w:val="003F49F4"/>
    <w:rsid w:val="003F4EAE"/>
    <w:rsid w:val="003F50E2"/>
    <w:rsid w:val="003F5102"/>
    <w:rsid w:val="003F548E"/>
    <w:rsid w:val="003F5536"/>
    <w:rsid w:val="003F55EC"/>
    <w:rsid w:val="003F5735"/>
    <w:rsid w:val="003F5E48"/>
    <w:rsid w:val="003F5E50"/>
    <w:rsid w:val="003F660B"/>
    <w:rsid w:val="003F6980"/>
    <w:rsid w:val="003F6D7F"/>
    <w:rsid w:val="003F6FAB"/>
    <w:rsid w:val="003F75BE"/>
    <w:rsid w:val="003F76FC"/>
    <w:rsid w:val="003F7A5E"/>
    <w:rsid w:val="00400157"/>
    <w:rsid w:val="004002EB"/>
    <w:rsid w:val="0040032A"/>
    <w:rsid w:val="004003EB"/>
    <w:rsid w:val="004004F5"/>
    <w:rsid w:val="0040093A"/>
    <w:rsid w:val="00400A36"/>
    <w:rsid w:val="00400CE2"/>
    <w:rsid w:val="00400DB6"/>
    <w:rsid w:val="0040143A"/>
    <w:rsid w:val="00401A08"/>
    <w:rsid w:val="004025B8"/>
    <w:rsid w:val="0040275E"/>
    <w:rsid w:val="004027B5"/>
    <w:rsid w:val="00402FBA"/>
    <w:rsid w:val="00402FE5"/>
    <w:rsid w:val="00403ACD"/>
    <w:rsid w:val="00403C8D"/>
    <w:rsid w:val="00403D2F"/>
    <w:rsid w:val="00403E94"/>
    <w:rsid w:val="00404145"/>
    <w:rsid w:val="00404183"/>
    <w:rsid w:val="004048A6"/>
    <w:rsid w:val="00404D88"/>
    <w:rsid w:val="00404DFE"/>
    <w:rsid w:val="00404EA9"/>
    <w:rsid w:val="00405301"/>
    <w:rsid w:val="00405508"/>
    <w:rsid w:val="00405624"/>
    <w:rsid w:val="004056B3"/>
    <w:rsid w:val="00405E93"/>
    <w:rsid w:val="0040644B"/>
    <w:rsid w:val="004068E0"/>
    <w:rsid w:val="0040726A"/>
    <w:rsid w:val="00407603"/>
    <w:rsid w:val="004076D9"/>
    <w:rsid w:val="0040793B"/>
    <w:rsid w:val="00407A46"/>
    <w:rsid w:val="00407A79"/>
    <w:rsid w:val="00407AAC"/>
    <w:rsid w:val="00407B08"/>
    <w:rsid w:val="00407D52"/>
    <w:rsid w:val="0041046F"/>
    <w:rsid w:val="00410497"/>
    <w:rsid w:val="004107D5"/>
    <w:rsid w:val="004107EF"/>
    <w:rsid w:val="004109B9"/>
    <w:rsid w:val="00410AF1"/>
    <w:rsid w:val="00410D37"/>
    <w:rsid w:val="00410E99"/>
    <w:rsid w:val="00411AC8"/>
    <w:rsid w:val="00411ECD"/>
    <w:rsid w:val="00411F4C"/>
    <w:rsid w:val="004121AB"/>
    <w:rsid w:val="00412683"/>
    <w:rsid w:val="00412B38"/>
    <w:rsid w:val="00412B65"/>
    <w:rsid w:val="00413D6C"/>
    <w:rsid w:val="00413E06"/>
    <w:rsid w:val="00413E7E"/>
    <w:rsid w:val="00413FB3"/>
    <w:rsid w:val="00414533"/>
    <w:rsid w:val="00414737"/>
    <w:rsid w:val="004148C7"/>
    <w:rsid w:val="00415331"/>
    <w:rsid w:val="00415D68"/>
    <w:rsid w:val="00415E08"/>
    <w:rsid w:val="00415E0F"/>
    <w:rsid w:val="00415F1F"/>
    <w:rsid w:val="00416669"/>
    <w:rsid w:val="00416735"/>
    <w:rsid w:val="00416A8B"/>
    <w:rsid w:val="00416EE5"/>
    <w:rsid w:val="00416FC3"/>
    <w:rsid w:val="004170AF"/>
    <w:rsid w:val="00417464"/>
    <w:rsid w:val="00417A83"/>
    <w:rsid w:val="00417C1F"/>
    <w:rsid w:val="00418A6B"/>
    <w:rsid w:val="00420BEC"/>
    <w:rsid w:val="004214DE"/>
    <w:rsid w:val="004215BF"/>
    <w:rsid w:val="00421642"/>
    <w:rsid w:val="004218E4"/>
    <w:rsid w:val="00421ACE"/>
    <w:rsid w:val="00421F13"/>
    <w:rsid w:val="0042275B"/>
    <w:rsid w:val="00422DCA"/>
    <w:rsid w:val="00422DDC"/>
    <w:rsid w:val="0042305A"/>
    <w:rsid w:val="004231B5"/>
    <w:rsid w:val="004236C8"/>
    <w:rsid w:val="00423A3A"/>
    <w:rsid w:val="00423CC2"/>
    <w:rsid w:val="00423CCD"/>
    <w:rsid w:val="00423D19"/>
    <w:rsid w:val="00423DE7"/>
    <w:rsid w:val="00424D65"/>
    <w:rsid w:val="004252C2"/>
    <w:rsid w:val="00425545"/>
    <w:rsid w:val="00425918"/>
    <w:rsid w:val="0042591F"/>
    <w:rsid w:val="0042598C"/>
    <w:rsid w:val="004259B1"/>
    <w:rsid w:val="00425D2D"/>
    <w:rsid w:val="00425FAD"/>
    <w:rsid w:val="0042644C"/>
    <w:rsid w:val="004265FA"/>
    <w:rsid w:val="00426932"/>
    <w:rsid w:val="00426940"/>
    <w:rsid w:val="00426B68"/>
    <w:rsid w:val="00426E51"/>
    <w:rsid w:val="00426FBA"/>
    <w:rsid w:val="004270EA"/>
    <w:rsid w:val="00427681"/>
    <w:rsid w:val="004277C1"/>
    <w:rsid w:val="00427A49"/>
    <w:rsid w:val="00427C50"/>
    <w:rsid w:val="00427C66"/>
    <w:rsid w:val="0043008E"/>
    <w:rsid w:val="004302D2"/>
    <w:rsid w:val="00430CC1"/>
    <w:rsid w:val="0043128A"/>
    <w:rsid w:val="0043146A"/>
    <w:rsid w:val="0043149A"/>
    <w:rsid w:val="00431717"/>
    <w:rsid w:val="004317E1"/>
    <w:rsid w:val="00432260"/>
    <w:rsid w:val="004325DB"/>
    <w:rsid w:val="004331EE"/>
    <w:rsid w:val="00433743"/>
    <w:rsid w:val="004338A8"/>
    <w:rsid w:val="00433902"/>
    <w:rsid w:val="00433A8F"/>
    <w:rsid w:val="00433DB7"/>
    <w:rsid w:val="00434097"/>
    <w:rsid w:val="004340B5"/>
    <w:rsid w:val="00434340"/>
    <w:rsid w:val="00434572"/>
    <w:rsid w:val="0043487A"/>
    <w:rsid w:val="00434A7F"/>
    <w:rsid w:val="00434CEA"/>
    <w:rsid w:val="00435115"/>
    <w:rsid w:val="00435C2A"/>
    <w:rsid w:val="00436728"/>
    <w:rsid w:val="00437196"/>
    <w:rsid w:val="0043719D"/>
    <w:rsid w:val="00437CBC"/>
    <w:rsid w:val="00437D68"/>
    <w:rsid w:val="00437ED5"/>
    <w:rsid w:val="00437FE4"/>
    <w:rsid w:val="00440251"/>
    <w:rsid w:val="004403DA"/>
    <w:rsid w:val="0044058A"/>
    <w:rsid w:val="004408ED"/>
    <w:rsid w:val="00441371"/>
    <w:rsid w:val="004417CA"/>
    <w:rsid w:val="00441922"/>
    <w:rsid w:val="00441ECF"/>
    <w:rsid w:val="0044242B"/>
    <w:rsid w:val="004426C4"/>
    <w:rsid w:val="00442BEE"/>
    <w:rsid w:val="0044321C"/>
    <w:rsid w:val="0044384B"/>
    <w:rsid w:val="00444072"/>
    <w:rsid w:val="0044422D"/>
    <w:rsid w:val="00444534"/>
    <w:rsid w:val="0044486D"/>
    <w:rsid w:val="00444C91"/>
    <w:rsid w:val="0044513D"/>
    <w:rsid w:val="004451CB"/>
    <w:rsid w:val="004454D2"/>
    <w:rsid w:val="004456A9"/>
    <w:rsid w:val="00445B37"/>
    <w:rsid w:val="00446258"/>
    <w:rsid w:val="0044657C"/>
    <w:rsid w:val="0044660E"/>
    <w:rsid w:val="0044699C"/>
    <w:rsid w:val="00446A6B"/>
    <w:rsid w:val="00446C4A"/>
    <w:rsid w:val="00446F29"/>
    <w:rsid w:val="00447042"/>
    <w:rsid w:val="00447286"/>
    <w:rsid w:val="004473B7"/>
    <w:rsid w:val="004477B9"/>
    <w:rsid w:val="00447AC2"/>
    <w:rsid w:val="00447BDD"/>
    <w:rsid w:val="00447D52"/>
    <w:rsid w:val="00447E92"/>
    <w:rsid w:val="004507A0"/>
    <w:rsid w:val="00451078"/>
    <w:rsid w:val="00451686"/>
    <w:rsid w:val="00451A84"/>
    <w:rsid w:val="00451F7B"/>
    <w:rsid w:val="00452328"/>
    <w:rsid w:val="00452EDF"/>
    <w:rsid w:val="00452F23"/>
    <w:rsid w:val="00453750"/>
    <w:rsid w:val="00453F7E"/>
    <w:rsid w:val="004541C2"/>
    <w:rsid w:val="0045425C"/>
    <w:rsid w:val="0045491F"/>
    <w:rsid w:val="00454925"/>
    <w:rsid w:val="00454A59"/>
    <w:rsid w:val="00454D69"/>
    <w:rsid w:val="00454DA0"/>
    <w:rsid w:val="00455731"/>
    <w:rsid w:val="00455AFA"/>
    <w:rsid w:val="00455C7E"/>
    <w:rsid w:val="004563BB"/>
    <w:rsid w:val="00456941"/>
    <w:rsid w:val="004569B5"/>
    <w:rsid w:val="00456CEF"/>
    <w:rsid w:val="00457690"/>
    <w:rsid w:val="00457979"/>
    <w:rsid w:val="00457AC8"/>
    <w:rsid w:val="00457C86"/>
    <w:rsid w:val="004602E4"/>
    <w:rsid w:val="00460437"/>
    <w:rsid w:val="00460443"/>
    <w:rsid w:val="00460EE4"/>
    <w:rsid w:val="00460EF3"/>
    <w:rsid w:val="0046142C"/>
    <w:rsid w:val="004618F4"/>
    <w:rsid w:val="0046196F"/>
    <w:rsid w:val="00461AAD"/>
    <w:rsid w:val="00461BA5"/>
    <w:rsid w:val="004623E8"/>
    <w:rsid w:val="00462878"/>
    <w:rsid w:val="00462A67"/>
    <w:rsid w:val="00462B5C"/>
    <w:rsid w:val="00462B7F"/>
    <w:rsid w:val="00462BAE"/>
    <w:rsid w:val="00462CA1"/>
    <w:rsid w:val="00462FAE"/>
    <w:rsid w:val="004631D0"/>
    <w:rsid w:val="0046348A"/>
    <w:rsid w:val="00463A1D"/>
    <w:rsid w:val="00463B59"/>
    <w:rsid w:val="00463C01"/>
    <w:rsid w:val="004646F4"/>
    <w:rsid w:val="00464845"/>
    <w:rsid w:val="00464932"/>
    <w:rsid w:val="004649AB"/>
    <w:rsid w:val="00464C46"/>
    <w:rsid w:val="00465308"/>
    <w:rsid w:val="0046553E"/>
    <w:rsid w:val="00465626"/>
    <w:rsid w:val="00465733"/>
    <w:rsid w:val="004657DB"/>
    <w:rsid w:val="00465878"/>
    <w:rsid w:val="00465FFE"/>
    <w:rsid w:val="004662A1"/>
    <w:rsid w:val="0046666D"/>
    <w:rsid w:val="00466A5C"/>
    <w:rsid w:val="004678F3"/>
    <w:rsid w:val="00467AB9"/>
    <w:rsid w:val="00467B04"/>
    <w:rsid w:val="00467E86"/>
    <w:rsid w:val="004700F9"/>
    <w:rsid w:val="004701A0"/>
    <w:rsid w:val="004702EA"/>
    <w:rsid w:val="004704BD"/>
    <w:rsid w:val="00470536"/>
    <w:rsid w:val="00470962"/>
    <w:rsid w:val="004709A2"/>
    <w:rsid w:val="00470A29"/>
    <w:rsid w:val="00470F49"/>
    <w:rsid w:val="00470F52"/>
    <w:rsid w:val="0047136C"/>
    <w:rsid w:val="00471373"/>
    <w:rsid w:val="00471C64"/>
    <w:rsid w:val="004723BF"/>
    <w:rsid w:val="004723D5"/>
    <w:rsid w:val="0047298F"/>
    <w:rsid w:val="00472A2C"/>
    <w:rsid w:val="00472DB2"/>
    <w:rsid w:val="004736EB"/>
    <w:rsid w:val="00473799"/>
    <w:rsid w:val="004738D6"/>
    <w:rsid w:val="0047391E"/>
    <w:rsid w:val="00473C2E"/>
    <w:rsid w:val="00473CE3"/>
    <w:rsid w:val="00473EBF"/>
    <w:rsid w:val="0047405F"/>
    <w:rsid w:val="004747DD"/>
    <w:rsid w:val="004747F6"/>
    <w:rsid w:val="00474B19"/>
    <w:rsid w:val="00474D2F"/>
    <w:rsid w:val="00475147"/>
    <w:rsid w:val="0047519F"/>
    <w:rsid w:val="00475320"/>
    <w:rsid w:val="00475518"/>
    <w:rsid w:val="00475B3D"/>
    <w:rsid w:val="00475CE3"/>
    <w:rsid w:val="00475F39"/>
    <w:rsid w:val="0047610D"/>
    <w:rsid w:val="004761D6"/>
    <w:rsid w:val="004765C5"/>
    <w:rsid w:val="004765E5"/>
    <w:rsid w:val="004766CC"/>
    <w:rsid w:val="00476E38"/>
    <w:rsid w:val="00477065"/>
    <w:rsid w:val="0047788A"/>
    <w:rsid w:val="00477980"/>
    <w:rsid w:val="004800E9"/>
    <w:rsid w:val="00480415"/>
    <w:rsid w:val="00480579"/>
    <w:rsid w:val="00480BD4"/>
    <w:rsid w:val="00480FEE"/>
    <w:rsid w:val="00481081"/>
    <w:rsid w:val="00481C47"/>
    <w:rsid w:val="00481C55"/>
    <w:rsid w:val="0048259C"/>
    <w:rsid w:val="00482D02"/>
    <w:rsid w:val="00482D4D"/>
    <w:rsid w:val="00483BC4"/>
    <w:rsid w:val="004840CD"/>
    <w:rsid w:val="004845A0"/>
    <w:rsid w:val="004846E5"/>
    <w:rsid w:val="00484827"/>
    <w:rsid w:val="00484A6B"/>
    <w:rsid w:val="00484C1E"/>
    <w:rsid w:val="00484ECA"/>
    <w:rsid w:val="00484F8D"/>
    <w:rsid w:val="00485B7F"/>
    <w:rsid w:val="00485C04"/>
    <w:rsid w:val="0048610A"/>
    <w:rsid w:val="00486118"/>
    <w:rsid w:val="004869C2"/>
    <w:rsid w:val="00487993"/>
    <w:rsid w:val="00487BDD"/>
    <w:rsid w:val="00490211"/>
    <w:rsid w:val="00490369"/>
    <w:rsid w:val="004903D9"/>
    <w:rsid w:val="004908BB"/>
    <w:rsid w:val="0049098A"/>
    <w:rsid w:val="004909A0"/>
    <w:rsid w:val="00490E04"/>
    <w:rsid w:val="0049135F"/>
    <w:rsid w:val="00491392"/>
    <w:rsid w:val="0049256C"/>
    <w:rsid w:val="00492696"/>
    <w:rsid w:val="004927D2"/>
    <w:rsid w:val="00492830"/>
    <w:rsid w:val="0049292D"/>
    <w:rsid w:val="00493297"/>
    <w:rsid w:val="00493387"/>
    <w:rsid w:val="00493843"/>
    <w:rsid w:val="00493959"/>
    <w:rsid w:val="004939FB"/>
    <w:rsid w:val="00494022"/>
    <w:rsid w:val="00494B4B"/>
    <w:rsid w:val="00494CB2"/>
    <w:rsid w:val="00494D15"/>
    <w:rsid w:val="00494D3B"/>
    <w:rsid w:val="004953CD"/>
    <w:rsid w:val="0049553B"/>
    <w:rsid w:val="00495D44"/>
    <w:rsid w:val="00495FEF"/>
    <w:rsid w:val="0049602C"/>
    <w:rsid w:val="00496096"/>
    <w:rsid w:val="004963BF"/>
    <w:rsid w:val="0049687C"/>
    <w:rsid w:val="00496B05"/>
    <w:rsid w:val="0049709B"/>
    <w:rsid w:val="004970FF"/>
    <w:rsid w:val="00497665"/>
    <w:rsid w:val="0049776D"/>
    <w:rsid w:val="004A081B"/>
    <w:rsid w:val="004A1910"/>
    <w:rsid w:val="004A1D73"/>
    <w:rsid w:val="004A2016"/>
    <w:rsid w:val="004A2049"/>
    <w:rsid w:val="004A2198"/>
    <w:rsid w:val="004A2898"/>
    <w:rsid w:val="004A356D"/>
    <w:rsid w:val="004A3734"/>
    <w:rsid w:val="004A389A"/>
    <w:rsid w:val="004A3AC6"/>
    <w:rsid w:val="004A3D74"/>
    <w:rsid w:val="004A3DFF"/>
    <w:rsid w:val="004A42DF"/>
    <w:rsid w:val="004A47EB"/>
    <w:rsid w:val="004A4A7B"/>
    <w:rsid w:val="004A5415"/>
    <w:rsid w:val="004A56D3"/>
    <w:rsid w:val="004A571F"/>
    <w:rsid w:val="004A58FE"/>
    <w:rsid w:val="004A5966"/>
    <w:rsid w:val="004A682D"/>
    <w:rsid w:val="004A6928"/>
    <w:rsid w:val="004A7209"/>
    <w:rsid w:val="004A7519"/>
    <w:rsid w:val="004A770C"/>
    <w:rsid w:val="004B01F1"/>
    <w:rsid w:val="004B0B82"/>
    <w:rsid w:val="004B1724"/>
    <w:rsid w:val="004B18C1"/>
    <w:rsid w:val="004B1B76"/>
    <w:rsid w:val="004B1F1F"/>
    <w:rsid w:val="004B2764"/>
    <w:rsid w:val="004B2BF8"/>
    <w:rsid w:val="004B2F9C"/>
    <w:rsid w:val="004B3084"/>
    <w:rsid w:val="004B33C5"/>
    <w:rsid w:val="004B343A"/>
    <w:rsid w:val="004B395F"/>
    <w:rsid w:val="004B3DFD"/>
    <w:rsid w:val="004B3E09"/>
    <w:rsid w:val="004B41F2"/>
    <w:rsid w:val="004B42FD"/>
    <w:rsid w:val="004B44B6"/>
    <w:rsid w:val="004B4E65"/>
    <w:rsid w:val="004B4FC4"/>
    <w:rsid w:val="004B533A"/>
    <w:rsid w:val="004B552F"/>
    <w:rsid w:val="004B5544"/>
    <w:rsid w:val="004B58F6"/>
    <w:rsid w:val="004B5CE4"/>
    <w:rsid w:val="004B6BDF"/>
    <w:rsid w:val="004B6DCF"/>
    <w:rsid w:val="004B6ED6"/>
    <w:rsid w:val="004B6EF4"/>
    <w:rsid w:val="004B727B"/>
    <w:rsid w:val="004B7AAF"/>
    <w:rsid w:val="004B7ACD"/>
    <w:rsid w:val="004B7BAC"/>
    <w:rsid w:val="004C010B"/>
    <w:rsid w:val="004C06E1"/>
    <w:rsid w:val="004C0A85"/>
    <w:rsid w:val="004C11D3"/>
    <w:rsid w:val="004C145F"/>
    <w:rsid w:val="004C1483"/>
    <w:rsid w:val="004C14FD"/>
    <w:rsid w:val="004C1560"/>
    <w:rsid w:val="004C1741"/>
    <w:rsid w:val="004C2AB3"/>
    <w:rsid w:val="004C2F2C"/>
    <w:rsid w:val="004C306A"/>
    <w:rsid w:val="004C30AD"/>
    <w:rsid w:val="004C3C7B"/>
    <w:rsid w:val="004C404B"/>
    <w:rsid w:val="004C4811"/>
    <w:rsid w:val="004C4B85"/>
    <w:rsid w:val="004C596D"/>
    <w:rsid w:val="004C599A"/>
    <w:rsid w:val="004C5A34"/>
    <w:rsid w:val="004C5F89"/>
    <w:rsid w:val="004C6213"/>
    <w:rsid w:val="004C6357"/>
    <w:rsid w:val="004C7314"/>
    <w:rsid w:val="004C7D56"/>
    <w:rsid w:val="004D00A5"/>
    <w:rsid w:val="004D01AC"/>
    <w:rsid w:val="004D0686"/>
    <w:rsid w:val="004D0687"/>
    <w:rsid w:val="004D088E"/>
    <w:rsid w:val="004D09E1"/>
    <w:rsid w:val="004D0C73"/>
    <w:rsid w:val="004D1416"/>
    <w:rsid w:val="004D14FC"/>
    <w:rsid w:val="004D1D2E"/>
    <w:rsid w:val="004D1D8D"/>
    <w:rsid w:val="004D1FB9"/>
    <w:rsid w:val="004D2146"/>
    <w:rsid w:val="004D22C1"/>
    <w:rsid w:val="004D2C54"/>
    <w:rsid w:val="004D3158"/>
    <w:rsid w:val="004D3211"/>
    <w:rsid w:val="004D3518"/>
    <w:rsid w:val="004D397E"/>
    <w:rsid w:val="004D419B"/>
    <w:rsid w:val="004D424F"/>
    <w:rsid w:val="004D427F"/>
    <w:rsid w:val="004D46A7"/>
    <w:rsid w:val="004D4C05"/>
    <w:rsid w:val="004D4CA5"/>
    <w:rsid w:val="004D4D8F"/>
    <w:rsid w:val="004D4FE2"/>
    <w:rsid w:val="004D508C"/>
    <w:rsid w:val="004D51F9"/>
    <w:rsid w:val="004D525A"/>
    <w:rsid w:val="004D540E"/>
    <w:rsid w:val="004D586D"/>
    <w:rsid w:val="004D60B0"/>
    <w:rsid w:val="004D62D6"/>
    <w:rsid w:val="004D6495"/>
    <w:rsid w:val="004D6614"/>
    <w:rsid w:val="004D6946"/>
    <w:rsid w:val="004D7BDC"/>
    <w:rsid w:val="004E0AD4"/>
    <w:rsid w:val="004E0C5A"/>
    <w:rsid w:val="004E0D64"/>
    <w:rsid w:val="004E0D70"/>
    <w:rsid w:val="004E10DD"/>
    <w:rsid w:val="004E1312"/>
    <w:rsid w:val="004E1A2C"/>
    <w:rsid w:val="004E1A42"/>
    <w:rsid w:val="004E1D40"/>
    <w:rsid w:val="004E1F18"/>
    <w:rsid w:val="004E1FA0"/>
    <w:rsid w:val="004E221A"/>
    <w:rsid w:val="004E2255"/>
    <w:rsid w:val="004E27B1"/>
    <w:rsid w:val="004E2F92"/>
    <w:rsid w:val="004E3645"/>
    <w:rsid w:val="004E37EC"/>
    <w:rsid w:val="004E3953"/>
    <w:rsid w:val="004E4029"/>
    <w:rsid w:val="004E4298"/>
    <w:rsid w:val="004E48A1"/>
    <w:rsid w:val="004E54BF"/>
    <w:rsid w:val="004E600F"/>
    <w:rsid w:val="004E630B"/>
    <w:rsid w:val="004E63BA"/>
    <w:rsid w:val="004E6830"/>
    <w:rsid w:val="004E6ABC"/>
    <w:rsid w:val="004E6F49"/>
    <w:rsid w:val="004E7382"/>
    <w:rsid w:val="004E79D6"/>
    <w:rsid w:val="004E7BFD"/>
    <w:rsid w:val="004E7DEA"/>
    <w:rsid w:val="004F0284"/>
    <w:rsid w:val="004F0B44"/>
    <w:rsid w:val="004F0C3E"/>
    <w:rsid w:val="004F0D79"/>
    <w:rsid w:val="004F106D"/>
    <w:rsid w:val="004F13CA"/>
    <w:rsid w:val="004F1B4C"/>
    <w:rsid w:val="004F1DD2"/>
    <w:rsid w:val="004F1EC7"/>
    <w:rsid w:val="004F263D"/>
    <w:rsid w:val="004F2763"/>
    <w:rsid w:val="004F29DD"/>
    <w:rsid w:val="004F2A33"/>
    <w:rsid w:val="004F2E9C"/>
    <w:rsid w:val="004F3632"/>
    <w:rsid w:val="004F370D"/>
    <w:rsid w:val="004F3D2C"/>
    <w:rsid w:val="004F3F4E"/>
    <w:rsid w:val="004F42C9"/>
    <w:rsid w:val="004F4CBB"/>
    <w:rsid w:val="004F51AA"/>
    <w:rsid w:val="004F52CD"/>
    <w:rsid w:val="004F57AE"/>
    <w:rsid w:val="004F5ACD"/>
    <w:rsid w:val="004F5C2D"/>
    <w:rsid w:val="004F61CD"/>
    <w:rsid w:val="004F635C"/>
    <w:rsid w:val="004F6517"/>
    <w:rsid w:val="004F69DF"/>
    <w:rsid w:val="004F6D34"/>
    <w:rsid w:val="004F70FB"/>
    <w:rsid w:val="004F75D9"/>
    <w:rsid w:val="004F7954"/>
    <w:rsid w:val="004F7E8A"/>
    <w:rsid w:val="00500ACA"/>
    <w:rsid w:val="00500BEC"/>
    <w:rsid w:val="00500C7D"/>
    <w:rsid w:val="005010FD"/>
    <w:rsid w:val="0050159A"/>
    <w:rsid w:val="00501AB0"/>
    <w:rsid w:val="00501C98"/>
    <w:rsid w:val="00501D79"/>
    <w:rsid w:val="00501E49"/>
    <w:rsid w:val="00502039"/>
    <w:rsid w:val="00502499"/>
    <w:rsid w:val="0050297B"/>
    <w:rsid w:val="00502D06"/>
    <w:rsid w:val="00502D65"/>
    <w:rsid w:val="00502E16"/>
    <w:rsid w:val="00503137"/>
    <w:rsid w:val="00503261"/>
    <w:rsid w:val="0050365F"/>
    <w:rsid w:val="00503D8D"/>
    <w:rsid w:val="005041E5"/>
    <w:rsid w:val="00504DD2"/>
    <w:rsid w:val="005052AD"/>
    <w:rsid w:val="00505A8D"/>
    <w:rsid w:val="00505D06"/>
    <w:rsid w:val="00505F51"/>
    <w:rsid w:val="00505FE3"/>
    <w:rsid w:val="005067C1"/>
    <w:rsid w:val="00506A4D"/>
    <w:rsid w:val="00506AC8"/>
    <w:rsid w:val="00506E1F"/>
    <w:rsid w:val="005071A5"/>
    <w:rsid w:val="00507565"/>
    <w:rsid w:val="0050757A"/>
    <w:rsid w:val="00507670"/>
    <w:rsid w:val="005079D5"/>
    <w:rsid w:val="00510167"/>
    <w:rsid w:val="00510292"/>
    <w:rsid w:val="005102BC"/>
    <w:rsid w:val="005104B5"/>
    <w:rsid w:val="00510A41"/>
    <w:rsid w:val="00510F53"/>
    <w:rsid w:val="00511008"/>
    <w:rsid w:val="0051103B"/>
    <w:rsid w:val="0051118D"/>
    <w:rsid w:val="005119B0"/>
    <w:rsid w:val="00511BCD"/>
    <w:rsid w:val="00511EAD"/>
    <w:rsid w:val="005120AE"/>
    <w:rsid w:val="00512288"/>
    <w:rsid w:val="005123F9"/>
    <w:rsid w:val="005136E7"/>
    <w:rsid w:val="005137DF"/>
    <w:rsid w:val="00513863"/>
    <w:rsid w:val="005138CD"/>
    <w:rsid w:val="00513971"/>
    <w:rsid w:val="00513AD2"/>
    <w:rsid w:val="00513B06"/>
    <w:rsid w:val="00513DA5"/>
    <w:rsid w:val="005143F3"/>
    <w:rsid w:val="005149AB"/>
    <w:rsid w:val="005149AD"/>
    <w:rsid w:val="00514CE2"/>
    <w:rsid w:val="00514EA9"/>
    <w:rsid w:val="00514EBC"/>
    <w:rsid w:val="00515121"/>
    <w:rsid w:val="00515123"/>
    <w:rsid w:val="00515151"/>
    <w:rsid w:val="00515347"/>
    <w:rsid w:val="005157A6"/>
    <w:rsid w:val="00515A42"/>
    <w:rsid w:val="00515C7A"/>
    <w:rsid w:val="00516573"/>
    <w:rsid w:val="005169C5"/>
    <w:rsid w:val="00516A97"/>
    <w:rsid w:val="00516C7E"/>
    <w:rsid w:val="00516D2B"/>
    <w:rsid w:val="00517343"/>
    <w:rsid w:val="005174C4"/>
    <w:rsid w:val="00517629"/>
    <w:rsid w:val="00517741"/>
    <w:rsid w:val="0051789A"/>
    <w:rsid w:val="00517EC9"/>
    <w:rsid w:val="00517F03"/>
    <w:rsid w:val="0052012D"/>
    <w:rsid w:val="00520195"/>
    <w:rsid w:val="00520755"/>
    <w:rsid w:val="00520787"/>
    <w:rsid w:val="00520901"/>
    <w:rsid w:val="00521078"/>
    <w:rsid w:val="005213CB"/>
    <w:rsid w:val="00521461"/>
    <w:rsid w:val="005224D6"/>
    <w:rsid w:val="0052258D"/>
    <w:rsid w:val="005228FB"/>
    <w:rsid w:val="00522B97"/>
    <w:rsid w:val="005238D7"/>
    <w:rsid w:val="00523A9A"/>
    <w:rsid w:val="00523C11"/>
    <w:rsid w:val="00523EEE"/>
    <w:rsid w:val="005243FC"/>
    <w:rsid w:val="0052498E"/>
    <w:rsid w:val="00524BFB"/>
    <w:rsid w:val="00524D2F"/>
    <w:rsid w:val="0052511E"/>
    <w:rsid w:val="005251B1"/>
    <w:rsid w:val="005257AA"/>
    <w:rsid w:val="00525AE9"/>
    <w:rsid w:val="00525AFD"/>
    <w:rsid w:val="00525E8A"/>
    <w:rsid w:val="005269CC"/>
    <w:rsid w:val="0052757F"/>
    <w:rsid w:val="005275D1"/>
    <w:rsid w:val="00527BDD"/>
    <w:rsid w:val="00527FCB"/>
    <w:rsid w:val="005306A2"/>
    <w:rsid w:val="0053076B"/>
    <w:rsid w:val="00530DC3"/>
    <w:rsid w:val="00530F83"/>
    <w:rsid w:val="005313AC"/>
    <w:rsid w:val="00531419"/>
    <w:rsid w:val="00531B5A"/>
    <w:rsid w:val="00531BA0"/>
    <w:rsid w:val="00531F35"/>
    <w:rsid w:val="005321B7"/>
    <w:rsid w:val="0053220F"/>
    <w:rsid w:val="005322AB"/>
    <w:rsid w:val="00532AB5"/>
    <w:rsid w:val="00532D07"/>
    <w:rsid w:val="005334D1"/>
    <w:rsid w:val="00533551"/>
    <w:rsid w:val="00533A06"/>
    <w:rsid w:val="0053416C"/>
    <w:rsid w:val="00534933"/>
    <w:rsid w:val="00534C95"/>
    <w:rsid w:val="00534D1F"/>
    <w:rsid w:val="00535AE6"/>
    <w:rsid w:val="00535B8A"/>
    <w:rsid w:val="00536428"/>
    <w:rsid w:val="005367F6"/>
    <w:rsid w:val="00536AEE"/>
    <w:rsid w:val="00537063"/>
    <w:rsid w:val="00537161"/>
    <w:rsid w:val="00537319"/>
    <w:rsid w:val="00537375"/>
    <w:rsid w:val="00537695"/>
    <w:rsid w:val="005400B7"/>
    <w:rsid w:val="005403F0"/>
    <w:rsid w:val="00540543"/>
    <w:rsid w:val="00540716"/>
    <w:rsid w:val="00540823"/>
    <w:rsid w:val="00540A05"/>
    <w:rsid w:val="00540FCD"/>
    <w:rsid w:val="005413B8"/>
    <w:rsid w:val="00541488"/>
    <w:rsid w:val="005415DE"/>
    <w:rsid w:val="00541AA1"/>
    <w:rsid w:val="00541B0B"/>
    <w:rsid w:val="00541C2F"/>
    <w:rsid w:val="005425B9"/>
    <w:rsid w:val="0054295E"/>
    <w:rsid w:val="0054353B"/>
    <w:rsid w:val="00543923"/>
    <w:rsid w:val="00543B9A"/>
    <w:rsid w:val="00543BFE"/>
    <w:rsid w:val="005448D0"/>
    <w:rsid w:val="00544FA5"/>
    <w:rsid w:val="0054503A"/>
    <w:rsid w:val="0054511A"/>
    <w:rsid w:val="005455B0"/>
    <w:rsid w:val="0054612D"/>
    <w:rsid w:val="00547332"/>
    <w:rsid w:val="00547CC7"/>
    <w:rsid w:val="005504CB"/>
    <w:rsid w:val="005508FB"/>
    <w:rsid w:val="00551B4F"/>
    <w:rsid w:val="00551B5C"/>
    <w:rsid w:val="00552496"/>
    <w:rsid w:val="00552F3F"/>
    <w:rsid w:val="005533FC"/>
    <w:rsid w:val="00554051"/>
    <w:rsid w:val="005540F9"/>
    <w:rsid w:val="005546A9"/>
    <w:rsid w:val="005548F2"/>
    <w:rsid w:val="00554DA6"/>
    <w:rsid w:val="00554DEA"/>
    <w:rsid w:val="00554E09"/>
    <w:rsid w:val="00554E46"/>
    <w:rsid w:val="0055500A"/>
    <w:rsid w:val="0055514F"/>
    <w:rsid w:val="005553EE"/>
    <w:rsid w:val="00555AA1"/>
    <w:rsid w:val="005561D3"/>
    <w:rsid w:val="00556533"/>
    <w:rsid w:val="005569C9"/>
    <w:rsid w:val="005570EF"/>
    <w:rsid w:val="00557676"/>
    <w:rsid w:val="00557B94"/>
    <w:rsid w:val="00557DF1"/>
    <w:rsid w:val="00560A86"/>
    <w:rsid w:val="00560D3D"/>
    <w:rsid w:val="00561C82"/>
    <w:rsid w:val="005621FA"/>
    <w:rsid w:val="00562EA1"/>
    <w:rsid w:val="00562ED5"/>
    <w:rsid w:val="00563016"/>
    <w:rsid w:val="005630C3"/>
    <w:rsid w:val="005630D9"/>
    <w:rsid w:val="00563527"/>
    <w:rsid w:val="005646A1"/>
    <w:rsid w:val="00564750"/>
    <w:rsid w:val="00564904"/>
    <w:rsid w:val="005650E8"/>
    <w:rsid w:val="005651FB"/>
    <w:rsid w:val="005656BF"/>
    <w:rsid w:val="00565BF0"/>
    <w:rsid w:val="00565D94"/>
    <w:rsid w:val="0056610B"/>
    <w:rsid w:val="00566EAC"/>
    <w:rsid w:val="00566FA0"/>
    <w:rsid w:val="005670A4"/>
    <w:rsid w:val="005671F1"/>
    <w:rsid w:val="005676BF"/>
    <w:rsid w:val="0056774B"/>
    <w:rsid w:val="005678E3"/>
    <w:rsid w:val="00567BE1"/>
    <w:rsid w:val="00567EA8"/>
    <w:rsid w:val="00570391"/>
    <w:rsid w:val="005707D0"/>
    <w:rsid w:val="00570823"/>
    <w:rsid w:val="00571000"/>
    <w:rsid w:val="00571715"/>
    <w:rsid w:val="0057196F"/>
    <w:rsid w:val="00571B26"/>
    <w:rsid w:val="00571BDD"/>
    <w:rsid w:val="00572312"/>
    <w:rsid w:val="00572669"/>
    <w:rsid w:val="0057298E"/>
    <w:rsid w:val="0057298F"/>
    <w:rsid w:val="00572A89"/>
    <w:rsid w:val="00573264"/>
    <w:rsid w:val="00573285"/>
    <w:rsid w:val="0057337D"/>
    <w:rsid w:val="0057340B"/>
    <w:rsid w:val="0057368E"/>
    <w:rsid w:val="00573C0D"/>
    <w:rsid w:val="00573D72"/>
    <w:rsid w:val="00573E85"/>
    <w:rsid w:val="00574322"/>
    <w:rsid w:val="005744E5"/>
    <w:rsid w:val="005751CD"/>
    <w:rsid w:val="005755F1"/>
    <w:rsid w:val="005757E4"/>
    <w:rsid w:val="00575B40"/>
    <w:rsid w:val="00575F0B"/>
    <w:rsid w:val="005772E7"/>
    <w:rsid w:val="00580132"/>
    <w:rsid w:val="00580202"/>
    <w:rsid w:val="00580C7F"/>
    <w:rsid w:val="0058114A"/>
    <w:rsid w:val="0058124E"/>
    <w:rsid w:val="00581688"/>
    <w:rsid w:val="005817DA"/>
    <w:rsid w:val="00581F4C"/>
    <w:rsid w:val="005820CD"/>
    <w:rsid w:val="0058218C"/>
    <w:rsid w:val="005822D0"/>
    <w:rsid w:val="00582425"/>
    <w:rsid w:val="005824BB"/>
    <w:rsid w:val="005824FF"/>
    <w:rsid w:val="00582672"/>
    <w:rsid w:val="005828EB"/>
    <w:rsid w:val="00582A76"/>
    <w:rsid w:val="00582D69"/>
    <w:rsid w:val="00583040"/>
    <w:rsid w:val="00583229"/>
    <w:rsid w:val="0058336C"/>
    <w:rsid w:val="0058344C"/>
    <w:rsid w:val="005835B3"/>
    <w:rsid w:val="00583606"/>
    <w:rsid w:val="00583AAA"/>
    <w:rsid w:val="00583DA0"/>
    <w:rsid w:val="005841D7"/>
    <w:rsid w:val="00584989"/>
    <w:rsid w:val="00585043"/>
    <w:rsid w:val="00585A63"/>
    <w:rsid w:val="00585A8F"/>
    <w:rsid w:val="00585EAE"/>
    <w:rsid w:val="005866F8"/>
    <w:rsid w:val="00586B71"/>
    <w:rsid w:val="00587041"/>
    <w:rsid w:val="005875A3"/>
    <w:rsid w:val="00587EEE"/>
    <w:rsid w:val="00587F0F"/>
    <w:rsid w:val="00587F4E"/>
    <w:rsid w:val="00587FE0"/>
    <w:rsid w:val="0059017B"/>
    <w:rsid w:val="005904BC"/>
    <w:rsid w:val="00590664"/>
    <w:rsid w:val="005909FA"/>
    <w:rsid w:val="00590A25"/>
    <w:rsid w:val="00590E56"/>
    <w:rsid w:val="00591281"/>
    <w:rsid w:val="00591835"/>
    <w:rsid w:val="0059193F"/>
    <w:rsid w:val="00592997"/>
    <w:rsid w:val="005929C0"/>
    <w:rsid w:val="00592A9D"/>
    <w:rsid w:val="00592D5E"/>
    <w:rsid w:val="00592EAE"/>
    <w:rsid w:val="005932D4"/>
    <w:rsid w:val="005933EC"/>
    <w:rsid w:val="00593679"/>
    <w:rsid w:val="00593AE6"/>
    <w:rsid w:val="00593B94"/>
    <w:rsid w:val="00593C0B"/>
    <w:rsid w:val="005942AB"/>
    <w:rsid w:val="005945E9"/>
    <w:rsid w:val="00594C25"/>
    <w:rsid w:val="00594CF2"/>
    <w:rsid w:val="00594E9E"/>
    <w:rsid w:val="00594FA3"/>
    <w:rsid w:val="00595036"/>
    <w:rsid w:val="00595061"/>
    <w:rsid w:val="0059583D"/>
    <w:rsid w:val="00595A62"/>
    <w:rsid w:val="00595B5C"/>
    <w:rsid w:val="00595E39"/>
    <w:rsid w:val="00595E9E"/>
    <w:rsid w:val="0059640F"/>
    <w:rsid w:val="00596490"/>
    <w:rsid w:val="00597921"/>
    <w:rsid w:val="00597C27"/>
    <w:rsid w:val="00597D81"/>
    <w:rsid w:val="005A0094"/>
    <w:rsid w:val="005A079E"/>
    <w:rsid w:val="005A0825"/>
    <w:rsid w:val="005A0F4A"/>
    <w:rsid w:val="005A1435"/>
    <w:rsid w:val="005A1566"/>
    <w:rsid w:val="005A1A30"/>
    <w:rsid w:val="005A1BE5"/>
    <w:rsid w:val="005A272E"/>
    <w:rsid w:val="005A2AC5"/>
    <w:rsid w:val="005A3022"/>
    <w:rsid w:val="005A3070"/>
    <w:rsid w:val="005A3092"/>
    <w:rsid w:val="005A31B3"/>
    <w:rsid w:val="005A33DC"/>
    <w:rsid w:val="005A33FC"/>
    <w:rsid w:val="005A3416"/>
    <w:rsid w:val="005A4992"/>
    <w:rsid w:val="005A49C8"/>
    <w:rsid w:val="005A585C"/>
    <w:rsid w:val="005A5AFB"/>
    <w:rsid w:val="005A5BC6"/>
    <w:rsid w:val="005A5DB2"/>
    <w:rsid w:val="005A5E5D"/>
    <w:rsid w:val="005A61B4"/>
    <w:rsid w:val="005A65AE"/>
    <w:rsid w:val="005A6606"/>
    <w:rsid w:val="005A692F"/>
    <w:rsid w:val="005A69FF"/>
    <w:rsid w:val="005A6DE0"/>
    <w:rsid w:val="005A6F11"/>
    <w:rsid w:val="005A756D"/>
    <w:rsid w:val="005A77D8"/>
    <w:rsid w:val="005A7BAD"/>
    <w:rsid w:val="005A7E09"/>
    <w:rsid w:val="005B040B"/>
    <w:rsid w:val="005B0677"/>
    <w:rsid w:val="005B1836"/>
    <w:rsid w:val="005B18DE"/>
    <w:rsid w:val="005B1C24"/>
    <w:rsid w:val="005B1F93"/>
    <w:rsid w:val="005B208C"/>
    <w:rsid w:val="005B20D5"/>
    <w:rsid w:val="005B21A3"/>
    <w:rsid w:val="005B24B9"/>
    <w:rsid w:val="005B27FE"/>
    <w:rsid w:val="005B28FE"/>
    <w:rsid w:val="005B2EEE"/>
    <w:rsid w:val="005B2F3D"/>
    <w:rsid w:val="005B2F8A"/>
    <w:rsid w:val="005B3274"/>
    <w:rsid w:val="005B362C"/>
    <w:rsid w:val="005B3C50"/>
    <w:rsid w:val="005B43F3"/>
    <w:rsid w:val="005B4492"/>
    <w:rsid w:val="005B45DA"/>
    <w:rsid w:val="005B524B"/>
    <w:rsid w:val="005B56C6"/>
    <w:rsid w:val="005B57EE"/>
    <w:rsid w:val="005B5C43"/>
    <w:rsid w:val="005B5C93"/>
    <w:rsid w:val="005B5D97"/>
    <w:rsid w:val="005B6299"/>
    <w:rsid w:val="005B6637"/>
    <w:rsid w:val="005B697C"/>
    <w:rsid w:val="005B7366"/>
    <w:rsid w:val="005B739B"/>
    <w:rsid w:val="005B76DF"/>
    <w:rsid w:val="005B7911"/>
    <w:rsid w:val="005B79CB"/>
    <w:rsid w:val="005B7EA3"/>
    <w:rsid w:val="005B7F1D"/>
    <w:rsid w:val="005C0E9A"/>
    <w:rsid w:val="005C1357"/>
    <w:rsid w:val="005C167D"/>
    <w:rsid w:val="005C174F"/>
    <w:rsid w:val="005C1A9B"/>
    <w:rsid w:val="005C249E"/>
    <w:rsid w:val="005C2755"/>
    <w:rsid w:val="005C29E4"/>
    <w:rsid w:val="005C2C0D"/>
    <w:rsid w:val="005C2E07"/>
    <w:rsid w:val="005C3673"/>
    <w:rsid w:val="005C3B9B"/>
    <w:rsid w:val="005C4659"/>
    <w:rsid w:val="005C4670"/>
    <w:rsid w:val="005C46D0"/>
    <w:rsid w:val="005C4A69"/>
    <w:rsid w:val="005C52B1"/>
    <w:rsid w:val="005C573D"/>
    <w:rsid w:val="005C580A"/>
    <w:rsid w:val="005C5CFC"/>
    <w:rsid w:val="005C5D6C"/>
    <w:rsid w:val="005C5D86"/>
    <w:rsid w:val="005C5EC0"/>
    <w:rsid w:val="005C6309"/>
    <w:rsid w:val="005C6379"/>
    <w:rsid w:val="005C67DB"/>
    <w:rsid w:val="005C6FC9"/>
    <w:rsid w:val="005C7FC7"/>
    <w:rsid w:val="005D048E"/>
    <w:rsid w:val="005D0722"/>
    <w:rsid w:val="005D0A72"/>
    <w:rsid w:val="005D14D2"/>
    <w:rsid w:val="005D1780"/>
    <w:rsid w:val="005D17C5"/>
    <w:rsid w:val="005D17E1"/>
    <w:rsid w:val="005D19A7"/>
    <w:rsid w:val="005D1A3C"/>
    <w:rsid w:val="005D1C9F"/>
    <w:rsid w:val="005D2123"/>
    <w:rsid w:val="005D213F"/>
    <w:rsid w:val="005D2383"/>
    <w:rsid w:val="005D2A89"/>
    <w:rsid w:val="005D2E1C"/>
    <w:rsid w:val="005D2E42"/>
    <w:rsid w:val="005D3026"/>
    <w:rsid w:val="005D30F6"/>
    <w:rsid w:val="005D4008"/>
    <w:rsid w:val="005D42AE"/>
    <w:rsid w:val="005D4642"/>
    <w:rsid w:val="005D4781"/>
    <w:rsid w:val="005D47C0"/>
    <w:rsid w:val="005D4D89"/>
    <w:rsid w:val="005D4EE3"/>
    <w:rsid w:val="005D51C1"/>
    <w:rsid w:val="005D51F4"/>
    <w:rsid w:val="005D5272"/>
    <w:rsid w:val="005D6026"/>
    <w:rsid w:val="005D6278"/>
    <w:rsid w:val="005D6820"/>
    <w:rsid w:val="005D7666"/>
    <w:rsid w:val="005D7BE6"/>
    <w:rsid w:val="005E00B0"/>
    <w:rsid w:val="005E04A2"/>
    <w:rsid w:val="005E0787"/>
    <w:rsid w:val="005E0C64"/>
    <w:rsid w:val="005E11C1"/>
    <w:rsid w:val="005E16E5"/>
    <w:rsid w:val="005E181B"/>
    <w:rsid w:val="005E1D65"/>
    <w:rsid w:val="005E2DCB"/>
    <w:rsid w:val="005E2E86"/>
    <w:rsid w:val="005E2F01"/>
    <w:rsid w:val="005E34B5"/>
    <w:rsid w:val="005E3703"/>
    <w:rsid w:val="005E3C4E"/>
    <w:rsid w:val="005E3EB3"/>
    <w:rsid w:val="005E408F"/>
    <w:rsid w:val="005E4924"/>
    <w:rsid w:val="005E4952"/>
    <w:rsid w:val="005E4C16"/>
    <w:rsid w:val="005E513E"/>
    <w:rsid w:val="005E54B7"/>
    <w:rsid w:val="005E56F4"/>
    <w:rsid w:val="005E57A2"/>
    <w:rsid w:val="005E64A2"/>
    <w:rsid w:val="005E6915"/>
    <w:rsid w:val="005E6AC4"/>
    <w:rsid w:val="005E6C0A"/>
    <w:rsid w:val="005E7CB5"/>
    <w:rsid w:val="005E7E4C"/>
    <w:rsid w:val="005F03AE"/>
    <w:rsid w:val="005F058E"/>
    <w:rsid w:val="005F0D16"/>
    <w:rsid w:val="005F1260"/>
    <w:rsid w:val="005F1C35"/>
    <w:rsid w:val="005F22DC"/>
    <w:rsid w:val="005F2454"/>
    <w:rsid w:val="005F27C9"/>
    <w:rsid w:val="005F2B23"/>
    <w:rsid w:val="005F370A"/>
    <w:rsid w:val="005F37D9"/>
    <w:rsid w:val="005F37EA"/>
    <w:rsid w:val="005F38A5"/>
    <w:rsid w:val="005F3985"/>
    <w:rsid w:val="005F3C4F"/>
    <w:rsid w:val="005F400B"/>
    <w:rsid w:val="005F47B2"/>
    <w:rsid w:val="005F4D4B"/>
    <w:rsid w:val="005F50C4"/>
    <w:rsid w:val="005F5129"/>
    <w:rsid w:val="005F51B6"/>
    <w:rsid w:val="005F52CC"/>
    <w:rsid w:val="005F573E"/>
    <w:rsid w:val="005F5B70"/>
    <w:rsid w:val="005F5D86"/>
    <w:rsid w:val="005F61DF"/>
    <w:rsid w:val="005F6798"/>
    <w:rsid w:val="005F69D6"/>
    <w:rsid w:val="005F6FD2"/>
    <w:rsid w:val="005F7CC5"/>
    <w:rsid w:val="005F7D6D"/>
    <w:rsid w:val="00600395"/>
    <w:rsid w:val="006005F8"/>
    <w:rsid w:val="00600821"/>
    <w:rsid w:val="006009E2"/>
    <w:rsid w:val="00600D1A"/>
    <w:rsid w:val="0060162C"/>
    <w:rsid w:val="0060163A"/>
    <w:rsid w:val="00601836"/>
    <w:rsid w:val="0060185C"/>
    <w:rsid w:val="00601FAB"/>
    <w:rsid w:val="0060234B"/>
    <w:rsid w:val="006023F9"/>
    <w:rsid w:val="0060282F"/>
    <w:rsid w:val="006028DA"/>
    <w:rsid w:val="00602AF7"/>
    <w:rsid w:val="00602D25"/>
    <w:rsid w:val="00602E20"/>
    <w:rsid w:val="00603455"/>
    <w:rsid w:val="006034CB"/>
    <w:rsid w:val="00603BA9"/>
    <w:rsid w:val="0060430B"/>
    <w:rsid w:val="00604404"/>
    <w:rsid w:val="006049C5"/>
    <w:rsid w:val="006050F2"/>
    <w:rsid w:val="00605564"/>
    <w:rsid w:val="0060578D"/>
    <w:rsid w:val="0060589A"/>
    <w:rsid w:val="00605B8E"/>
    <w:rsid w:val="00605E7A"/>
    <w:rsid w:val="00606457"/>
    <w:rsid w:val="006064CB"/>
    <w:rsid w:val="006066BF"/>
    <w:rsid w:val="00606EAF"/>
    <w:rsid w:val="00606F8B"/>
    <w:rsid w:val="0060761F"/>
    <w:rsid w:val="00607C82"/>
    <w:rsid w:val="00607D55"/>
    <w:rsid w:val="006101FC"/>
    <w:rsid w:val="00610559"/>
    <w:rsid w:val="00610595"/>
    <w:rsid w:val="00610745"/>
    <w:rsid w:val="0061098B"/>
    <w:rsid w:val="00610A3D"/>
    <w:rsid w:val="00610C0B"/>
    <w:rsid w:val="00610D62"/>
    <w:rsid w:val="00611BAC"/>
    <w:rsid w:val="0061243C"/>
    <w:rsid w:val="00612693"/>
    <w:rsid w:val="00612717"/>
    <w:rsid w:val="0061318F"/>
    <w:rsid w:val="006131BF"/>
    <w:rsid w:val="006133C2"/>
    <w:rsid w:val="00613429"/>
    <w:rsid w:val="00613715"/>
    <w:rsid w:val="00613795"/>
    <w:rsid w:val="00614076"/>
    <w:rsid w:val="0061436F"/>
    <w:rsid w:val="0061559F"/>
    <w:rsid w:val="006155B1"/>
    <w:rsid w:val="00615A2B"/>
    <w:rsid w:val="006168C2"/>
    <w:rsid w:val="006177D7"/>
    <w:rsid w:val="006203FF"/>
    <w:rsid w:val="00620E90"/>
    <w:rsid w:val="00621071"/>
    <w:rsid w:val="00621486"/>
    <w:rsid w:val="00621A50"/>
    <w:rsid w:val="0062267D"/>
    <w:rsid w:val="006227B4"/>
    <w:rsid w:val="006231CB"/>
    <w:rsid w:val="00623215"/>
    <w:rsid w:val="00623D87"/>
    <w:rsid w:val="00623DE0"/>
    <w:rsid w:val="00623EDF"/>
    <w:rsid w:val="0062457E"/>
    <w:rsid w:val="006246B9"/>
    <w:rsid w:val="0062497D"/>
    <w:rsid w:val="00624D60"/>
    <w:rsid w:val="0062520A"/>
    <w:rsid w:val="00625563"/>
    <w:rsid w:val="00625A6B"/>
    <w:rsid w:val="00626048"/>
    <w:rsid w:val="006261B0"/>
    <w:rsid w:val="006263BA"/>
    <w:rsid w:val="006264C5"/>
    <w:rsid w:val="006265CC"/>
    <w:rsid w:val="00627798"/>
    <w:rsid w:val="00627924"/>
    <w:rsid w:val="00627A53"/>
    <w:rsid w:val="0062A8FF"/>
    <w:rsid w:val="00630025"/>
    <w:rsid w:val="0063007F"/>
    <w:rsid w:val="00630270"/>
    <w:rsid w:val="006303EB"/>
    <w:rsid w:val="006305FA"/>
    <w:rsid w:val="00630D3E"/>
    <w:rsid w:val="0063164B"/>
    <w:rsid w:val="00631F5A"/>
    <w:rsid w:val="006320D4"/>
    <w:rsid w:val="0063225C"/>
    <w:rsid w:val="00632572"/>
    <w:rsid w:val="00632BDD"/>
    <w:rsid w:val="00632E6D"/>
    <w:rsid w:val="00632F2E"/>
    <w:rsid w:val="0063303C"/>
    <w:rsid w:val="006332F6"/>
    <w:rsid w:val="00633BD1"/>
    <w:rsid w:val="00633CD2"/>
    <w:rsid w:val="00633DF3"/>
    <w:rsid w:val="00634006"/>
    <w:rsid w:val="006340C8"/>
    <w:rsid w:val="006341BA"/>
    <w:rsid w:val="006345A9"/>
    <w:rsid w:val="006345D5"/>
    <w:rsid w:val="00634C19"/>
    <w:rsid w:val="00634D78"/>
    <w:rsid w:val="006356FA"/>
    <w:rsid w:val="00635C88"/>
    <w:rsid w:val="00635D20"/>
    <w:rsid w:val="00635D72"/>
    <w:rsid w:val="00637628"/>
    <w:rsid w:val="006377C6"/>
    <w:rsid w:val="00637972"/>
    <w:rsid w:val="006379B1"/>
    <w:rsid w:val="00637CB9"/>
    <w:rsid w:val="0064051F"/>
    <w:rsid w:val="00640D67"/>
    <w:rsid w:val="00640E33"/>
    <w:rsid w:val="006413F2"/>
    <w:rsid w:val="0064142F"/>
    <w:rsid w:val="00641E7C"/>
    <w:rsid w:val="00643890"/>
    <w:rsid w:val="00643A37"/>
    <w:rsid w:val="00643CD1"/>
    <w:rsid w:val="0064403D"/>
    <w:rsid w:val="00644499"/>
    <w:rsid w:val="006448DD"/>
    <w:rsid w:val="006449D2"/>
    <w:rsid w:val="00644AF6"/>
    <w:rsid w:val="00644C27"/>
    <w:rsid w:val="00644C3E"/>
    <w:rsid w:val="006450DE"/>
    <w:rsid w:val="00645D11"/>
    <w:rsid w:val="00645DEA"/>
    <w:rsid w:val="0064604D"/>
    <w:rsid w:val="00646695"/>
    <w:rsid w:val="00646704"/>
    <w:rsid w:val="0064696B"/>
    <w:rsid w:val="00646F5E"/>
    <w:rsid w:val="00647427"/>
    <w:rsid w:val="006476FB"/>
    <w:rsid w:val="00647ABE"/>
    <w:rsid w:val="00650118"/>
    <w:rsid w:val="00650796"/>
    <w:rsid w:val="00650886"/>
    <w:rsid w:val="00650B93"/>
    <w:rsid w:val="006518E4"/>
    <w:rsid w:val="006519BF"/>
    <w:rsid w:val="00651DF7"/>
    <w:rsid w:val="0065200A"/>
    <w:rsid w:val="00652505"/>
    <w:rsid w:val="006527C0"/>
    <w:rsid w:val="00652D00"/>
    <w:rsid w:val="00652E0B"/>
    <w:rsid w:val="006534B2"/>
    <w:rsid w:val="006537F3"/>
    <w:rsid w:val="00653811"/>
    <w:rsid w:val="00653B10"/>
    <w:rsid w:val="00653CB7"/>
    <w:rsid w:val="0065494A"/>
    <w:rsid w:val="00654B78"/>
    <w:rsid w:val="00654C3B"/>
    <w:rsid w:val="00654D7B"/>
    <w:rsid w:val="00654E41"/>
    <w:rsid w:val="006550F6"/>
    <w:rsid w:val="006551C0"/>
    <w:rsid w:val="006551E3"/>
    <w:rsid w:val="00655523"/>
    <w:rsid w:val="0065558D"/>
    <w:rsid w:val="00655C33"/>
    <w:rsid w:val="0065615D"/>
    <w:rsid w:val="006561E3"/>
    <w:rsid w:val="00656215"/>
    <w:rsid w:val="00656499"/>
    <w:rsid w:val="00656CB2"/>
    <w:rsid w:val="00657011"/>
    <w:rsid w:val="00657869"/>
    <w:rsid w:val="00657974"/>
    <w:rsid w:val="00657E36"/>
    <w:rsid w:val="00657F73"/>
    <w:rsid w:val="00657F82"/>
    <w:rsid w:val="00657F9F"/>
    <w:rsid w:val="00661229"/>
    <w:rsid w:val="006614AE"/>
    <w:rsid w:val="0066364D"/>
    <w:rsid w:val="00663B00"/>
    <w:rsid w:val="00663E43"/>
    <w:rsid w:val="0066444A"/>
    <w:rsid w:val="00664B2A"/>
    <w:rsid w:val="00664C11"/>
    <w:rsid w:val="00664F59"/>
    <w:rsid w:val="006650B5"/>
    <w:rsid w:val="006651B1"/>
    <w:rsid w:val="0066530B"/>
    <w:rsid w:val="0066557D"/>
    <w:rsid w:val="0066559F"/>
    <w:rsid w:val="00665778"/>
    <w:rsid w:val="00665949"/>
    <w:rsid w:val="006659AE"/>
    <w:rsid w:val="00665FA6"/>
    <w:rsid w:val="0066610E"/>
    <w:rsid w:val="00666577"/>
    <w:rsid w:val="0066672B"/>
    <w:rsid w:val="00667111"/>
    <w:rsid w:val="00667546"/>
    <w:rsid w:val="0067018E"/>
    <w:rsid w:val="00670293"/>
    <w:rsid w:val="006706CC"/>
    <w:rsid w:val="00670CFD"/>
    <w:rsid w:val="006719D6"/>
    <w:rsid w:val="00671AA7"/>
    <w:rsid w:val="006722EE"/>
    <w:rsid w:val="006728BB"/>
    <w:rsid w:val="00672E9A"/>
    <w:rsid w:val="006735AC"/>
    <w:rsid w:val="00673A37"/>
    <w:rsid w:val="00673BC4"/>
    <w:rsid w:val="00673C84"/>
    <w:rsid w:val="00673F00"/>
    <w:rsid w:val="00673F38"/>
    <w:rsid w:val="00674082"/>
    <w:rsid w:val="006745B2"/>
    <w:rsid w:val="00674904"/>
    <w:rsid w:val="00674D5E"/>
    <w:rsid w:val="00674E3A"/>
    <w:rsid w:val="00674FCA"/>
    <w:rsid w:val="0067559F"/>
    <w:rsid w:val="00675AC3"/>
    <w:rsid w:val="00675FA0"/>
    <w:rsid w:val="0067607C"/>
    <w:rsid w:val="00676C77"/>
    <w:rsid w:val="00676D7F"/>
    <w:rsid w:val="00676E5F"/>
    <w:rsid w:val="00677384"/>
    <w:rsid w:val="006779B5"/>
    <w:rsid w:val="00677C17"/>
    <w:rsid w:val="00677D2A"/>
    <w:rsid w:val="00680043"/>
    <w:rsid w:val="006803DB"/>
    <w:rsid w:val="00680547"/>
    <w:rsid w:val="006806A3"/>
    <w:rsid w:val="006816A7"/>
    <w:rsid w:val="00681F0E"/>
    <w:rsid w:val="00682160"/>
    <w:rsid w:val="00682214"/>
    <w:rsid w:val="00682A38"/>
    <w:rsid w:val="00682AB2"/>
    <w:rsid w:val="00682D54"/>
    <w:rsid w:val="00683161"/>
    <w:rsid w:val="00683969"/>
    <w:rsid w:val="0068419A"/>
    <w:rsid w:val="006841B6"/>
    <w:rsid w:val="006842E8"/>
    <w:rsid w:val="0068483C"/>
    <w:rsid w:val="0068489D"/>
    <w:rsid w:val="006853B2"/>
    <w:rsid w:val="0068559C"/>
    <w:rsid w:val="006855EA"/>
    <w:rsid w:val="006855FE"/>
    <w:rsid w:val="00685850"/>
    <w:rsid w:val="00685985"/>
    <w:rsid w:val="006859E3"/>
    <w:rsid w:val="00685B9F"/>
    <w:rsid w:val="00685C25"/>
    <w:rsid w:val="00685D6F"/>
    <w:rsid w:val="00685E8B"/>
    <w:rsid w:val="00685E99"/>
    <w:rsid w:val="00686559"/>
    <w:rsid w:val="00686872"/>
    <w:rsid w:val="0068693B"/>
    <w:rsid w:val="00687244"/>
    <w:rsid w:val="00687718"/>
    <w:rsid w:val="00687876"/>
    <w:rsid w:val="00687900"/>
    <w:rsid w:val="00690780"/>
    <w:rsid w:val="00690790"/>
    <w:rsid w:val="006907AE"/>
    <w:rsid w:val="00690AA3"/>
    <w:rsid w:val="006917FD"/>
    <w:rsid w:val="00692788"/>
    <w:rsid w:val="00692991"/>
    <w:rsid w:val="00692E1E"/>
    <w:rsid w:val="0069325F"/>
    <w:rsid w:val="0069390F"/>
    <w:rsid w:val="00693959"/>
    <w:rsid w:val="00693CBE"/>
    <w:rsid w:val="00693E26"/>
    <w:rsid w:val="00693EC8"/>
    <w:rsid w:val="00693FAE"/>
    <w:rsid w:val="006947D7"/>
    <w:rsid w:val="00694891"/>
    <w:rsid w:val="00694BDF"/>
    <w:rsid w:val="00694FC5"/>
    <w:rsid w:val="0069521B"/>
    <w:rsid w:val="00695C34"/>
    <w:rsid w:val="00696314"/>
    <w:rsid w:val="00696684"/>
    <w:rsid w:val="006972D1"/>
    <w:rsid w:val="006974F6"/>
    <w:rsid w:val="00697C53"/>
    <w:rsid w:val="00697D2D"/>
    <w:rsid w:val="00697FC1"/>
    <w:rsid w:val="006A00F4"/>
    <w:rsid w:val="006A01E5"/>
    <w:rsid w:val="006A12FD"/>
    <w:rsid w:val="006A1CC1"/>
    <w:rsid w:val="006A1CD3"/>
    <w:rsid w:val="006A2044"/>
    <w:rsid w:val="006A20AA"/>
    <w:rsid w:val="006A2263"/>
    <w:rsid w:val="006A2532"/>
    <w:rsid w:val="006A25AD"/>
    <w:rsid w:val="006A2A57"/>
    <w:rsid w:val="006A2BC3"/>
    <w:rsid w:val="006A2D20"/>
    <w:rsid w:val="006A3183"/>
    <w:rsid w:val="006A3309"/>
    <w:rsid w:val="006A3338"/>
    <w:rsid w:val="006A3507"/>
    <w:rsid w:val="006A3795"/>
    <w:rsid w:val="006A389C"/>
    <w:rsid w:val="006A395D"/>
    <w:rsid w:val="006A41A2"/>
    <w:rsid w:val="006A4575"/>
    <w:rsid w:val="006A4662"/>
    <w:rsid w:val="006A4BD2"/>
    <w:rsid w:val="006A4D03"/>
    <w:rsid w:val="006A5300"/>
    <w:rsid w:val="006A5640"/>
    <w:rsid w:val="006A5B34"/>
    <w:rsid w:val="006A5D5E"/>
    <w:rsid w:val="006A5EC9"/>
    <w:rsid w:val="006A67BE"/>
    <w:rsid w:val="006A6A1E"/>
    <w:rsid w:val="006A6BE7"/>
    <w:rsid w:val="006A6F14"/>
    <w:rsid w:val="006A7124"/>
    <w:rsid w:val="006A7247"/>
    <w:rsid w:val="006A77FA"/>
    <w:rsid w:val="006A7B9A"/>
    <w:rsid w:val="006B02FF"/>
    <w:rsid w:val="006B03C3"/>
    <w:rsid w:val="006B0FBD"/>
    <w:rsid w:val="006B1CDC"/>
    <w:rsid w:val="006B1FA1"/>
    <w:rsid w:val="006B21A7"/>
    <w:rsid w:val="006B2345"/>
    <w:rsid w:val="006B3675"/>
    <w:rsid w:val="006B373B"/>
    <w:rsid w:val="006B3BDA"/>
    <w:rsid w:val="006B401A"/>
    <w:rsid w:val="006B4182"/>
    <w:rsid w:val="006B4234"/>
    <w:rsid w:val="006B496E"/>
    <w:rsid w:val="006B4F86"/>
    <w:rsid w:val="006B563F"/>
    <w:rsid w:val="006B5C20"/>
    <w:rsid w:val="006B5C58"/>
    <w:rsid w:val="006B5C6D"/>
    <w:rsid w:val="006B5D13"/>
    <w:rsid w:val="006B6091"/>
    <w:rsid w:val="006B61A1"/>
    <w:rsid w:val="006B624C"/>
    <w:rsid w:val="006B628F"/>
    <w:rsid w:val="006B642D"/>
    <w:rsid w:val="006B64B3"/>
    <w:rsid w:val="006B6C1C"/>
    <w:rsid w:val="006B7E12"/>
    <w:rsid w:val="006C00B1"/>
    <w:rsid w:val="006C0872"/>
    <w:rsid w:val="006C0D9B"/>
    <w:rsid w:val="006C103F"/>
    <w:rsid w:val="006C172F"/>
    <w:rsid w:val="006C1F01"/>
    <w:rsid w:val="006C21B8"/>
    <w:rsid w:val="006C2886"/>
    <w:rsid w:val="006C29B8"/>
    <w:rsid w:val="006C2A19"/>
    <w:rsid w:val="006C2A20"/>
    <w:rsid w:val="006C33C2"/>
    <w:rsid w:val="006C3BE3"/>
    <w:rsid w:val="006C4207"/>
    <w:rsid w:val="006C4334"/>
    <w:rsid w:val="006C4693"/>
    <w:rsid w:val="006C520A"/>
    <w:rsid w:val="006C548F"/>
    <w:rsid w:val="006C5744"/>
    <w:rsid w:val="006C5E48"/>
    <w:rsid w:val="006C5FCD"/>
    <w:rsid w:val="006C6A8C"/>
    <w:rsid w:val="006C6FD3"/>
    <w:rsid w:val="006C7192"/>
    <w:rsid w:val="006C728C"/>
    <w:rsid w:val="006C77A9"/>
    <w:rsid w:val="006C793C"/>
    <w:rsid w:val="006C7B37"/>
    <w:rsid w:val="006C7B97"/>
    <w:rsid w:val="006C7EB1"/>
    <w:rsid w:val="006D061A"/>
    <w:rsid w:val="006D099E"/>
    <w:rsid w:val="006D110E"/>
    <w:rsid w:val="006D1736"/>
    <w:rsid w:val="006D18A2"/>
    <w:rsid w:val="006D1A01"/>
    <w:rsid w:val="006D1A1F"/>
    <w:rsid w:val="006D1E2C"/>
    <w:rsid w:val="006D24B8"/>
    <w:rsid w:val="006D2531"/>
    <w:rsid w:val="006D296C"/>
    <w:rsid w:val="006D2D02"/>
    <w:rsid w:val="006D3034"/>
    <w:rsid w:val="006D32D4"/>
    <w:rsid w:val="006D3836"/>
    <w:rsid w:val="006D3ACC"/>
    <w:rsid w:val="006D3B61"/>
    <w:rsid w:val="006D4507"/>
    <w:rsid w:val="006D4720"/>
    <w:rsid w:val="006D4B72"/>
    <w:rsid w:val="006D4BB6"/>
    <w:rsid w:val="006D4E8A"/>
    <w:rsid w:val="006D4EEB"/>
    <w:rsid w:val="006D4F19"/>
    <w:rsid w:val="006D5644"/>
    <w:rsid w:val="006D58C6"/>
    <w:rsid w:val="006D5C23"/>
    <w:rsid w:val="006D6560"/>
    <w:rsid w:val="006D6840"/>
    <w:rsid w:val="006D6AE7"/>
    <w:rsid w:val="006D6D68"/>
    <w:rsid w:val="006D72D5"/>
    <w:rsid w:val="006D74D4"/>
    <w:rsid w:val="006D77A9"/>
    <w:rsid w:val="006D7B44"/>
    <w:rsid w:val="006E06F5"/>
    <w:rsid w:val="006E0855"/>
    <w:rsid w:val="006E0A97"/>
    <w:rsid w:val="006E0B08"/>
    <w:rsid w:val="006E16E6"/>
    <w:rsid w:val="006E1A13"/>
    <w:rsid w:val="006E1BAE"/>
    <w:rsid w:val="006E1F26"/>
    <w:rsid w:val="006E23FA"/>
    <w:rsid w:val="006E2582"/>
    <w:rsid w:val="006E25D4"/>
    <w:rsid w:val="006E2884"/>
    <w:rsid w:val="006E3042"/>
    <w:rsid w:val="006E3187"/>
    <w:rsid w:val="006E3266"/>
    <w:rsid w:val="006E33A4"/>
    <w:rsid w:val="006E3642"/>
    <w:rsid w:val="006E37C1"/>
    <w:rsid w:val="006E39D2"/>
    <w:rsid w:val="006E3A96"/>
    <w:rsid w:val="006E410E"/>
    <w:rsid w:val="006E4530"/>
    <w:rsid w:val="006E473B"/>
    <w:rsid w:val="006E4790"/>
    <w:rsid w:val="006E4C97"/>
    <w:rsid w:val="006E4D3C"/>
    <w:rsid w:val="006E4F29"/>
    <w:rsid w:val="006E521B"/>
    <w:rsid w:val="006E5F3B"/>
    <w:rsid w:val="006E63D3"/>
    <w:rsid w:val="006E66D9"/>
    <w:rsid w:val="006E67D2"/>
    <w:rsid w:val="006E6835"/>
    <w:rsid w:val="006E6924"/>
    <w:rsid w:val="006E6CDF"/>
    <w:rsid w:val="006E6E23"/>
    <w:rsid w:val="006E7690"/>
    <w:rsid w:val="006E79C9"/>
    <w:rsid w:val="006E7CB8"/>
    <w:rsid w:val="006E7F91"/>
    <w:rsid w:val="006F0078"/>
    <w:rsid w:val="006F0231"/>
    <w:rsid w:val="006F02D7"/>
    <w:rsid w:val="006F0436"/>
    <w:rsid w:val="006F0F2E"/>
    <w:rsid w:val="006F1005"/>
    <w:rsid w:val="006F1065"/>
    <w:rsid w:val="006F1124"/>
    <w:rsid w:val="006F168D"/>
    <w:rsid w:val="006F16CD"/>
    <w:rsid w:val="006F1756"/>
    <w:rsid w:val="006F1AA2"/>
    <w:rsid w:val="006F2076"/>
    <w:rsid w:val="006F20B3"/>
    <w:rsid w:val="006F20FA"/>
    <w:rsid w:val="006F2547"/>
    <w:rsid w:val="006F256F"/>
    <w:rsid w:val="006F2A14"/>
    <w:rsid w:val="006F2A2F"/>
    <w:rsid w:val="006F2D8D"/>
    <w:rsid w:val="006F2D95"/>
    <w:rsid w:val="006F314F"/>
    <w:rsid w:val="006F32DF"/>
    <w:rsid w:val="006F3324"/>
    <w:rsid w:val="006F333C"/>
    <w:rsid w:val="006F339E"/>
    <w:rsid w:val="006F35E6"/>
    <w:rsid w:val="006F379C"/>
    <w:rsid w:val="006F37F2"/>
    <w:rsid w:val="006F4199"/>
    <w:rsid w:val="006F42E6"/>
    <w:rsid w:val="006F453C"/>
    <w:rsid w:val="006F4A07"/>
    <w:rsid w:val="006F4A2B"/>
    <w:rsid w:val="006F4B89"/>
    <w:rsid w:val="006F4D99"/>
    <w:rsid w:val="006F5029"/>
    <w:rsid w:val="006F557B"/>
    <w:rsid w:val="006F5968"/>
    <w:rsid w:val="006F5973"/>
    <w:rsid w:val="006F6693"/>
    <w:rsid w:val="006F6D7D"/>
    <w:rsid w:val="006F6D9D"/>
    <w:rsid w:val="006F6F5C"/>
    <w:rsid w:val="006F72E0"/>
    <w:rsid w:val="006F7775"/>
    <w:rsid w:val="006F79FD"/>
    <w:rsid w:val="006F7F00"/>
    <w:rsid w:val="007004D3"/>
    <w:rsid w:val="007004FB"/>
    <w:rsid w:val="007006B2"/>
    <w:rsid w:val="007006C4"/>
    <w:rsid w:val="00700D19"/>
    <w:rsid w:val="00701263"/>
    <w:rsid w:val="0070185D"/>
    <w:rsid w:val="00701A8A"/>
    <w:rsid w:val="00702128"/>
    <w:rsid w:val="00702443"/>
    <w:rsid w:val="00702664"/>
    <w:rsid w:val="00702887"/>
    <w:rsid w:val="00702A25"/>
    <w:rsid w:val="00702A27"/>
    <w:rsid w:val="00703FFC"/>
    <w:rsid w:val="00704646"/>
    <w:rsid w:val="00704B3C"/>
    <w:rsid w:val="00704FA3"/>
    <w:rsid w:val="00705039"/>
    <w:rsid w:val="00705A9E"/>
    <w:rsid w:val="00705B8F"/>
    <w:rsid w:val="00705C88"/>
    <w:rsid w:val="00705DDA"/>
    <w:rsid w:val="00706048"/>
    <w:rsid w:val="00706125"/>
    <w:rsid w:val="007068B9"/>
    <w:rsid w:val="007068E3"/>
    <w:rsid w:val="00706A8A"/>
    <w:rsid w:val="00707736"/>
    <w:rsid w:val="0070774A"/>
    <w:rsid w:val="007078BD"/>
    <w:rsid w:val="00707A52"/>
    <w:rsid w:val="00707B0D"/>
    <w:rsid w:val="00707C4B"/>
    <w:rsid w:val="00707F96"/>
    <w:rsid w:val="00707FE8"/>
    <w:rsid w:val="00710461"/>
    <w:rsid w:val="007104A5"/>
    <w:rsid w:val="007105E6"/>
    <w:rsid w:val="00710A0D"/>
    <w:rsid w:val="00711291"/>
    <w:rsid w:val="0071164C"/>
    <w:rsid w:val="00711A2C"/>
    <w:rsid w:val="00711CCB"/>
    <w:rsid w:val="0071213E"/>
    <w:rsid w:val="00712358"/>
    <w:rsid w:val="0071286A"/>
    <w:rsid w:val="00712D29"/>
    <w:rsid w:val="00712F26"/>
    <w:rsid w:val="0071303B"/>
    <w:rsid w:val="0071328B"/>
    <w:rsid w:val="00713522"/>
    <w:rsid w:val="007138B4"/>
    <w:rsid w:val="0071390E"/>
    <w:rsid w:val="0071393E"/>
    <w:rsid w:val="0071453A"/>
    <w:rsid w:val="007145FD"/>
    <w:rsid w:val="00714883"/>
    <w:rsid w:val="00714998"/>
    <w:rsid w:val="00714A72"/>
    <w:rsid w:val="00714AAE"/>
    <w:rsid w:val="00714AEA"/>
    <w:rsid w:val="0071532E"/>
    <w:rsid w:val="00715605"/>
    <w:rsid w:val="007158E4"/>
    <w:rsid w:val="0071652D"/>
    <w:rsid w:val="00716A27"/>
    <w:rsid w:val="00716AA3"/>
    <w:rsid w:val="00716E63"/>
    <w:rsid w:val="00716EBC"/>
    <w:rsid w:val="0071722B"/>
    <w:rsid w:val="00717390"/>
    <w:rsid w:val="0072002B"/>
    <w:rsid w:val="0072032B"/>
    <w:rsid w:val="0072036F"/>
    <w:rsid w:val="00721253"/>
    <w:rsid w:val="00721837"/>
    <w:rsid w:val="00722048"/>
    <w:rsid w:val="007222BB"/>
    <w:rsid w:val="00722637"/>
    <w:rsid w:val="007234AD"/>
    <w:rsid w:val="007235A1"/>
    <w:rsid w:val="00723D86"/>
    <w:rsid w:val="00723E47"/>
    <w:rsid w:val="0072412B"/>
    <w:rsid w:val="00724275"/>
    <w:rsid w:val="00724962"/>
    <w:rsid w:val="00724A0F"/>
    <w:rsid w:val="00724AEC"/>
    <w:rsid w:val="0072514B"/>
    <w:rsid w:val="00725196"/>
    <w:rsid w:val="007255A3"/>
    <w:rsid w:val="00725A48"/>
    <w:rsid w:val="00725B2C"/>
    <w:rsid w:val="0072627C"/>
    <w:rsid w:val="00726747"/>
    <w:rsid w:val="00726A85"/>
    <w:rsid w:val="00726D2F"/>
    <w:rsid w:val="00727158"/>
    <w:rsid w:val="0072747D"/>
    <w:rsid w:val="007278BF"/>
    <w:rsid w:val="00727AF6"/>
    <w:rsid w:val="00727F9F"/>
    <w:rsid w:val="007303D5"/>
    <w:rsid w:val="007303F8"/>
    <w:rsid w:val="007306BD"/>
    <w:rsid w:val="00731C2F"/>
    <w:rsid w:val="007321F5"/>
    <w:rsid w:val="007325BB"/>
    <w:rsid w:val="007334C6"/>
    <w:rsid w:val="007335AF"/>
    <w:rsid w:val="00733A02"/>
    <w:rsid w:val="00733BA3"/>
    <w:rsid w:val="00733F22"/>
    <w:rsid w:val="0073449C"/>
    <w:rsid w:val="00734650"/>
    <w:rsid w:val="00734EB9"/>
    <w:rsid w:val="00734EDF"/>
    <w:rsid w:val="007350AF"/>
    <w:rsid w:val="007353A9"/>
    <w:rsid w:val="007357FC"/>
    <w:rsid w:val="00735E24"/>
    <w:rsid w:val="00736285"/>
    <w:rsid w:val="00736434"/>
    <w:rsid w:val="00736732"/>
    <w:rsid w:val="007368F6"/>
    <w:rsid w:val="00736982"/>
    <w:rsid w:val="00736D39"/>
    <w:rsid w:val="00737537"/>
    <w:rsid w:val="00737D91"/>
    <w:rsid w:val="007403E3"/>
    <w:rsid w:val="0074064A"/>
    <w:rsid w:val="007406AB"/>
    <w:rsid w:val="007407F8"/>
    <w:rsid w:val="00740E2D"/>
    <w:rsid w:val="0074127D"/>
    <w:rsid w:val="007417ED"/>
    <w:rsid w:val="00741848"/>
    <w:rsid w:val="007425F0"/>
    <w:rsid w:val="00742860"/>
    <w:rsid w:val="00742E78"/>
    <w:rsid w:val="00742F1F"/>
    <w:rsid w:val="00742F4E"/>
    <w:rsid w:val="00743374"/>
    <w:rsid w:val="00743655"/>
    <w:rsid w:val="007442B1"/>
    <w:rsid w:val="00744CD0"/>
    <w:rsid w:val="007451DD"/>
    <w:rsid w:val="007455AA"/>
    <w:rsid w:val="007457C0"/>
    <w:rsid w:val="00745FE7"/>
    <w:rsid w:val="0074600B"/>
    <w:rsid w:val="00746426"/>
    <w:rsid w:val="00746427"/>
    <w:rsid w:val="00746952"/>
    <w:rsid w:val="00746C2C"/>
    <w:rsid w:val="0074750B"/>
    <w:rsid w:val="00747649"/>
    <w:rsid w:val="00747EF4"/>
    <w:rsid w:val="00750060"/>
    <w:rsid w:val="00750146"/>
    <w:rsid w:val="00750BF9"/>
    <w:rsid w:val="00750CBE"/>
    <w:rsid w:val="00750D7C"/>
    <w:rsid w:val="00750E4D"/>
    <w:rsid w:val="00750ECF"/>
    <w:rsid w:val="007510BB"/>
    <w:rsid w:val="00751187"/>
    <w:rsid w:val="00751232"/>
    <w:rsid w:val="007513F3"/>
    <w:rsid w:val="00751681"/>
    <w:rsid w:val="0075171F"/>
    <w:rsid w:val="00751854"/>
    <w:rsid w:val="00751925"/>
    <w:rsid w:val="00751C6D"/>
    <w:rsid w:val="00751CD2"/>
    <w:rsid w:val="0075246B"/>
    <w:rsid w:val="00752C6A"/>
    <w:rsid w:val="0075307D"/>
    <w:rsid w:val="007531F8"/>
    <w:rsid w:val="007534D2"/>
    <w:rsid w:val="007536BE"/>
    <w:rsid w:val="00753855"/>
    <w:rsid w:val="00754119"/>
    <w:rsid w:val="0075451C"/>
    <w:rsid w:val="0075464B"/>
    <w:rsid w:val="007546E7"/>
    <w:rsid w:val="00754F11"/>
    <w:rsid w:val="00754F70"/>
    <w:rsid w:val="00755099"/>
    <w:rsid w:val="00755126"/>
    <w:rsid w:val="00755802"/>
    <w:rsid w:val="00755B15"/>
    <w:rsid w:val="0075654F"/>
    <w:rsid w:val="00757141"/>
    <w:rsid w:val="00757305"/>
    <w:rsid w:val="00757551"/>
    <w:rsid w:val="00757829"/>
    <w:rsid w:val="007579E4"/>
    <w:rsid w:val="00760846"/>
    <w:rsid w:val="00760968"/>
    <w:rsid w:val="00760974"/>
    <w:rsid w:val="00761794"/>
    <w:rsid w:val="00761F3F"/>
    <w:rsid w:val="00762470"/>
    <w:rsid w:val="00762589"/>
    <w:rsid w:val="00762DB6"/>
    <w:rsid w:val="0076301A"/>
    <w:rsid w:val="00763ADE"/>
    <w:rsid w:val="00764452"/>
    <w:rsid w:val="007648BB"/>
    <w:rsid w:val="00764995"/>
    <w:rsid w:val="00764DF6"/>
    <w:rsid w:val="00764EC1"/>
    <w:rsid w:val="007650D2"/>
    <w:rsid w:val="0076586C"/>
    <w:rsid w:val="0076586F"/>
    <w:rsid w:val="007659DA"/>
    <w:rsid w:val="0076621B"/>
    <w:rsid w:val="00766345"/>
    <w:rsid w:val="00766B5A"/>
    <w:rsid w:val="00766D89"/>
    <w:rsid w:val="007674B4"/>
    <w:rsid w:val="00767CBB"/>
    <w:rsid w:val="00767CFD"/>
    <w:rsid w:val="007702B2"/>
    <w:rsid w:val="00770304"/>
    <w:rsid w:val="00770A81"/>
    <w:rsid w:val="00770DA6"/>
    <w:rsid w:val="00770E78"/>
    <w:rsid w:val="00770ED4"/>
    <w:rsid w:val="0077138D"/>
    <w:rsid w:val="00771877"/>
    <w:rsid w:val="00771C01"/>
    <w:rsid w:val="00771F61"/>
    <w:rsid w:val="007726FA"/>
    <w:rsid w:val="00772716"/>
    <w:rsid w:val="00772ADC"/>
    <w:rsid w:val="00773272"/>
    <w:rsid w:val="00773AC7"/>
    <w:rsid w:val="007743BE"/>
    <w:rsid w:val="00774738"/>
    <w:rsid w:val="00774CFE"/>
    <w:rsid w:val="00774DC2"/>
    <w:rsid w:val="007752A1"/>
    <w:rsid w:val="00775647"/>
    <w:rsid w:val="007758E7"/>
    <w:rsid w:val="00775D2F"/>
    <w:rsid w:val="00775F80"/>
    <w:rsid w:val="00776778"/>
    <w:rsid w:val="00776924"/>
    <w:rsid w:val="00776FCA"/>
    <w:rsid w:val="00777082"/>
    <w:rsid w:val="007770A5"/>
    <w:rsid w:val="00777217"/>
    <w:rsid w:val="0077730C"/>
    <w:rsid w:val="00777436"/>
    <w:rsid w:val="007774E7"/>
    <w:rsid w:val="007776C4"/>
    <w:rsid w:val="0077795B"/>
    <w:rsid w:val="00777C64"/>
    <w:rsid w:val="00777E4C"/>
    <w:rsid w:val="0077B8D0"/>
    <w:rsid w:val="0078004E"/>
    <w:rsid w:val="0078009A"/>
    <w:rsid w:val="0078059E"/>
    <w:rsid w:val="00780868"/>
    <w:rsid w:val="00780CEC"/>
    <w:rsid w:val="00780F7E"/>
    <w:rsid w:val="00780F93"/>
    <w:rsid w:val="007811D0"/>
    <w:rsid w:val="00781314"/>
    <w:rsid w:val="0078147E"/>
    <w:rsid w:val="00781B29"/>
    <w:rsid w:val="00781C4F"/>
    <w:rsid w:val="00781C61"/>
    <w:rsid w:val="007832E6"/>
    <w:rsid w:val="0078343E"/>
    <w:rsid w:val="007834F2"/>
    <w:rsid w:val="0078370D"/>
    <w:rsid w:val="0078398F"/>
    <w:rsid w:val="007839D2"/>
    <w:rsid w:val="00783BC0"/>
    <w:rsid w:val="00783C45"/>
    <w:rsid w:val="007841D3"/>
    <w:rsid w:val="00784509"/>
    <w:rsid w:val="007845BF"/>
    <w:rsid w:val="00784705"/>
    <w:rsid w:val="00784D59"/>
    <w:rsid w:val="00784F3E"/>
    <w:rsid w:val="0078582D"/>
    <w:rsid w:val="00785D7D"/>
    <w:rsid w:val="00785FC6"/>
    <w:rsid w:val="007862DB"/>
    <w:rsid w:val="007864A7"/>
    <w:rsid w:val="00786CD6"/>
    <w:rsid w:val="00786F57"/>
    <w:rsid w:val="007877AE"/>
    <w:rsid w:val="00787803"/>
    <w:rsid w:val="00790007"/>
    <w:rsid w:val="0079094A"/>
    <w:rsid w:val="00790B5E"/>
    <w:rsid w:val="00790DFF"/>
    <w:rsid w:val="00791020"/>
    <w:rsid w:val="007914E7"/>
    <w:rsid w:val="0079165B"/>
    <w:rsid w:val="0079171F"/>
    <w:rsid w:val="00791A99"/>
    <w:rsid w:val="00791B15"/>
    <w:rsid w:val="00791B7A"/>
    <w:rsid w:val="00791C7E"/>
    <w:rsid w:val="0079229E"/>
    <w:rsid w:val="00792498"/>
    <w:rsid w:val="00792991"/>
    <w:rsid w:val="007929B7"/>
    <w:rsid w:val="00792A7E"/>
    <w:rsid w:val="00792E4C"/>
    <w:rsid w:val="00792F01"/>
    <w:rsid w:val="00792F66"/>
    <w:rsid w:val="007931E1"/>
    <w:rsid w:val="00793830"/>
    <w:rsid w:val="0079396D"/>
    <w:rsid w:val="007939E9"/>
    <w:rsid w:val="00793E07"/>
    <w:rsid w:val="00794733"/>
    <w:rsid w:val="00794A24"/>
    <w:rsid w:val="0079539B"/>
    <w:rsid w:val="00795504"/>
    <w:rsid w:val="00795547"/>
    <w:rsid w:val="00795559"/>
    <w:rsid w:val="007955B0"/>
    <w:rsid w:val="00795827"/>
    <w:rsid w:val="00795D64"/>
    <w:rsid w:val="0079603F"/>
    <w:rsid w:val="007960BF"/>
    <w:rsid w:val="007962C5"/>
    <w:rsid w:val="00796FEB"/>
    <w:rsid w:val="00797386"/>
    <w:rsid w:val="00797641"/>
    <w:rsid w:val="00797DCE"/>
    <w:rsid w:val="00797F8B"/>
    <w:rsid w:val="007A0079"/>
    <w:rsid w:val="007A01C0"/>
    <w:rsid w:val="007A02C7"/>
    <w:rsid w:val="007A04D2"/>
    <w:rsid w:val="007A065C"/>
    <w:rsid w:val="007A0979"/>
    <w:rsid w:val="007A0A41"/>
    <w:rsid w:val="007A0AB5"/>
    <w:rsid w:val="007A0E70"/>
    <w:rsid w:val="007A0F8F"/>
    <w:rsid w:val="007A15DD"/>
    <w:rsid w:val="007A194A"/>
    <w:rsid w:val="007A2057"/>
    <w:rsid w:val="007A248D"/>
    <w:rsid w:val="007A2707"/>
    <w:rsid w:val="007A2B43"/>
    <w:rsid w:val="007A3105"/>
    <w:rsid w:val="007A33AE"/>
    <w:rsid w:val="007A34B0"/>
    <w:rsid w:val="007A3C00"/>
    <w:rsid w:val="007A3D25"/>
    <w:rsid w:val="007A400C"/>
    <w:rsid w:val="007A451F"/>
    <w:rsid w:val="007A5F82"/>
    <w:rsid w:val="007A6AF3"/>
    <w:rsid w:val="007A6B2A"/>
    <w:rsid w:val="007A724D"/>
    <w:rsid w:val="007A73BB"/>
    <w:rsid w:val="007A773F"/>
    <w:rsid w:val="007A78B8"/>
    <w:rsid w:val="007A7A70"/>
    <w:rsid w:val="007A7D8F"/>
    <w:rsid w:val="007B01F4"/>
    <w:rsid w:val="007B0618"/>
    <w:rsid w:val="007B1363"/>
    <w:rsid w:val="007B13EA"/>
    <w:rsid w:val="007B13FC"/>
    <w:rsid w:val="007B15F3"/>
    <w:rsid w:val="007B17B3"/>
    <w:rsid w:val="007B1E26"/>
    <w:rsid w:val="007B20BD"/>
    <w:rsid w:val="007B2150"/>
    <w:rsid w:val="007B2167"/>
    <w:rsid w:val="007B21B9"/>
    <w:rsid w:val="007B259B"/>
    <w:rsid w:val="007B2A69"/>
    <w:rsid w:val="007B2D25"/>
    <w:rsid w:val="007B32B2"/>
    <w:rsid w:val="007B3B85"/>
    <w:rsid w:val="007B4332"/>
    <w:rsid w:val="007B4C3E"/>
    <w:rsid w:val="007B52B6"/>
    <w:rsid w:val="007B5617"/>
    <w:rsid w:val="007B5B7F"/>
    <w:rsid w:val="007B5CD5"/>
    <w:rsid w:val="007B64F0"/>
    <w:rsid w:val="007B67A4"/>
    <w:rsid w:val="007B6C5A"/>
    <w:rsid w:val="007B71C9"/>
    <w:rsid w:val="007C0390"/>
    <w:rsid w:val="007C0EE2"/>
    <w:rsid w:val="007C1090"/>
    <w:rsid w:val="007C1437"/>
    <w:rsid w:val="007C1560"/>
    <w:rsid w:val="007C1689"/>
    <w:rsid w:val="007C17D4"/>
    <w:rsid w:val="007C1F66"/>
    <w:rsid w:val="007C208C"/>
    <w:rsid w:val="007C2417"/>
    <w:rsid w:val="007C32B6"/>
    <w:rsid w:val="007C37F3"/>
    <w:rsid w:val="007C3C5E"/>
    <w:rsid w:val="007C4233"/>
    <w:rsid w:val="007C4AF6"/>
    <w:rsid w:val="007C4E01"/>
    <w:rsid w:val="007C50DC"/>
    <w:rsid w:val="007C5937"/>
    <w:rsid w:val="007C5C93"/>
    <w:rsid w:val="007C5F2A"/>
    <w:rsid w:val="007C6237"/>
    <w:rsid w:val="007C63B3"/>
    <w:rsid w:val="007C6BED"/>
    <w:rsid w:val="007C6CA0"/>
    <w:rsid w:val="007C6D73"/>
    <w:rsid w:val="007C6EBD"/>
    <w:rsid w:val="007C7078"/>
    <w:rsid w:val="007C74D6"/>
    <w:rsid w:val="007C7B50"/>
    <w:rsid w:val="007C7BD5"/>
    <w:rsid w:val="007C7E0E"/>
    <w:rsid w:val="007CFEC9"/>
    <w:rsid w:val="007D093D"/>
    <w:rsid w:val="007D117E"/>
    <w:rsid w:val="007D1387"/>
    <w:rsid w:val="007D208C"/>
    <w:rsid w:val="007D20C3"/>
    <w:rsid w:val="007D22BC"/>
    <w:rsid w:val="007D2C11"/>
    <w:rsid w:val="007D3113"/>
    <w:rsid w:val="007D31AF"/>
    <w:rsid w:val="007D3611"/>
    <w:rsid w:val="007D3942"/>
    <w:rsid w:val="007D3961"/>
    <w:rsid w:val="007D3C9D"/>
    <w:rsid w:val="007D46CE"/>
    <w:rsid w:val="007D48FA"/>
    <w:rsid w:val="007D50F2"/>
    <w:rsid w:val="007D565B"/>
    <w:rsid w:val="007D597E"/>
    <w:rsid w:val="007D59DC"/>
    <w:rsid w:val="007D5A64"/>
    <w:rsid w:val="007D5C57"/>
    <w:rsid w:val="007D5F9E"/>
    <w:rsid w:val="007D6346"/>
    <w:rsid w:val="007D6777"/>
    <w:rsid w:val="007D6A42"/>
    <w:rsid w:val="007D6ABB"/>
    <w:rsid w:val="007D6C28"/>
    <w:rsid w:val="007D6D6D"/>
    <w:rsid w:val="007D6EA3"/>
    <w:rsid w:val="007D6EF9"/>
    <w:rsid w:val="007D6F54"/>
    <w:rsid w:val="007D6FE8"/>
    <w:rsid w:val="007D7076"/>
    <w:rsid w:val="007D71AF"/>
    <w:rsid w:val="007D720B"/>
    <w:rsid w:val="007D7308"/>
    <w:rsid w:val="007D771C"/>
    <w:rsid w:val="007D7AB8"/>
    <w:rsid w:val="007D7F96"/>
    <w:rsid w:val="007E06B4"/>
    <w:rsid w:val="007E0842"/>
    <w:rsid w:val="007E0D40"/>
    <w:rsid w:val="007E0D75"/>
    <w:rsid w:val="007E0F9E"/>
    <w:rsid w:val="007E1D9E"/>
    <w:rsid w:val="007E24A6"/>
    <w:rsid w:val="007E2696"/>
    <w:rsid w:val="007E2BB4"/>
    <w:rsid w:val="007E33AB"/>
    <w:rsid w:val="007E4061"/>
    <w:rsid w:val="007E49A3"/>
    <w:rsid w:val="007E4B03"/>
    <w:rsid w:val="007E4D49"/>
    <w:rsid w:val="007E4F0B"/>
    <w:rsid w:val="007E4F8F"/>
    <w:rsid w:val="007E52E2"/>
    <w:rsid w:val="007E5692"/>
    <w:rsid w:val="007E57D2"/>
    <w:rsid w:val="007E590A"/>
    <w:rsid w:val="007E5B53"/>
    <w:rsid w:val="007E6495"/>
    <w:rsid w:val="007E6D20"/>
    <w:rsid w:val="007E7062"/>
    <w:rsid w:val="007E7BCC"/>
    <w:rsid w:val="007E7BDF"/>
    <w:rsid w:val="007F00BD"/>
    <w:rsid w:val="007F023F"/>
    <w:rsid w:val="007F03EC"/>
    <w:rsid w:val="007F0483"/>
    <w:rsid w:val="007F0611"/>
    <w:rsid w:val="007F084D"/>
    <w:rsid w:val="007F0930"/>
    <w:rsid w:val="007F0AB1"/>
    <w:rsid w:val="007F0ACE"/>
    <w:rsid w:val="007F0BB5"/>
    <w:rsid w:val="007F0DF3"/>
    <w:rsid w:val="007F17C4"/>
    <w:rsid w:val="007F1A4C"/>
    <w:rsid w:val="007F1D47"/>
    <w:rsid w:val="007F27C2"/>
    <w:rsid w:val="007F2DCB"/>
    <w:rsid w:val="007F3227"/>
    <w:rsid w:val="007F32CE"/>
    <w:rsid w:val="007F3C2A"/>
    <w:rsid w:val="007F3C55"/>
    <w:rsid w:val="007F41B0"/>
    <w:rsid w:val="007F4519"/>
    <w:rsid w:val="007F4900"/>
    <w:rsid w:val="007F4DEF"/>
    <w:rsid w:val="007F5093"/>
    <w:rsid w:val="007F600A"/>
    <w:rsid w:val="007F648F"/>
    <w:rsid w:val="007F6BF5"/>
    <w:rsid w:val="007F6F51"/>
    <w:rsid w:val="007F723F"/>
    <w:rsid w:val="007F72E7"/>
    <w:rsid w:val="007F730E"/>
    <w:rsid w:val="007F7624"/>
    <w:rsid w:val="007F76D7"/>
    <w:rsid w:val="007F7A76"/>
    <w:rsid w:val="007F7EB7"/>
    <w:rsid w:val="008005DC"/>
    <w:rsid w:val="0080121F"/>
    <w:rsid w:val="008014CB"/>
    <w:rsid w:val="008015CC"/>
    <w:rsid w:val="008019A0"/>
    <w:rsid w:val="00801B3B"/>
    <w:rsid w:val="00801E34"/>
    <w:rsid w:val="008022C3"/>
    <w:rsid w:val="00802773"/>
    <w:rsid w:val="008027AA"/>
    <w:rsid w:val="0080295A"/>
    <w:rsid w:val="00802A75"/>
    <w:rsid w:val="00802E5C"/>
    <w:rsid w:val="00803E9D"/>
    <w:rsid w:val="008041E6"/>
    <w:rsid w:val="00804736"/>
    <w:rsid w:val="0080473F"/>
    <w:rsid w:val="00804942"/>
    <w:rsid w:val="008058ED"/>
    <w:rsid w:val="00805ABC"/>
    <w:rsid w:val="0080654E"/>
    <w:rsid w:val="008065D2"/>
    <w:rsid w:val="008071C7"/>
    <w:rsid w:val="0080794C"/>
    <w:rsid w:val="00807B47"/>
    <w:rsid w:val="00807F7B"/>
    <w:rsid w:val="0080DC89"/>
    <w:rsid w:val="008101C2"/>
    <w:rsid w:val="008104D5"/>
    <w:rsid w:val="00811255"/>
    <w:rsid w:val="00811661"/>
    <w:rsid w:val="0081170C"/>
    <w:rsid w:val="008118BC"/>
    <w:rsid w:val="008121D3"/>
    <w:rsid w:val="0081242C"/>
    <w:rsid w:val="00812501"/>
    <w:rsid w:val="00812821"/>
    <w:rsid w:val="00813630"/>
    <w:rsid w:val="00813700"/>
    <w:rsid w:val="00813924"/>
    <w:rsid w:val="00813EEA"/>
    <w:rsid w:val="008143A4"/>
    <w:rsid w:val="00814417"/>
    <w:rsid w:val="00814773"/>
    <w:rsid w:val="00815400"/>
    <w:rsid w:val="0081541D"/>
    <w:rsid w:val="00815432"/>
    <w:rsid w:val="00815514"/>
    <w:rsid w:val="00815650"/>
    <w:rsid w:val="0081590F"/>
    <w:rsid w:val="008159C9"/>
    <w:rsid w:val="00815BAC"/>
    <w:rsid w:val="00816554"/>
    <w:rsid w:val="008174C2"/>
    <w:rsid w:val="00817AC0"/>
    <w:rsid w:val="00817BBD"/>
    <w:rsid w:val="00817EEA"/>
    <w:rsid w:val="00820F0E"/>
    <w:rsid w:val="0082104C"/>
    <w:rsid w:val="00821873"/>
    <w:rsid w:val="0082194C"/>
    <w:rsid w:val="00821C02"/>
    <w:rsid w:val="00821DCB"/>
    <w:rsid w:val="008222BE"/>
    <w:rsid w:val="008222FF"/>
    <w:rsid w:val="0082233B"/>
    <w:rsid w:val="00822407"/>
    <w:rsid w:val="00822661"/>
    <w:rsid w:val="00822CC9"/>
    <w:rsid w:val="00822D86"/>
    <w:rsid w:val="00823078"/>
    <w:rsid w:val="00823311"/>
    <w:rsid w:val="0082384E"/>
    <w:rsid w:val="00823ECD"/>
    <w:rsid w:val="00823EEE"/>
    <w:rsid w:val="0082405B"/>
    <w:rsid w:val="008241FF"/>
    <w:rsid w:val="00824232"/>
    <w:rsid w:val="008242C2"/>
    <w:rsid w:val="00824CD7"/>
    <w:rsid w:val="00825129"/>
    <w:rsid w:val="00825153"/>
    <w:rsid w:val="008252E4"/>
    <w:rsid w:val="00825494"/>
    <w:rsid w:val="008267F9"/>
    <w:rsid w:val="00826B09"/>
    <w:rsid w:val="00826B8C"/>
    <w:rsid w:val="00826D98"/>
    <w:rsid w:val="008271E3"/>
    <w:rsid w:val="00827293"/>
    <w:rsid w:val="008274BE"/>
    <w:rsid w:val="00827531"/>
    <w:rsid w:val="008278EA"/>
    <w:rsid w:val="00827A7E"/>
    <w:rsid w:val="00827ED2"/>
    <w:rsid w:val="00827F7A"/>
    <w:rsid w:val="0082F3AD"/>
    <w:rsid w:val="008316E2"/>
    <w:rsid w:val="00831768"/>
    <w:rsid w:val="00831E82"/>
    <w:rsid w:val="00832268"/>
    <w:rsid w:val="00832C45"/>
    <w:rsid w:val="00834461"/>
    <w:rsid w:val="00834B73"/>
    <w:rsid w:val="00834BD8"/>
    <w:rsid w:val="00834ED8"/>
    <w:rsid w:val="00834F09"/>
    <w:rsid w:val="00836057"/>
    <w:rsid w:val="0083747C"/>
    <w:rsid w:val="008375A0"/>
    <w:rsid w:val="00837690"/>
    <w:rsid w:val="00837B1A"/>
    <w:rsid w:val="00837CB5"/>
    <w:rsid w:val="00837CF3"/>
    <w:rsid w:val="00840045"/>
    <w:rsid w:val="008400F3"/>
    <w:rsid w:val="0084020A"/>
    <w:rsid w:val="0084038E"/>
    <w:rsid w:val="0084054F"/>
    <w:rsid w:val="0084062B"/>
    <w:rsid w:val="0084095B"/>
    <w:rsid w:val="00840AD9"/>
    <w:rsid w:val="008411B7"/>
    <w:rsid w:val="008411E9"/>
    <w:rsid w:val="008415A0"/>
    <w:rsid w:val="00841617"/>
    <w:rsid w:val="008419E5"/>
    <w:rsid w:val="00841B41"/>
    <w:rsid w:val="00841D3B"/>
    <w:rsid w:val="0084200F"/>
    <w:rsid w:val="0084244A"/>
    <w:rsid w:val="0084262A"/>
    <w:rsid w:val="008429A9"/>
    <w:rsid w:val="0084345F"/>
    <w:rsid w:val="008434C9"/>
    <w:rsid w:val="008439B4"/>
    <w:rsid w:val="00843B2C"/>
    <w:rsid w:val="00843F54"/>
    <w:rsid w:val="00844BF2"/>
    <w:rsid w:val="00844CF9"/>
    <w:rsid w:val="00844D2C"/>
    <w:rsid w:val="00844D88"/>
    <w:rsid w:val="0084537A"/>
    <w:rsid w:val="00845DDE"/>
    <w:rsid w:val="0084667F"/>
    <w:rsid w:val="00846686"/>
    <w:rsid w:val="008469AF"/>
    <w:rsid w:val="008471CE"/>
    <w:rsid w:val="008475FF"/>
    <w:rsid w:val="0084763A"/>
    <w:rsid w:val="008478FA"/>
    <w:rsid w:val="00847BBB"/>
    <w:rsid w:val="00847E72"/>
    <w:rsid w:val="00847FB2"/>
    <w:rsid w:val="0084A06C"/>
    <w:rsid w:val="00850AA7"/>
    <w:rsid w:val="00850D97"/>
    <w:rsid w:val="008517FE"/>
    <w:rsid w:val="00851914"/>
    <w:rsid w:val="00851928"/>
    <w:rsid w:val="00851AB1"/>
    <w:rsid w:val="00851DFE"/>
    <w:rsid w:val="00851FAF"/>
    <w:rsid w:val="00852570"/>
    <w:rsid w:val="00852D79"/>
    <w:rsid w:val="0085304C"/>
    <w:rsid w:val="0085315C"/>
    <w:rsid w:val="0085316E"/>
    <w:rsid w:val="00853292"/>
    <w:rsid w:val="008536BC"/>
    <w:rsid w:val="00853981"/>
    <w:rsid w:val="00853BA7"/>
    <w:rsid w:val="00853DF2"/>
    <w:rsid w:val="00853EB3"/>
    <w:rsid w:val="008540D8"/>
    <w:rsid w:val="00854521"/>
    <w:rsid w:val="008545C2"/>
    <w:rsid w:val="008548BD"/>
    <w:rsid w:val="008549BA"/>
    <w:rsid w:val="00855981"/>
    <w:rsid w:val="0085600D"/>
    <w:rsid w:val="00856715"/>
    <w:rsid w:val="00856ACE"/>
    <w:rsid w:val="00856B1C"/>
    <w:rsid w:val="00857253"/>
    <w:rsid w:val="0085737B"/>
    <w:rsid w:val="00857459"/>
    <w:rsid w:val="008575E9"/>
    <w:rsid w:val="0085788A"/>
    <w:rsid w:val="008579A6"/>
    <w:rsid w:val="00857AB4"/>
    <w:rsid w:val="00857B4E"/>
    <w:rsid w:val="00857B8F"/>
    <w:rsid w:val="00857C52"/>
    <w:rsid w:val="008603D3"/>
    <w:rsid w:val="0086047C"/>
    <w:rsid w:val="0086084E"/>
    <w:rsid w:val="008609BC"/>
    <w:rsid w:val="008609CB"/>
    <w:rsid w:val="00860ADA"/>
    <w:rsid w:val="00860E1A"/>
    <w:rsid w:val="00861065"/>
    <w:rsid w:val="008613CD"/>
    <w:rsid w:val="00861A9B"/>
    <w:rsid w:val="00861C79"/>
    <w:rsid w:val="008620D3"/>
    <w:rsid w:val="00862357"/>
    <w:rsid w:val="008625C1"/>
    <w:rsid w:val="0086284C"/>
    <w:rsid w:val="00862DF6"/>
    <w:rsid w:val="00862E79"/>
    <w:rsid w:val="00862F98"/>
    <w:rsid w:val="00862FB8"/>
    <w:rsid w:val="008631D8"/>
    <w:rsid w:val="008634C7"/>
    <w:rsid w:val="00863503"/>
    <w:rsid w:val="0086421F"/>
    <w:rsid w:val="0086426E"/>
    <w:rsid w:val="0086444A"/>
    <w:rsid w:val="008645CE"/>
    <w:rsid w:val="0086461A"/>
    <w:rsid w:val="00864C0D"/>
    <w:rsid w:val="00864DDE"/>
    <w:rsid w:val="0086501E"/>
    <w:rsid w:val="00865176"/>
    <w:rsid w:val="00865289"/>
    <w:rsid w:val="008653AB"/>
    <w:rsid w:val="00865DCB"/>
    <w:rsid w:val="00865EC4"/>
    <w:rsid w:val="00865FB4"/>
    <w:rsid w:val="00866171"/>
    <w:rsid w:val="00866595"/>
    <w:rsid w:val="008667B8"/>
    <w:rsid w:val="008668A8"/>
    <w:rsid w:val="00866932"/>
    <w:rsid w:val="00867668"/>
    <w:rsid w:val="00870107"/>
    <w:rsid w:val="0087012B"/>
    <w:rsid w:val="00870798"/>
    <w:rsid w:val="00870850"/>
    <w:rsid w:val="008708A7"/>
    <w:rsid w:val="008709C4"/>
    <w:rsid w:val="00870B3C"/>
    <w:rsid w:val="00870D5C"/>
    <w:rsid w:val="00871105"/>
    <w:rsid w:val="0087147F"/>
    <w:rsid w:val="00871571"/>
    <w:rsid w:val="008719C5"/>
    <w:rsid w:val="00871ACC"/>
    <w:rsid w:val="00871DE4"/>
    <w:rsid w:val="008720CD"/>
    <w:rsid w:val="008727C7"/>
    <w:rsid w:val="008727F3"/>
    <w:rsid w:val="008730DA"/>
    <w:rsid w:val="0087310A"/>
    <w:rsid w:val="00873151"/>
    <w:rsid w:val="00873630"/>
    <w:rsid w:val="00873748"/>
    <w:rsid w:val="00873BA9"/>
    <w:rsid w:val="0087420E"/>
    <w:rsid w:val="008745F6"/>
    <w:rsid w:val="0087467B"/>
    <w:rsid w:val="0087476D"/>
    <w:rsid w:val="0087494C"/>
    <w:rsid w:val="00874B74"/>
    <w:rsid w:val="008751C9"/>
    <w:rsid w:val="008762F2"/>
    <w:rsid w:val="00876648"/>
    <w:rsid w:val="008768AC"/>
    <w:rsid w:val="00877054"/>
    <w:rsid w:val="008776D5"/>
    <w:rsid w:val="00877E30"/>
    <w:rsid w:val="008803A6"/>
    <w:rsid w:val="008803CE"/>
    <w:rsid w:val="008803D7"/>
    <w:rsid w:val="0088059C"/>
    <w:rsid w:val="00880AC4"/>
    <w:rsid w:val="00880D0C"/>
    <w:rsid w:val="00880E43"/>
    <w:rsid w:val="00880F98"/>
    <w:rsid w:val="00881220"/>
    <w:rsid w:val="00881556"/>
    <w:rsid w:val="00881565"/>
    <w:rsid w:val="008817BB"/>
    <w:rsid w:val="0088190B"/>
    <w:rsid w:val="00882562"/>
    <w:rsid w:val="008828FD"/>
    <w:rsid w:val="00882AF0"/>
    <w:rsid w:val="00882E31"/>
    <w:rsid w:val="00882F33"/>
    <w:rsid w:val="008833E4"/>
    <w:rsid w:val="00883601"/>
    <w:rsid w:val="00883D30"/>
    <w:rsid w:val="00883E2F"/>
    <w:rsid w:val="0088406E"/>
    <w:rsid w:val="008840D3"/>
    <w:rsid w:val="00884C34"/>
    <w:rsid w:val="00884C83"/>
    <w:rsid w:val="00884F2D"/>
    <w:rsid w:val="008851C6"/>
    <w:rsid w:val="00885EAF"/>
    <w:rsid w:val="0088686E"/>
    <w:rsid w:val="008868CA"/>
    <w:rsid w:val="00886A54"/>
    <w:rsid w:val="00887189"/>
    <w:rsid w:val="008871AC"/>
    <w:rsid w:val="00887B04"/>
    <w:rsid w:val="00887CC6"/>
    <w:rsid w:val="00887E93"/>
    <w:rsid w:val="00890673"/>
    <w:rsid w:val="00890754"/>
    <w:rsid w:val="00890B2E"/>
    <w:rsid w:val="00890FB6"/>
    <w:rsid w:val="00890FC4"/>
    <w:rsid w:val="0089138E"/>
    <w:rsid w:val="00891793"/>
    <w:rsid w:val="008918E5"/>
    <w:rsid w:val="00891AB0"/>
    <w:rsid w:val="00891B29"/>
    <w:rsid w:val="00891DA3"/>
    <w:rsid w:val="00891E4C"/>
    <w:rsid w:val="0089235E"/>
    <w:rsid w:val="00892A4F"/>
    <w:rsid w:val="00892AAB"/>
    <w:rsid w:val="00892CEC"/>
    <w:rsid w:val="0089330D"/>
    <w:rsid w:val="008934FE"/>
    <w:rsid w:val="008939DD"/>
    <w:rsid w:val="00893ACC"/>
    <w:rsid w:val="00893C92"/>
    <w:rsid w:val="00894832"/>
    <w:rsid w:val="0089495D"/>
    <w:rsid w:val="00894D8F"/>
    <w:rsid w:val="0089501B"/>
    <w:rsid w:val="0089520D"/>
    <w:rsid w:val="00895784"/>
    <w:rsid w:val="00895EA5"/>
    <w:rsid w:val="00896329"/>
    <w:rsid w:val="0089638A"/>
    <w:rsid w:val="008965EE"/>
    <w:rsid w:val="0089688A"/>
    <w:rsid w:val="00896B8F"/>
    <w:rsid w:val="00896F3B"/>
    <w:rsid w:val="0089703E"/>
    <w:rsid w:val="00897312"/>
    <w:rsid w:val="00897447"/>
    <w:rsid w:val="008A0212"/>
    <w:rsid w:val="008A0517"/>
    <w:rsid w:val="008A06C9"/>
    <w:rsid w:val="008A0916"/>
    <w:rsid w:val="008A0F10"/>
    <w:rsid w:val="008A0F17"/>
    <w:rsid w:val="008A1787"/>
    <w:rsid w:val="008A1FFE"/>
    <w:rsid w:val="008A2761"/>
    <w:rsid w:val="008A2BAB"/>
    <w:rsid w:val="008A2FE5"/>
    <w:rsid w:val="008A320A"/>
    <w:rsid w:val="008A32F2"/>
    <w:rsid w:val="008A3668"/>
    <w:rsid w:val="008A410B"/>
    <w:rsid w:val="008A4533"/>
    <w:rsid w:val="008A476E"/>
    <w:rsid w:val="008A4900"/>
    <w:rsid w:val="008A4B3E"/>
    <w:rsid w:val="008A5516"/>
    <w:rsid w:val="008A55FE"/>
    <w:rsid w:val="008A58A8"/>
    <w:rsid w:val="008A5C84"/>
    <w:rsid w:val="008A649B"/>
    <w:rsid w:val="008A64D6"/>
    <w:rsid w:val="008A662B"/>
    <w:rsid w:val="008A6BD1"/>
    <w:rsid w:val="008A6C24"/>
    <w:rsid w:val="008A6DA2"/>
    <w:rsid w:val="008A6E35"/>
    <w:rsid w:val="008A7802"/>
    <w:rsid w:val="008A78AC"/>
    <w:rsid w:val="008B04AF"/>
    <w:rsid w:val="008B0A6E"/>
    <w:rsid w:val="008B0AB3"/>
    <w:rsid w:val="008B0E91"/>
    <w:rsid w:val="008B0F4D"/>
    <w:rsid w:val="008B12DE"/>
    <w:rsid w:val="008B146D"/>
    <w:rsid w:val="008B156C"/>
    <w:rsid w:val="008B1656"/>
    <w:rsid w:val="008B189D"/>
    <w:rsid w:val="008B1975"/>
    <w:rsid w:val="008B1A16"/>
    <w:rsid w:val="008B2357"/>
    <w:rsid w:val="008B2420"/>
    <w:rsid w:val="008B3122"/>
    <w:rsid w:val="008B3E50"/>
    <w:rsid w:val="008B42AD"/>
    <w:rsid w:val="008B42B3"/>
    <w:rsid w:val="008B42B8"/>
    <w:rsid w:val="008B48EA"/>
    <w:rsid w:val="008B4CF1"/>
    <w:rsid w:val="008B4DA5"/>
    <w:rsid w:val="008B4E52"/>
    <w:rsid w:val="008B50E2"/>
    <w:rsid w:val="008B51E7"/>
    <w:rsid w:val="008B51E8"/>
    <w:rsid w:val="008B55CD"/>
    <w:rsid w:val="008B5666"/>
    <w:rsid w:val="008B580B"/>
    <w:rsid w:val="008B67B5"/>
    <w:rsid w:val="008B6852"/>
    <w:rsid w:val="008B6855"/>
    <w:rsid w:val="008B6A2F"/>
    <w:rsid w:val="008B6E3D"/>
    <w:rsid w:val="008B723E"/>
    <w:rsid w:val="008B73DD"/>
    <w:rsid w:val="008B776F"/>
    <w:rsid w:val="008B7AF3"/>
    <w:rsid w:val="008B7CE9"/>
    <w:rsid w:val="008B7D05"/>
    <w:rsid w:val="008C0389"/>
    <w:rsid w:val="008C0570"/>
    <w:rsid w:val="008C110F"/>
    <w:rsid w:val="008C15D6"/>
    <w:rsid w:val="008C15F8"/>
    <w:rsid w:val="008C1A35"/>
    <w:rsid w:val="008C1C8F"/>
    <w:rsid w:val="008C1FFC"/>
    <w:rsid w:val="008C2203"/>
    <w:rsid w:val="008C2580"/>
    <w:rsid w:val="008C2584"/>
    <w:rsid w:val="008C2878"/>
    <w:rsid w:val="008C2D7A"/>
    <w:rsid w:val="008C2F09"/>
    <w:rsid w:val="008C30F4"/>
    <w:rsid w:val="008C3DB2"/>
    <w:rsid w:val="008C3E66"/>
    <w:rsid w:val="008C4F37"/>
    <w:rsid w:val="008C4F50"/>
    <w:rsid w:val="008C52C8"/>
    <w:rsid w:val="008C539D"/>
    <w:rsid w:val="008C5501"/>
    <w:rsid w:val="008C5D2E"/>
    <w:rsid w:val="008C5FAA"/>
    <w:rsid w:val="008C621E"/>
    <w:rsid w:val="008C65FF"/>
    <w:rsid w:val="008C69EA"/>
    <w:rsid w:val="008C7397"/>
    <w:rsid w:val="008D0148"/>
    <w:rsid w:val="008D0281"/>
    <w:rsid w:val="008D030D"/>
    <w:rsid w:val="008D0449"/>
    <w:rsid w:val="008D1993"/>
    <w:rsid w:val="008D1B2C"/>
    <w:rsid w:val="008D1F64"/>
    <w:rsid w:val="008D218B"/>
    <w:rsid w:val="008D2357"/>
    <w:rsid w:val="008D2926"/>
    <w:rsid w:val="008D29B4"/>
    <w:rsid w:val="008D2A37"/>
    <w:rsid w:val="008D2A5D"/>
    <w:rsid w:val="008D2EDE"/>
    <w:rsid w:val="008D2F5B"/>
    <w:rsid w:val="008D32A6"/>
    <w:rsid w:val="008D33BE"/>
    <w:rsid w:val="008D34AE"/>
    <w:rsid w:val="008D3614"/>
    <w:rsid w:val="008D3920"/>
    <w:rsid w:val="008D451A"/>
    <w:rsid w:val="008D45E1"/>
    <w:rsid w:val="008D46AE"/>
    <w:rsid w:val="008D4BB1"/>
    <w:rsid w:val="008D5668"/>
    <w:rsid w:val="008D5AE9"/>
    <w:rsid w:val="008D5C81"/>
    <w:rsid w:val="008D5D4D"/>
    <w:rsid w:val="008D622F"/>
    <w:rsid w:val="008D6339"/>
    <w:rsid w:val="008D6616"/>
    <w:rsid w:val="008D6D27"/>
    <w:rsid w:val="008D70BA"/>
    <w:rsid w:val="008D7185"/>
    <w:rsid w:val="008D7464"/>
    <w:rsid w:val="008D778F"/>
    <w:rsid w:val="008D7DCF"/>
    <w:rsid w:val="008D7F0D"/>
    <w:rsid w:val="008D7FAE"/>
    <w:rsid w:val="008E04D2"/>
    <w:rsid w:val="008E05EA"/>
    <w:rsid w:val="008E068E"/>
    <w:rsid w:val="008E0746"/>
    <w:rsid w:val="008E0943"/>
    <w:rsid w:val="008E0D1F"/>
    <w:rsid w:val="008E117F"/>
    <w:rsid w:val="008E137C"/>
    <w:rsid w:val="008E16C9"/>
    <w:rsid w:val="008E1C76"/>
    <w:rsid w:val="008E1C97"/>
    <w:rsid w:val="008E1EB6"/>
    <w:rsid w:val="008E2312"/>
    <w:rsid w:val="008E2348"/>
    <w:rsid w:val="008E239A"/>
    <w:rsid w:val="008E273F"/>
    <w:rsid w:val="008E278D"/>
    <w:rsid w:val="008E29FE"/>
    <w:rsid w:val="008E2DFE"/>
    <w:rsid w:val="008E30D0"/>
    <w:rsid w:val="008E3742"/>
    <w:rsid w:val="008E3D27"/>
    <w:rsid w:val="008E4047"/>
    <w:rsid w:val="008E43B7"/>
    <w:rsid w:val="008E45B6"/>
    <w:rsid w:val="008E46E8"/>
    <w:rsid w:val="008E4CBC"/>
    <w:rsid w:val="008E4D28"/>
    <w:rsid w:val="008E5280"/>
    <w:rsid w:val="008E585A"/>
    <w:rsid w:val="008E6258"/>
    <w:rsid w:val="008E6815"/>
    <w:rsid w:val="008E6AD7"/>
    <w:rsid w:val="008E6B13"/>
    <w:rsid w:val="008E6C37"/>
    <w:rsid w:val="008E6D9D"/>
    <w:rsid w:val="008E7082"/>
    <w:rsid w:val="008E730C"/>
    <w:rsid w:val="008E779B"/>
    <w:rsid w:val="008E7D68"/>
    <w:rsid w:val="008F020E"/>
    <w:rsid w:val="008F02FA"/>
    <w:rsid w:val="008F0369"/>
    <w:rsid w:val="008F0767"/>
    <w:rsid w:val="008F08EB"/>
    <w:rsid w:val="008F09ED"/>
    <w:rsid w:val="008F0B75"/>
    <w:rsid w:val="008F0BEC"/>
    <w:rsid w:val="008F11CA"/>
    <w:rsid w:val="008F16AA"/>
    <w:rsid w:val="008F186F"/>
    <w:rsid w:val="008F1882"/>
    <w:rsid w:val="008F238E"/>
    <w:rsid w:val="008F27A9"/>
    <w:rsid w:val="008F28E3"/>
    <w:rsid w:val="008F2A99"/>
    <w:rsid w:val="008F3013"/>
    <w:rsid w:val="008F382B"/>
    <w:rsid w:val="008F3A40"/>
    <w:rsid w:val="008F3B7D"/>
    <w:rsid w:val="008F3C9E"/>
    <w:rsid w:val="008F3EDD"/>
    <w:rsid w:val="008F3FCA"/>
    <w:rsid w:val="008F5AC6"/>
    <w:rsid w:val="008F5E14"/>
    <w:rsid w:val="008F6549"/>
    <w:rsid w:val="008F6D45"/>
    <w:rsid w:val="008F6D49"/>
    <w:rsid w:val="008F735E"/>
    <w:rsid w:val="008F7AE6"/>
    <w:rsid w:val="008F7B38"/>
    <w:rsid w:val="008F7B87"/>
    <w:rsid w:val="008F7D9D"/>
    <w:rsid w:val="008F7E9D"/>
    <w:rsid w:val="009004C4"/>
    <w:rsid w:val="009005BE"/>
    <w:rsid w:val="00900644"/>
    <w:rsid w:val="009009B0"/>
    <w:rsid w:val="00900F93"/>
    <w:rsid w:val="00901301"/>
    <w:rsid w:val="009018FB"/>
    <w:rsid w:val="00901E0B"/>
    <w:rsid w:val="00902182"/>
    <w:rsid w:val="00902421"/>
    <w:rsid w:val="00902686"/>
    <w:rsid w:val="009027FC"/>
    <w:rsid w:val="00902C4A"/>
    <w:rsid w:val="00902C81"/>
    <w:rsid w:val="00902D2E"/>
    <w:rsid w:val="0090336A"/>
    <w:rsid w:val="00903B99"/>
    <w:rsid w:val="00903CB5"/>
    <w:rsid w:val="009042E1"/>
    <w:rsid w:val="009044F2"/>
    <w:rsid w:val="00904508"/>
    <w:rsid w:val="0090451B"/>
    <w:rsid w:val="00904612"/>
    <w:rsid w:val="009049A5"/>
    <w:rsid w:val="00904DEF"/>
    <w:rsid w:val="00904F47"/>
    <w:rsid w:val="00905800"/>
    <w:rsid w:val="0090594F"/>
    <w:rsid w:val="009061A0"/>
    <w:rsid w:val="0090666A"/>
    <w:rsid w:val="009069CD"/>
    <w:rsid w:val="009074F1"/>
    <w:rsid w:val="00907C26"/>
    <w:rsid w:val="00907D94"/>
    <w:rsid w:val="00910152"/>
    <w:rsid w:val="00910233"/>
    <w:rsid w:val="00910AF4"/>
    <w:rsid w:val="00910CA7"/>
    <w:rsid w:val="00911606"/>
    <w:rsid w:val="009117D2"/>
    <w:rsid w:val="009119AB"/>
    <w:rsid w:val="00911DC8"/>
    <w:rsid w:val="00912149"/>
    <w:rsid w:val="009124F5"/>
    <w:rsid w:val="00912677"/>
    <w:rsid w:val="00912745"/>
    <w:rsid w:val="00912A83"/>
    <w:rsid w:val="00912C50"/>
    <w:rsid w:val="0091335C"/>
    <w:rsid w:val="00913492"/>
    <w:rsid w:val="0091379A"/>
    <w:rsid w:val="00913BB4"/>
    <w:rsid w:val="00913C61"/>
    <w:rsid w:val="009148D4"/>
    <w:rsid w:val="00914D99"/>
    <w:rsid w:val="00914F4F"/>
    <w:rsid w:val="00915491"/>
    <w:rsid w:val="00915522"/>
    <w:rsid w:val="00915741"/>
    <w:rsid w:val="009157D1"/>
    <w:rsid w:val="009161AF"/>
    <w:rsid w:val="00916329"/>
    <w:rsid w:val="009165A8"/>
    <w:rsid w:val="00916629"/>
    <w:rsid w:val="00916D57"/>
    <w:rsid w:val="009172C7"/>
    <w:rsid w:val="009173A7"/>
    <w:rsid w:val="009175AA"/>
    <w:rsid w:val="00917A4C"/>
    <w:rsid w:val="00917CB6"/>
    <w:rsid w:val="00917E11"/>
    <w:rsid w:val="00920079"/>
    <w:rsid w:val="009201A4"/>
    <w:rsid w:val="0092021A"/>
    <w:rsid w:val="00920A44"/>
    <w:rsid w:val="009210A8"/>
    <w:rsid w:val="0092170E"/>
    <w:rsid w:val="009219AC"/>
    <w:rsid w:val="00921A23"/>
    <w:rsid w:val="00921AD7"/>
    <w:rsid w:val="0092260E"/>
    <w:rsid w:val="009227F9"/>
    <w:rsid w:val="00922944"/>
    <w:rsid w:val="00922BEA"/>
    <w:rsid w:val="0092312E"/>
    <w:rsid w:val="0092323F"/>
    <w:rsid w:val="0092351C"/>
    <w:rsid w:val="00923524"/>
    <w:rsid w:val="00923E24"/>
    <w:rsid w:val="009240D4"/>
    <w:rsid w:val="00924707"/>
    <w:rsid w:val="00924AA0"/>
    <w:rsid w:val="009251DC"/>
    <w:rsid w:val="00925987"/>
    <w:rsid w:val="00925D9E"/>
    <w:rsid w:val="00926018"/>
    <w:rsid w:val="00926A06"/>
    <w:rsid w:val="00926A86"/>
    <w:rsid w:val="00926B23"/>
    <w:rsid w:val="0092715A"/>
    <w:rsid w:val="00927297"/>
    <w:rsid w:val="00927A0C"/>
    <w:rsid w:val="00927C0C"/>
    <w:rsid w:val="00927C1F"/>
    <w:rsid w:val="00930195"/>
    <w:rsid w:val="00930896"/>
    <w:rsid w:val="00930CAC"/>
    <w:rsid w:val="00930F3D"/>
    <w:rsid w:val="00931688"/>
    <w:rsid w:val="009323FE"/>
    <w:rsid w:val="00932627"/>
    <w:rsid w:val="00932816"/>
    <w:rsid w:val="00932CCE"/>
    <w:rsid w:val="00932D22"/>
    <w:rsid w:val="0093334D"/>
    <w:rsid w:val="00934AAB"/>
    <w:rsid w:val="00934ADE"/>
    <w:rsid w:val="00935397"/>
    <w:rsid w:val="00935669"/>
    <w:rsid w:val="0093588D"/>
    <w:rsid w:val="009362E3"/>
    <w:rsid w:val="009363DA"/>
    <w:rsid w:val="00936CD5"/>
    <w:rsid w:val="00936D65"/>
    <w:rsid w:val="00936E94"/>
    <w:rsid w:val="00937395"/>
    <w:rsid w:val="0093746F"/>
    <w:rsid w:val="00937820"/>
    <w:rsid w:val="00937895"/>
    <w:rsid w:val="0093797B"/>
    <w:rsid w:val="00937A10"/>
    <w:rsid w:val="00937B8C"/>
    <w:rsid w:val="009401B1"/>
    <w:rsid w:val="0094084F"/>
    <w:rsid w:val="009408F6"/>
    <w:rsid w:val="009411C7"/>
    <w:rsid w:val="009414BB"/>
    <w:rsid w:val="00941BE7"/>
    <w:rsid w:val="00942928"/>
    <w:rsid w:val="00942998"/>
    <w:rsid w:val="009429D4"/>
    <w:rsid w:val="00942D5C"/>
    <w:rsid w:val="00942D7D"/>
    <w:rsid w:val="00942E6E"/>
    <w:rsid w:val="00942F8E"/>
    <w:rsid w:val="0094302D"/>
    <w:rsid w:val="0094330E"/>
    <w:rsid w:val="00944D3A"/>
    <w:rsid w:val="00945423"/>
    <w:rsid w:val="00946039"/>
    <w:rsid w:val="00946404"/>
    <w:rsid w:val="0094649D"/>
    <w:rsid w:val="00946793"/>
    <w:rsid w:val="009469A8"/>
    <w:rsid w:val="009478C9"/>
    <w:rsid w:val="00947C5A"/>
    <w:rsid w:val="00947D91"/>
    <w:rsid w:val="00947EB4"/>
    <w:rsid w:val="009508A3"/>
    <w:rsid w:val="00950B7D"/>
    <w:rsid w:val="00951AFA"/>
    <w:rsid w:val="00951C45"/>
    <w:rsid w:val="00951C98"/>
    <w:rsid w:val="009520D4"/>
    <w:rsid w:val="00952297"/>
    <w:rsid w:val="009522A9"/>
    <w:rsid w:val="009522E1"/>
    <w:rsid w:val="00952599"/>
    <w:rsid w:val="0095282E"/>
    <w:rsid w:val="00952C7C"/>
    <w:rsid w:val="00952DD9"/>
    <w:rsid w:val="00952E0C"/>
    <w:rsid w:val="009530D6"/>
    <w:rsid w:val="009530F7"/>
    <w:rsid w:val="0095341D"/>
    <w:rsid w:val="00953A28"/>
    <w:rsid w:val="00953D59"/>
    <w:rsid w:val="009547BD"/>
    <w:rsid w:val="009548F6"/>
    <w:rsid w:val="00954FFC"/>
    <w:rsid w:val="009552D5"/>
    <w:rsid w:val="00955D3A"/>
    <w:rsid w:val="00956226"/>
    <w:rsid w:val="0095644C"/>
    <w:rsid w:val="00956973"/>
    <w:rsid w:val="00956C65"/>
    <w:rsid w:val="009572B6"/>
    <w:rsid w:val="00957714"/>
    <w:rsid w:val="0096007B"/>
    <w:rsid w:val="00960D11"/>
    <w:rsid w:val="009612EA"/>
    <w:rsid w:val="009613E3"/>
    <w:rsid w:val="00961829"/>
    <w:rsid w:val="0096187D"/>
    <w:rsid w:val="00961AA6"/>
    <w:rsid w:val="00961FE8"/>
    <w:rsid w:val="009623BF"/>
    <w:rsid w:val="00962804"/>
    <w:rsid w:val="00962911"/>
    <w:rsid w:val="00962B9D"/>
    <w:rsid w:val="00962F5C"/>
    <w:rsid w:val="009635D2"/>
    <w:rsid w:val="00963F55"/>
    <w:rsid w:val="00963FA1"/>
    <w:rsid w:val="00964519"/>
    <w:rsid w:val="00964755"/>
    <w:rsid w:val="00964C14"/>
    <w:rsid w:val="00964F28"/>
    <w:rsid w:val="009651B8"/>
    <w:rsid w:val="009656AE"/>
    <w:rsid w:val="00965ADE"/>
    <w:rsid w:val="00965B2A"/>
    <w:rsid w:val="00966115"/>
    <w:rsid w:val="00966358"/>
    <w:rsid w:val="00966364"/>
    <w:rsid w:val="0096649F"/>
    <w:rsid w:val="00966621"/>
    <w:rsid w:val="0096697E"/>
    <w:rsid w:val="00966BEC"/>
    <w:rsid w:val="00967345"/>
    <w:rsid w:val="00970057"/>
    <w:rsid w:val="00970591"/>
    <w:rsid w:val="009707EF"/>
    <w:rsid w:val="0097111B"/>
    <w:rsid w:val="009714B1"/>
    <w:rsid w:val="00971702"/>
    <w:rsid w:val="0097218C"/>
    <w:rsid w:val="009722D1"/>
    <w:rsid w:val="009729CB"/>
    <w:rsid w:val="00972FB4"/>
    <w:rsid w:val="00974126"/>
    <w:rsid w:val="0097445D"/>
    <w:rsid w:val="009745FD"/>
    <w:rsid w:val="00974E36"/>
    <w:rsid w:val="00974EDA"/>
    <w:rsid w:val="00974FD0"/>
    <w:rsid w:val="0097508C"/>
    <w:rsid w:val="00976242"/>
    <w:rsid w:val="00976442"/>
    <w:rsid w:val="00976D3F"/>
    <w:rsid w:val="00976DEE"/>
    <w:rsid w:val="00976F5D"/>
    <w:rsid w:val="009770BA"/>
    <w:rsid w:val="00977534"/>
    <w:rsid w:val="00977577"/>
    <w:rsid w:val="0097795C"/>
    <w:rsid w:val="00977B8A"/>
    <w:rsid w:val="0098022D"/>
    <w:rsid w:val="009802DE"/>
    <w:rsid w:val="0098047A"/>
    <w:rsid w:val="00980530"/>
    <w:rsid w:val="0098080C"/>
    <w:rsid w:val="0098083E"/>
    <w:rsid w:val="009810B4"/>
    <w:rsid w:val="00981473"/>
    <w:rsid w:val="00981EC5"/>
    <w:rsid w:val="009820EB"/>
    <w:rsid w:val="009822BD"/>
    <w:rsid w:val="00982D64"/>
    <w:rsid w:val="00982E7E"/>
    <w:rsid w:val="00982F01"/>
    <w:rsid w:val="0098326C"/>
    <w:rsid w:val="009834C0"/>
    <w:rsid w:val="009835A7"/>
    <w:rsid w:val="009835D3"/>
    <w:rsid w:val="00983B70"/>
    <w:rsid w:val="00983D89"/>
    <w:rsid w:val="00983E17"/>
    <w:rsid w:val="00984449"/>
    <w:rsid w:val="0098461F"/>
    <w:rsid w:val="00984A05"/>
    <w:rsid w:val="009852DA"/>
    <w:rsid w:val="0098599A"/>
    <w:rsid w:val="00985EC9"/>
    <w:rsid w:val="00986430"/>
    <w:rsid w:val="00986A88"/>
    <w:rsid w:val="00986AAC"/>
    <w:rsid w:val="00986FFB"/>
    <w:rsid w:val="009870E2"/>
    <w:rsid w:val="009873E2"/>
    <w:rsid w:val="0098761B"/>
    <w:rsid w:val="00987823"/>
    <w:rsid w:val="00987AD1"/>
    <w:rsid w:val="00987BAB"/>
    <w:rsid w:val="00987FC2"/>
    <w:rsid w:val="0099012E"/>
    <w:rsid w:val="009901D5"/>
    <w:rsid w:val="00990C5E"/>
    <w:rsid w:val="00990C84"/>
    <w:rsid w:val="00990E39"/>
    <w:rsid w:val="0099133B"/>
    <w:rsid w:val="00991C8D"/>
    <w:rsid w:val="00991FD1"/>
    <w:rsid w:val="0099219C"/>
    <w:rsid w:val="009921B1"/>
    <w:rsid w:val="00992EB6"/>
    <w:rsid w:val="009930B3"/>
    <w:rsid w:val="009933CC"/>
    <w:rsid w:val="00993442"/>
    <w:rsid w:val="009934F2"/>
    <w:rsid w:val="00993639"/>
    <w:rsid w:val="00993DE2"/>
    <w:rsid w:val="009941B0"/>
    <w:rsid w:val="009945D7"/>
    <w:rsid w:val="0099472F"/>
    <w:rsid w:val="009948FE"/>
    <w:rsid w:val="00994CC9"/>
    <w:rsid w:val="00994F02"/>
    <w:rsid w:val="00995526"/>
    <w:rsid w:val="00995704"/>
    <w:rsid w:val="009959E9"/>
    <w:rsid w:val="00995D87"/>
    <w:rsid w:val="00995F85"/>
    <w:rsid w:val="0099622D"/>
    <w:rsid w:val="00996CF2"/>
    <w:rsid w:val="00996D77"/>
    <w:rsid w:val="00997099"/>
    <w:rsid w:val="009973C0"/>
    <w:rsid w:val="00997CB8"/>
    <w:rsid w:val="009A08A3"/>
    <w:rsid w:val="009A098B"/>
    <w:rsid w:val="009A0B84"/>
    <w:rsid w:val="009A0E0A"/>
    <w:rsid w:val="009A1150"/>
    <w:rsid w:val="009A16B2"/>
    <w:rsid w:val="009A180D"/>
    <w:rsid w:val="009A1858"/>
    <w:rsid w:val="009A19C1"/>
    <w:rsid w:val="009A1DA2"/>
    <w:rsid w:val="009A1E74"/>
    <w:rsid w:val="009A212B"/>
    <w:rsid w:val="009A24CD"/>
    <w:rsid w:val="009A2CFB"/>
    <w:rsid w:val="009A3283"/>
    <w:rsid w:val="009A331E"/>
    <w:rsid w:val="009A33A8"/>
    <w:rsid w:val="009A362E"/>
    <w:rsid w:val="009A3704"/>
    <w:rsid w:val="009A3AD5"/>
    <w:rsid w:val="009A3D0E"/>
    <w:rsid w:val="009A3F43"/>
    <w:rsid w:val="009A429D"/>
    <w:rsid w:val="009A43F1"/>
    <w:rsid w:val="009A4495"/>
    <w:rsid w:val="009A4739"/>
    <w:rsid w:val="009A5360"/>
    <w:rsid w:val="009A5462"/>
    <w:rsid w:val="009A60EC"/>
    <w:rsid w:val="009A6452"/>
    <w:rsid w:val="009A674F"/>
    <w:rsid w:val="009A6774"/>
    <w:rsid w:val="009A6793"/>
    <w:rsid w:val="009A6808"/>
    <w:rsid w:val="009A6857"/>
    <w:rsid w:val="009A68F6"/>
    <w:rsid w:val="009A69FC"/>
    <w:rsid w:val="009A6D22"/>
    <w:rsid w:val="009A7B6A"/>
    <w:rsid w:val="009B0D3C"/>
    <w:rsid w:val="009B10E5"/>
    <w:rsid w:val="009B1379"/>
    <w:rsid w:val="009B199C"/>
    <w:rsid w:val="009B1B92"/>
    <w:rsid w:val="009B1C36"/>
    <w:rsid w:val="009B2314"/>
    <w:rsid w:val="009B233E"/>
    <w:rsid w:val="009B25CE"/>
    <w:rsid w:val="009B28AA"/>
    <w:rsid w:val="009B2935"/>
    <w:rsid w:val="009B2B25"/>
    <w:rsid w:val="009B2B71"/>
    <w:rsid w:val="009B2E09"/>
    <w:rsid w:val="009B2E93"/>
    <w:rsid w:val="009B3004"/>
    <w:rsid w:val="009B3B3D"/>
    <w:rsid w:val="009B3BC4"/>
    <w:rsid w:val="009B3C3D"/>
    <w:rsid w:val="009B3D5A"/>
    <w:rsid w:val="009B3F22"/>
    <w:rsid w:val="009B3FC3"/>
    <w:rsid w:val="009B4158"/>
    <w:rsid w:val="009B4238"/>
    <w:rsid w:val="009B4E97"/>
    <w:rsid w:val="009B4E99"/>
    <w:rsid w:val="009B505D"/>
    <w:rsid w:val="009B53E7"/>
    <w:rsid w:val="009B58C6"/>
    <w:rsid w:val="009B5931"/>
    <w:rsid w:val="009B61F1"/>
    <w:rsid w:val="009B62E0"/>
    <w:rsid w:val="009B6449"/>
    <w:rsid w:val="009B66CA"/>
    <w:rsid w:val="009B6A30"/>
    <w:rsid w:val="009B6CC9"/>
    <w:rsid w:val="009B7129"/>
    <w:rsid w:val="009B73AA"/>
    <w:rsid w:val="009B7CA4"/>
    <w:rsid w:val="009C0812"/>
    <w:rsid w:val="009C0954"/>
    <w:rsid w:val="009C0DA7"/>
    <w:rsid w:val="009C1322"/>
    <w:rsid w:val="009C16BB"/>
    <w:rsid w:val="009C17EB"/>
    <w:rsid w:val="009C1B68"/>
    <w:rsid w:val="009C1C0F"/>
    <w:rsid w:val="009C1ED6"/>
    <w:rsid w:val="009C1EF5"/>
    <w:rsid w:val="009C22E7"/>
    <w:rsid w:val="009C26BF"/>
    <w:rsid w:val="009C27EA"/>
    <w:rsid w:val="009C2895"/>
    <w:rsid w:val="009C2964"/>
    <w:rsid w:val="009C2B71"/>
    <w:rsid w:val="009C2D05"/>
    <w:rsid w:val="009C2F21"/>
    <w:rsid w:val="009C2F5C"/>
    <w:rsid w:val="009C3D88"/>
    <w:rsid w:val="009C3F35"/>
    <w:rsid w:val="009C40B8"/>
    <w:rsid w:val="009C46C4"/>
    <w:rsid w:val="009C4CC2"/>
    <w:rsid w:val="009C52F2"/>
    <w:rsid w:val="009C5A32"/>
    <w:rsid w:val="009C5B16"/>
    <w:rsid w:val="009C5B8C"/>
    <w:rsid w:val="009C5D8F"/>
    <w:rsid w:val="009C67BA"/>
    <w:rsid w:val="009C6A9C"/>
    <w:rsid w:val="009C6D83"/>
    <w:rsid w:val="009C6F48"/>
    <w:rsid w:val="009C72A3"/>
    <w:rsid w:val="009C72FA"/>
    <w:rsid w:val="009C7AD5"/>
    <w:rsid w:val="009C7C5F"/>
    <w:rsid w:val="009D0AE1"/>
    <w:rsid w:val="009D0B4B"/>
    <w:rsid w:val="009D0D7E"/>
    <w:rsid w:val="009D12F9"/>
    <w:rsid w:val="009D1622"/>
    <w:rsid w:val="009D169B"/>
    <w:rsid w:val="009D1A2F"/>
    <w:rsid w:val="009D1A67"/>
    <w:rsid w:val="009D2136"/>
    <w:rsid w:val="009D223F"/>
    <w:rsid w:val="009D2821"/>
    <w:rsid w:val="009D332D"/>
    <w:rsid w:val="009D3644"/>
    <w:rsid w:val="009D36A5"/>
    <w:rsid w:val="009D5880"/>
    <w:rsid w:val="009D59FA"/>
    <w:rsid w:val="009D5C99"/>
    <w:rsid w:val="009D6112"/>
    <w:rsid w:val="009D696E"/>
    <w:rsid w:val="009D6AA6"/>
    <w:rsid w:val="009D6D60"/>
    <w:rsid w:val="009D70AF"/>
    <w:rsid w:val="009D7472"/>
    <w:rsid w:val="009D7F6D"/>
    <w:rsid w:val="009D7FE2"/>
    <w:rsid w:val="009E007A"/>
    <w:rsid w:val="009E0C3E"/>
    <w:rsid w:val="009E179E"/>
    <w:rsid w:val="009E23AD"/>
    <w:rsid w:val="009E3474"/>
    <w:rsid w:val="009E35AE"/>
    <w:rsid w:val="009E3858"/>
    <w:rsid w:val="009E3981"/>
    <w:rsid w:val="009E3B2C"/>
    <w:rsid w:val="009E3C25"/>
    <w:rsid w:val="009E436D"/>
    <w:rsid w:val="009E467D"/>
    <w:rsid w:val="009E4C03"/>
    <w:rsid w:val="009E4F59"/>
    <w:rsid w:val="009E5190"/>
    <w:rsid w:val="009E64E9"/>
    <w:rsid w:val="009E6C49"/>
    <w:rsid w:val="009E6DBC"/>
    <w:rsid w:val="009E6DF6"/>
    <w:rsid w:val="009E6F21"/>
    <w:rsid w:val="009E70DD"/>
    <w:rsid w:val="009E7AC7"/>
    <w:rsid w:val="009E7AF3"/>
    <w:rsid w:val="009E7C83"/>
    <w:rsid w:val="009E7CF6"/>
    <w:rsid w:val="009F03A2"/>
    <w:rsid w:val="009F0935"/>
    <w:rsid w:val="009F0AC9"/>
    <w:rsid w:val="009F0CCA"/>
    <w:rsid w:val="009F0DF8"/>
    <w:rsid w:val="009F14F6"/>
    <w:rsid w:val="009F2990"/>
    <w:rsid w:val="009F2B4C"/>
    <w:rsid w:val="009F2D11"/>
    <w:rsid w:val="009F2ED9"/>
    <w:rsid w:val="009F3231"/>
    <w:rsid w:val="009F3457"/>
    <w:rsid w:val="009F362A"/>
    <w:rsid w:val="009F3BB2"/>
    <w:rsid w:val="009F3BD1"/>
    <w:rsid w:val="009F4A20"/>
    <w:rsid w:val="009F4A60"/>
    <w:rsid w:val="009F4E09"/>
    <w:rsid w:val="009F4E8C"/>
    <w:rsid w:val="009F5AC3"/>
    <w:rsid w:val="009F5C58"/>
    <w:rsid w:val="009F621D"/>
    <w:rsid w:val="009F6393"/>
    <w:rsid w:val="009F64F6"/>
    <w:rsid w:val="009F6605"/>
    <w:rsid w:val="009F6714"/>
    <w:rsid w:val="009F67A6"/>
    <w:rsid w:val="009F6858"/>
    <w:rsid w:val="009F6DB6"/>
    <w:rsid w:val="009F70DA"/>
    <w:rsid w:val="009F710A"/>
    <w:rsid w:val="009F7427"/>
    <w:rsid w:val="009F76F7"/>
    <w:rsid w:val="009F7BEC"/>
    <w:rsid w:val="00A004A2"/>
    <w:rsid w:val="00A009AF"/>
    <w:rsid w:val="00A00B85"/>
    <w:rsid w:val="00A00DE6"/>
    <w:rsid w:val="00A01A1A"/>
    <w:rsid w:val="00A0236F"/>
    <w:rsid w:val="00A023A0"/>
    <w:rsid w:val="00A02492"/>
    <w:rsid w:val="00A02D00"/>
    <w:rsid w:val="00A03078"/>
    <w:rsid w:val="00A0334A"/>
    <w:rsid w:val="00A0371C"/>
    <w:rsid w:val="00A03CE8"/>
    <w:rsid w:val="00A04688"/>
    <w:rsid w:val="00A04A4B"/>
    <w:rsid w:val="00A04F78"/>
    <w:rsid w:val="00A05380"/>
    <w:rsid w:val="00A053EC"/>
    <w:rsid w:val="00A0572F"/>
    <w:rsid w:val="00A060D8"/>
    <w:rsid w:val="00A065FD"/>
    <w:rsid w:val="00A0677F"/>
    <w:rsid w:val="00A06892"/>
    <w:rsid w:val="00A06A90"/>
    <w:rsid w:val="00A06CBC"/>
    <w:rsid w:val="00A07030"/>
    <w:rsid w:val="00A0772B"/>
    <w:rsid w:val="00A10147"/>
    <w:rsid w:val="00A1056F"/>
    <w:rsid w:val="00A10628"/>
    <w:rsid w:val="00A10CA6"/>
    <w:rsid w:val="00A10CD5"/>
    <w:rsid w:val="00A10D58"/>
    <w:rsid w:val="00A1152C"/>
    <w:rsid w:val="00A11A17"/>
    <w:rsid w:val="00A11D09"/>
    <w:rsid w:val="00A120E8"/>
    <w:rsid w:val="00A1211F"/>
    <w:rsid w:val="00A122E5"/>
    <w:rsid w:val="00A12534"/>
    <w:rsid w:val="00A12A49"/>
    <w:rsid w:val="00A12B37"/>
    <w:rsid w:val="00A12C24"/>
    <w:rsid w:val="00A12E2F"/>
    <w:rsid w:val="00A132AF"/>
    <w:rsid w:val="00A13F0A"/>
    <w:rsid w:val="00A142C0"/>
    <w:rsid w:val="00A146E2"/>
    <w:rsid w:val="00A14AC7"/>
    <w:rsid w:val="00A155D2"/>
    <w:rsid w:val="00A1562B"/>
    <w:rsid w:val="00A15FDB"/>
    <w:rsid w:val="00A16534"/>
    <w:rsid w:val="00A16EBC"/>
    <w:rsid w:val="00A170F4"/>
    <w:rsid w:val="00A17130"/>
    <w:rsid w:val="00A172B0"/>
    <w:rsid w:val="00A1746B"/>
    <w:rsid w:val="00A1781C"/>
    <w:rsid w:val="00A179D1"/>
    <w:rsid w:val="00A17D43"/>
    <w:rsid w:val="00A17EBA"/>
    <w:rsid w:val="00A20244"/>
    <w:rsid w:val="00A202FE"/>
    <w:rsid w:val="00A20CDB"/>
    <w:rsid w:val="00A21003"/>
    <w:rsid w:val="00A21408"/>
    <w:rsid w:val="00A2152F"/>
    <w:rsid w:val="00A21647"/>
    <w:rsid w:val="00A21CFD"/>
    <w:rsid w:val="00A22030"/>
    <w:rsid w:val="00A220F8"/>
    <w:rsid w:val="00A2287F"/>
    <w:rsid w:val="00A22D12"/>
    <w:rsid w:val="00A22E21"/>
    <w:rsid w:val="00A232E5"/>
    <w:rsid w:val="00A23826"/>
    <w:rsid w:val="00A23871"/>
    <w:rsid w:val="00A23B25"/>
    <w:rsid w:val="00A23D2C"/>
    <w:rsid w:val="00A2415F"/>
    <w:rsid w:val="00A24BC8"/>
    <w:rsid w:val="00A24CFE"/>
    <w:rsid w:val="00A2529C"/>
    <w:rsid w:val="00A25507"/>
    <w:rsid w:val="00A25926"/>
    <w:rsid w:val="00A25A55"/>
    <w:rsid w:val="00A25B35"/>
    <w:rsid w:val="00A25B78"/>
    <w:rsid w:val="00A26421"/>
    <w:rsid w:val="00A26605"/>
    <w:rsid w:val="00A2677C"/>
    <w:rsid w:val="00A26BA3"/>
    <w:rsid w:val="00A26DFC"/>
    <w:rsid w:val="00A27168"/>
    <w:rsid w:val="00A30132"/>
    <w:rsid w:val="00A3023A"/>
    <w:rsid w:val="00A31247"/>
    <w:rsid w:val="00A3130D"/>
    <w:rsid w:val="00A3142B"/>
    <w:rsid w:val="00A317BD"/>
    <w:rsid w:val="00A3193E"/>
    <w:rsid w:val="00A3215A"/>
    <w:rsid w:val="00A32272"/>
    <w:rsid w:val="00A32717"/>
    <w:rsid w:val="00A32744"/>
    <w:rsid w:val="00A329EB"/>
    <w:rsid w:val="00A32B61"/>
    <w:rsid w:val="00A32DB3"/>
    <w:rsid w:val="00A337BD"/>
    <w:rsid w:val="00A33972"/>
    <w:rsid w:val="00A33C8B"/>
    <w:rsid w:val="00A34737"/>
    <w:rsid w:val="00A34CE6"/>
    <w:rsid w:val="00A34E5D"/>
    <w:rsid w:val="00A35472"/>
    <w:rsid w:val="00A3588E"/>
    <w:rsid w:val="00A3598D"/>
    <w:rsid w:val="00A35D39"/>
    <w:rsid w:val="00A3653B"/>
    <w:rsid w:val="00A365CE"/>
    <w:rsid w:val="00A36824"/>
    <w:rsid w:val="00A36E2D"/>
    <w:rsid w:val="00A37381"/>
    <w:rsid w:val="00A37588"/>
    <w:rsid w:val="00A37A21"/>
    <w:rsid w:val="00A37B44"/>
    <w:rsid w:val="00A37B47"/>
    <w:rsid w:val="00A37FEF"/>
    <w:rsid w:val="00A40095"/>
    <w:rsid w:val="00A40416"/>
    <w:rsid w:val="00A404DA"/>
    <w:rsid w:val="00A40D8F"/>
    <w:rsid w:val="00A40F35"/>
    <w:rsid w:val="00A4100B"/>
    <w:rsid w:val="00A410B7"/>
    <w:rsid w:val="00A41762"/>
    <w:rsid w:val="00A41B38"/>
    <w:rsid w:val="00A41DEA"/>
    <w:rsid w:val="00A421F6"/>
    <w:rsid w:val="00A42CBD"/>
    <w:rsid w:val="00A43073"/>
    <w:rsid w:val="00A43582"/>
    <w:rsid w:val="00A43926"/>
    <w:rsid w:val="00A439C3"/>
    <w:rsid w:val="00A43E26"/>
    <w:rsid w:val="00A43EE0"/>
    <w:rsid w:val="00A44175"/>
    <w:rsid w:val="00A44428"/>
    <w:rsid w:val="00A4462C"/>
    <w:rsid w:val="00A45389"/>
    <w:rsid w:val="00A45461"/>
    <w:rsid w:val="00A4607D"/>
    <w:rsid w:val="00A462B4"/>
    <w:rsid w:val="00A46610"/>
    <w:rsid w:val="00A468DC"/>
    <w:rsid w:val="00A46BA8"/>
    <w:rsid w:val="00A46EFE"/>
    <w:rsid w:val="00A46F6D"/>
    <w:rsid w:val="00A471AF"/>
    <w:rsid w:val="00A472AA"/>
    <w:rsid w:val="00A47634"/>
    <w:rsid w:val="00A47696"/>
    <w:rsid w:val="00A47BB8"/>
    <w:rsid w:val="00A47F5F"/>
    <w:rsid w:val="00A50789"/>
    <w:rsid w:val="00A509FD"/>
    <w:rsid w:val="00A50E67"/>
    <w:rsid w:val="00A51342"/>
    <w:rsid w:val="00A514F3"/>
    <w:rsid w:val="00A51D25"/>
    <w:rsid w:val="00A52049"/>
    <w:rsid w:val="00A5208A"/>
    <w:rsid w:val="00A52726"/>
    <w:rsid w:val="00A5298A"/>
    <w:rsid w:val="00A52A18"/>
    <w:rsid w:val="00A52BF0"/>
    <w:rsid w:val="00A5367C"/>
    <w:rsid w:val="00A5374E"/>
    <w:rsid w:val="00A5395D"/>
    <w:rsid w:val="00A53A59"/>
    <w:rsid w:val="00A53AE6"/>
    <w:rsid w:val="00A53F7C"/>
    <w:rsid w:val="00A541F7"/>
    <w:rsid w:val="00A545CF"/>
    <w:rsid w:val="00A54850"/>
    <w:rsid w:val="00A54E51"/>
    <w:rsid w:val="00A5537F"/>
    <w:rsid w:val="00A55740"/>
    <w:rsid w:val="00A558CE"/>
    <w:rsid w:val="00A55D07"/>
    <w:rsid w:val="00A55E13"/>
    <w:rsid w:val="00A56063"/>
    <w:rsid w:val="00A56384"/>
    <w:rsid w:val="00A56389"/>
    <w:rsid w:val="00A564A3"/>
    <w:rsid w:val="00A568AF"/>
    <w:rsid w:val="00A56953"/>
    <w:rsid w:val="00A5728B"/>
    <w:rsid w:val="00A574DE"/>
    <w:rsid w:val="00A57589"/>
    <w:rsid w:val="00A5763B"/>
    <w:rsid w:val="00A60A7F"/>
    <w:rsid w:val="00A60CA9"/>
    <w:rsid w:val="00A60CDF"/>
    <w:rsid w:val="00A612FE"/>
    <w:rsid w:val="00A61BCE"/>
    <w:rsid w:val="00A61E8D"/>
    <w:rsid w:val="00A62030"/>
    <w:rsid w:val="00A620AC"/>
    <w:rsid w:val="00A620DE"/>
    <w:rsid w:val="00A622C6"/>
    <w:rsid w:val="00A6260C"/>
    <w:rsid w:val="00A626F2"/>
    <w:rsid w:val="00A62892"/>
    <w:rsid w:val="00A62AD0"/>
    <w:rsid w:val="00A62D9F"/>
    <w:rsid w:val="00A63043"/>
    <w:rsid w:val="00A631E3"/>
    <w:rsid w:val="00A63485"/>
    <w:rsid w:val="00A63AF5"/>
    <w:rsid w:val="00A63E46"/>
    <w:rsid w:val="00A63F46"/>
    <w:rsid w:val="00A6449E"/>
    <w:rsid w:val="00A64632"/>
    <w:rsid w:val="00A646B1"/>
    <w:rsid w:val="00A654A1"/>
    <w:rsid w:val="00A6573E"/>
    <w:rsid w:val="00A65ADD"/>
    <w:rsid w:val="00A65F6D"/>
    <w:rsid w:val="00A65FDB"/>
    <w:rsid w:val="00A667A8"/>
    <w:rsid w:val="00A6682E"/>
    <w:rsid w:val="00A66FC3"/>
    <w:rsid w:val="00A67116"/>
    <w:rsid w:val="00A6760B"/>
    <w:rsid w:val="00A67708"/>
    <w:rsid w:val="00A67C2C"/>
    <w:rsid w:val="00A70089"/>
    <w:rsid w:val="00A700D9"/>
    <w:rsid w:val="00A705AD"/>
    <w:rsid w:val="00A706A3"/>
    <w:rsid w:val="00A708B4"/>
    <w:rsid w:val="00A711BF"/>
    <w:rsid w:val="00A71218"/>
    <w:rsid w:val="00A71650"/>
    <w:rsid w:val="00A71F09"/>
    <w:rsid w:val="00A71FF1"/>
    <w:rsid w:val="00A72219"/>
    <w:rsid w:val="00A7228C"/>
    <w:rsid w:val="00A726B2"/>
    <w:rsid w:val="00A72CF5"/>
    <w:rsid w:val="00A73D13"/>
    <w:rsid w:val="00A74141"/>
    <w:rsid w:val="00A74BAC"/>
    <w:rsid w:val="00A74C58"/>
    <w:rsid w:val="00A74C70"/>
    <w:rsid w:val="00A7524D"/>
    <w:rsid w:val="00A7533D"/>
    <w:rsid w:val="00A75960"/>
    <w:rsid w:val="00A75A58"/>
    <w:rsid w:val="00A75DF3"/>
    <w:rsid w:val="00A76164"/>
    <w:rsid w:val="00A761B8"/>
    <w:rsid w:val="00A77163"/>
    <w:rsid w:val="00A77405"/>
    <w:rsid w:val="00A77474"/>
    <w:rsid w:val="00A774E3"/>
    <w:rsid w:val="00A77AC5"/>
    <w:rsid w:val="00A77DAD"/>
    <w:rsid w:val="00A80C82"/>
    <w:rsid w:val="00A80CA9"/>
    <w:rsid w:val="00A81148"/>
    <w:rsid w:val="00A813AA"/>
    <w:rsid w:val="00A816FE"/>
    <w:rsid w:val="00A8170C"/>
    <w:rsid w:val="00A818C3"/>
    <w:rsid w:val="00A819A3"/>
    <w:rsid w:val="00A821E6"/>
    <w:rsid w:val="00A82358"/>
    <w:rsid w:val="00A82565"/>
    <w:rsid w:val="00A825D7"/>
    <w:rsid w:val="00A82F5A"/>
    <w:rsid w:val="00A8335B"/>
    <w:rsid w:val="00A83384"/>
    <w:rsid w:val="00A838A6"/>
    <w:rsid w:val="00A83988"/>
    <w:rsid w:val="00A839B9"/>
    <w:rsid w:val="00A84BC4"/>
    <w:rsid w:val="00A84D67"/>
    <w:rsid w:val="00A85435"/>
    <w:rsid w:val="00A855B2"/>
    <w:rsid w:val="00A856D7"/>
    <w:rsid w:val="00A857A1"/>
    <w:rsid w:val="00A859C0"/>
    <w:rsid w:val="00A85F6B"/>
    <w:rsid w:val="00A85FA2"/>
    <w:rsid w:val="00A8673A"/>
    <w:rsid w:val="00A86CFE"/>
    <w:rsid w:val="00A87028"/>
    <w:rsid w:val="00A879E7"/>
    <w:rsid w:val="00A87EEC"/>
    <w:rsid w:val="00A9001A"/>
    <w:rsid w:val="00A900D7"/>
    <w:rsid w:val="00A9025F"/>
    <w:rsid w:val="00A904A7"/>
    <w:rsid w:val="00A90722"/>
    <w:rsid w:val="00A908F4"/>
    <w:rsid w:val="00A909FC"/>
    <w:rsid w:val="00A90A82"/>
    <w:rsid w:val="00A90C13"/>
    <w:rsid w:val="00A90E4D"/>
    <w:rsid w:val="00A91103"/>
    <w:rsid w:val="00A91415"/>
    <w:rsid w:val="00A914F6"/>
    <w:rsid w:val="00A918DF"/>
    <w:rsid w:val="00A91B82"/>
    <w:rsid w:val="00A91B96"/>
    <w:rsid w:val="00A91BB1"/>
    <w:rsid w:val="00A9235E"/>
    <w:rsid w:val="00A924DD"/>
    <w:rsid w:val="00A92B6A"/>
    <w:rsid w:val="00A9353F"/>
    <w:rsid w:val="00A937FD"/>
    <w:rsid w:val="00A939E2"/>
    <w:rsid w:val="00A93D21"/>
    <w:rsid w:val="00A93FF4"/>
    <w:rsid w:val="00A94052"/>
    <w:rsid w:val="00A94EB0"/>
    <w:rsid w:val="00A955EB"/>
    <w:rsid w:val="00A9573F"/>
    <w:rsid w:val="00A95969"/>
    <w:rsid w:val="00A95A5D"/>
    <w:rsid w:val="00A95C06"/>
    <w:rsid w:val="00A96030"/>
    <w:rsid w:val="00A96740"/>
    <w:rsid w:val="00A96C6E"/>
    <w:rsid w:val="00A97081"/>
    <w:rsid w:val="00A97AD2"/>
    <w:rsid w:val="00A97AF7"/>
    <w:rsid w:val="00A97FEC"/>
    <w:rsid w:val="00AA02EE"/>
    <w:rsid w:val="00AA0722"/>
    <w:rsid w:val="00AA08C5"/>
    <w:rsid w:val="00AA09CA"/>
    <w:rsid w:val="00AA0CD6"/>
    <w:rsid w:val="00AA1139"/>
    <w:rsid w:val="00AA19DD"/>
    <w:rsid w:val="00AA1D22"/>
    <w:rsid w:val="00AA1F39"/>
    <w:rsid w:val="00AA1FFA"/>
    <w:rsid w:val="00AA2131"/>
    <w:rsid w:val="00AA21D9"/>
    <w:rsid w:val="00AA2415"/>
    <w:rsid w:val="00AA257D"/>
    <w:rsid w:val="00AA2618"/>
    <w:rsid w:val="00AA26B8"/>
    <w:rsid w:val="00AA291F"/>
    <w:rsid w:val="00AA2B0E"/>
    <w:rsid w:val="00AA33A7"/>
    <w:rsid w:val="00AA37AB"/>
    <w:rsid w:val="00AA3BA5"/>
    <w:rsid w:val="00AA4D6B"/>
    <w:rsid w:val="00AA4D78"/>
    <w:rsid w:val="00AA5159"/>
    <w:rsid w:val="00AA517D"/>
    <w:rsid w:val="00AA5375"/>
    <w:rsid w:val="00AA5450"/>
    <w:rsid w:val="00AA5758"/>
    <w:rsid w:val="00AA5BA1"/>
    <w:rsid w:val="00AA5E4F"/>
    <w:rsid w:val="00AA5E76"/>
    <w:rsid w:val="00AA67C9"/>
    <w:rsid w:val="00AA6831"/>
    <w:rsid w:val="00AA697E"/>
    <w:rsid w:val="00AA6F97"/>
    <w:rsid w:val="00AA6FFB"/>
    <w:rsid w:val="00AA7747"/>
    <w:rsid w:val="00AAC3D7"/>
    <w:rsid w:val="00AB00E9"/>
    <w:rsid w:val="00AB099C"/>
    <w:rsid w:val="00AB0E3E"/>
    <w:rsid w:val="00AB1359"/>
    <w:rsid w:val="00AB15B6"/>
    <w:rsid w:val="00AB1741"/>
    <w:rsid w:val="00AB2DB9"/>
    <w:rsid w:val="00AB2F59"/>
    <w:rsid w:val="00AB3075"/>
    <w:rsid w:val="00AB3A9E"/>
    <w:rsid w:val="00AB3AD7"/>
    <w:rsid w:val="00AB3C00"/>
    <w:rsid w:val="00AB42C2"/>
    <w:rsid w:val="00AB44C6"/>
    <w:rsid w:val="00AB4894"/>
    <w:rsid w:val="00AB4914"/>
    <w:rsid w:val="00AB4BB5"/>
    <w:rsid w:val="00AB4D3F"/>
    <w:rsid w:val="00AB4EEA"/>
    <w:rsid w:val="00AB5612"/>
    <w:rsid w:val="00AB5AEB"/>
    <w:rsid w:val="00AB656F"/>
    <w:rsid w:val="00AB663B"/>
    <w:rsid w:val="00AB6A51"/>
    <w:rsid w:val="00AB6B3E"/>
    <w:rsid w:val="00AB7712"/>
    <w:rsid w:val="00AB77B6"/>
    <w:rsid w:val="00AB78C4"/>
    <w:rsid w:val="00AB79E6"/>
    <w:rsid w:val="00AB7BED"/>
    <w:rsid w:val="00AB7FE9"/>
    <w:rsid w:val="00AC02DA"/>
    <w:rsid w:val="00AC070A"/>
    <w:rsid w:val="00AC0775"/>
    <w:rsid w:val="00AC092B"/>
    <w:rsid w:val="00AC0A72"/>
    <w:rsid w:val="00AC0B87"/>
    <w:rsid w:val="00AC0DAE"/>
    <w:rsid w:val="00AC0EDC"/>
    <w:rsid w:val="00AC1193"/>
    <w:rsid w:val="00AC164C"/>
    <w:rsid w:val="00AC1BD0"/>
    <w:rsid w:val="00AC1DCA"/>
    <w:rsid w:val="00AC214D"/>
    <w:rsid w:val="00AC223D"/>
    <w:rsid w:val="00AC2624"/>
    <w:rsid w:val="00AC263B"/>
    <w:rsid w:val="00AC2A44"/>
    <w:rsid w:val="00AC2E71"/>
    <w:rsid w:val="00AC32DE"/>
    <w:rsid w:val="00AC3630"/>
    <w:rsid w:val="00AC432A"/>
    <w:rsid w:val="00AC4342"/>
    <w:rsid w:val="00AC4418"/>
    <w:rsid w:val="00AC48CF"/>
    <w:rsid w:val="00AC5A50"/>
    <w:rsid w:val="00AC60AC"/>
    <w:rsid w:val="00AC64FB"/>
    <w:rsid w:val="00AC68A8"/>
    <w:rsid w:val="00AC6BCF"/>
    <w:rsid w:val="00AC6FF5"/>
    <w:rsid w:val="00AC727C"/>
    <w:rsid w:val="00AC7390"/>
    <w:rsid w:val="00AD00B7"/>
    <w:rsid w:val="00AD04B9"/>
    <w:rsid w:val="00AD0A66"/>
    <w:rsid w:val="00AD146C"/>
    <w:rsid w:val="00AD193C"/>
    <w:rsid w:val="00AD1B60"/>
    <w:rsid w:val="00AD2E18"/>
    <w:rsid w:val="00AD34DD"/>
    <w:rsid w:val="00AD3FAB"/>
    <w:rsid w:val="00AD4866"/>
    <w:rsid w:val="00AD4B89"/>
    <w:rsid w:val="00AD5122"/>
    <w:rsid w:val="00AD5430"/>
    <w:rsid w:val="00AD58E4"/>
    <w:rsid w:val="00AD5933"/>
    <w:rsid w:val="00AD5BC8"/>
    <w:rsid w:val="00AD5DF5"/>
    <w:rsid w:val="00AD5DFD"/>
    <w:rsid w:val="00AD6104"/>
    <w:rsid w:val="00AD6460"/>
    <w:rsid w:val="00AD6570"/>
    <w:rsid w:val="00AD659C"/>
    <w:rsid w:val="00AD66BF"/>
    <w:rsid w:val="00AD686C"/>
    <w:rsid w:val="00AD6C01"/>
    <w:rsid w:val="00AD6E28"/>
    <w:rsid w:val="00AD713D"/>
    <w:rsid w:val="00AD73E4"/>
    <w:rsid w:val="00AD77C9"/>
    <w:rsid w:val="00AD7B39"/>
    <w:rsid w:val="00AD7D48"/>
    <w:rsid w:val="00AD7E4E"/>
    <w:rsid w:val="00AD7E53"/>
    <w:rsid w:val="00AE01BF"/>
    <w:rsid w:val="00AE0329"/>
    <w:rsid w:val="00AE0385"/>
    <w:rsid w:val="00AE0757"/>
    <w:rsid w:val="00AE0EBF"/>
    <w:rsid w:val="00AE1068"/>
    <w:rsid w:val="00AE1125"/>
    <w:rsid w:val="00AE175B"/>
    <w:rsid w:val="00AE18F7"/>
    <w:rsid w:val="00AE1E62"/>
    <w:rsid w:val="00AE1F85"/>
    <w:rsid w:val="00AE21D7"/>
    <w:rsid w:val="00AE38F8"/>
    <w:rsid w:val="00AE3965"/>
    <w:rsid w:val="00AE3A5B"/>
    <w:rsid w:val="00AE3E8D"/>
    <w:rsid w:val="00AE3F0F"/>
    <w:rsid w:val="00AE3F59"/>
    <w:rsid w:val="00AE4193"/>
    <w:rsid w:val="00AE4508"/>
    <w:rsid w:val="00AE45DE"/>
    <w:rsid w:val="00AE4AFE"/>
    <w:rsid w:val="00AE4C9F"/>
    <w:rsid w:val="00AE4E09"/>
    <w:rsid w:val="00AE53CF"/>
    <w:rsid w:val="00AE5A63"/>
    <w:rsid w:val="00AE6296"/>
    <w:rsid w:val="00AE6344"/>
    <w:rsid w:val="00AE68A4"/>
    <w:rsid w:val="00AE68E0"/>
    <w:rsid w:val="00AE6A5D"/>
    <w:rsid w:val="00AE706D"/>
    <w:rsid w:val="00AE7242"/>
    <w:rsid w:val="00AE7574"/>
    <w:rsid w:val="00AE79AA"/>
    <w:rsid w:val="00AE7ED5"/>
    <w:rsid w:val="00AE8C22"/>
    <w:rsid w:val="00AF013D"/>
    <w:rsid w:val="00AF050A"/>
    <w:rsid w:val="00AF0999"/>
    <w:rsid w:val="00AF09A0"/>
    <w:rsid w:val="00AF0B18"/>
    <w:rsid w:val="00AF13A7"/>
    <w:rsid w:val="00AF146F"/>
    <w:rsid w:val="00AF1569"/>
    <w:rsid w:val="00AF1AC5"/>
    <w:rsid w:val="00AF1CDA"/>
    <w:rsid w:val="00AF21EC"/>
    <w:rsid w:val="00AF2730"/>
    <w:rsid w:val="00AF27EB"/>
    <w:rsid w:val="00AF2887"/>
    <w:rsid w:val="00AF2CAE"/>
    <w:rsid w:val="00AF2F20"/>
    <w:rsid w:val="00AF34DF"/>
    <w:rsid w:val="00AF372A"/>
    <w:rsid w:val="00AF38C8"/>
    <w:rsid w:val="00AF3E62"/>
    <w:rsid w:val="00AF407A"/>
    <w:rsid w:val="00AF479C"/>
    <w:rsid w:val="00AF4BA6"/>
    <w:rsid w:val="00AF4D58"/>
    <w:rsid w:val="00AF5105"/>
    <w:rsid w:val="00AF5356"/>
    <w:rsid w:val="00AF5907"/>
    <w:rsid w:val="00AF5DF7"/>
    <w:rsid w:val="00AF6666"/>
    <w:rsid w:val="00AF680D"/>
    <w:rsid w:val="00AF7392"/>
    <w:rsid w:val="00AF78C7"/>
    <w:rsid w:val="00AF7C4D"/>
    <w:rsid w:val="00B000A0"/>
    <w:rsid w:val="00B00764"/>
    <w:rsid w:val="00B007BE"/>
    <w:rsid w:val="00B00A02"/>
    <w:rsid w:val="00B00B05"/>
    <w:rsid w:val="00B00E7C"/>
    <w:rsid w:val="00B00F36"/>
    <w:rsid w:val="00B01118"/>
    <w:rsid w:val="00B0126A"/>
    <w:rsid w:val="00B016C8"/>
    <w:rsid w:val="00B01E46"/>
    <w:rsid w:val="00B02129"/>
    <w:rsid w:val="00B022E3"/>
    <w:rsid w:val="00B02397"/>
    <w:rsid w:val="00B02E95"/>
    <w:rsid w:val="00B0331F"/>
    <w:rsid w:val="00B03488"/>
    <w:rsid w:val="00B03A3F"/>
    <w:rsid w:val="00B03A66"/>
    <w:rsid w:val="00B03BE8"/>
    <w:rsid w:val="00B03F91"/>
    <w:rsid w:val="00B0460F"/>
    <w:rsid w:val="00B04CB3"/>
    <w:rsid w:val="00B05049"/>
    <w:rsid w:val="00B05F1E"/>
    <w:rsid w:val="00B066D3"/>
    <w:rsid w:val="00B06A91"/>
    <w:rsid w:val="00B06DAB"/>
    <w:rsid w:val="00B077F3"/>
    <w:rsid w:val="00B07D27"/>
    <w:rsid w:val="00B07D99"/>
    <w:rsid w:val="00B10602"/>
    <w:rsid w:val="00B1066D"/>
    <w:rsid w:val="00B10786"/>
    <w:rsid w:val="00B10B6D"/>
    <w:rsid w:val="00B110AC"/>
    <w:rsid w:val="00B113D7"/>
    <w:rsid w:val="00B1140F"/>
    <w:rsid w:val="00B11969"/>
    <w:rsid w:val="00B11B20"/>
    <w:rsid w:val="00B11BDF"/>
    <w:rsid w:val="00B11D68"/>
    <w:rsid w:val="00B1231C"/>
    <w:rsid w:val="00B12CFE"/>
    <w:rsid w:val="00B12FFB"/>
    <w:rsid w:val="00B133FC"/>
    <w:rsid w:val="00B13E61"/>
    <w:rsid w:val="00B1421D"/>
    <w:rsid w:val="00B14704"/>
    <w:rsid w:val="00B149D8"/>
    <w:rsid w:val="00B149EE"/>
    <w:rsid w:val="00B14A80"/>
    <w:rsid w:val="00B14D5C"/>
    <w:rsid w:val="00B14F09"/>
    <w:rsid w:val="00B14FC6"/>
    <w:rsid w:val="00B15096"/>
    <w:rsid w:val="00B15234"/>
    <w:rsid w:val="00B152E1"/>
    <w:rsid w:val="00B15518"/>
    <w:rsid w:val="00B16296"/>
    <w:rsid w:val="00B16587"/>
    <w:rsid w:val="00B172BB"/>
    <w:rsid w:val="00B1744A"/>
    <w:rsid w:val="00B176E0"/>
    <w:rsid w:val="00B17E66"/>
    <w:rsid w:val="00B200D6"/>
    <w:rsid w:val="00B204A9"/>
    <w:rsid w:val="00B2073D"/>
    <w:rsid w:val="00B20844"/>
    <w:rsid w:val="00B20E02"/>
    <w:rsid w:val="00B21308"/>
    <w:rsid w:val="00B21565"/>
    <w:rsid w:val="00B21C84"/>
    <w:rsid w:val="00B222ED"/>
    <w:rsid w:val="00B2297D"/>
    <w:rsid w:val="00B229AF"/>
    <w:rsid w:val="00B22CA2"/>
    <w:rsid w:val="00B22EA5"/>
    <w:rsid w:val="00B22F54"/>
    <w:rsid w:val="00B2316B"/>
    <w:rsid w:val="00B232B1"/>
    <w:rsid w:val="00B23EA5"/>
    <w:rsid w:val="00B240DA"/>
    <w:rsid w:val="00B243C2"/>
    <w:rsid w:val="00B24521"/>
    <w:rsid w:val="00B246A4"/>
    <w:rsid w:val="00B246AE"/>
    <w:rsid w:val="00B24FD4"/>
    <w:rsid w:val="00B25221"/>
    <w:rsid w:val="00B25CEE"/>
    <w:rsid w:val="00B25DAF"/>
    <w:rsid w:val="00B2671F"/>
    <w:rsid w:val="00B26C6D"/>
    <w:rsid w:val="00B26D72"/>
    <w:rsid w:val="00B26D7E"/>
    <w:rsid w:val="00B26E9B"/>
    <w:rsid w:val="00B26F24"/>
    <w:rsid w:val="00B26FB3"/>
    <w:rsid w:val="00B2701A"/>
    <w:rsid w:val="00B2748B"/>
    <w:rsid w:val="00B27511"/>
    <w:rsid w:val="00B275B4"/>
    <w:rsid w:val="00B27A4B"/>
    <w:rsid w:val="00B27AA7"/>
    <w:rsid w:val="00B27C71"/>
    <w:rsid w:val="00B27E39"/>
    <w:rsid w:val="00B29000"/>
    <w:rsid w:val="00B3056E"/>
    <w:rsid w:val="00B30C24"/>
    <w:rsid w:val="00B311D4"/>
    <w:rsid w:val="00B319D0"/>
    <w:rsid w:val="00B31B79"/>
    <w:rsid w:val="00B31E47"/>
    <w:rsid w:val="00B31F87"/>
    <w:rsid w:val="00B326A7"/>
    <w:rsid w:val="00B326F4"/>
    <w:rsid w:val="00B32836"/>
    <w:rsid w:val="00B328AA"/>
    <w:rsid w:val="00B329F7"/>
    <w:rsid w:val="00B32B45"/>
    <w:rsid w:val="00B32CF4"/>
    <w:rsid w:val="00B32E81"/>
    <w:rsid w:val="00B32E91"/>
    <w:rsid w:val="00B32F37"/>
    <w:rsid w:val="00B33268"/>
    <w:rsid w:val="00B332F9"/>
    <w:rsid w:val="00B33722"/>
    <w:rsid w:val="00B337B1"/>
    <w:rsid w:val="00B33818"/>
    <w:rsid w:val="00B33A08"/>
    <w:rsid w:val="00B34085"/>
    <w:rsid w:val="00B3409F"/>
    <w:rsid w:val="00B340AA"/>
    <w:rsid w:val="00B34462"/>
    <w:rsid w:val="00B34511"/>
    <w:rsid w:val="00B34772"/>
    <w:rsid w:val="00B34780"/>
    <w:rsid w:val="00B349A8"/>
    <w:rsid w:val="00B350AD"/>
    <w:rsid w:val="00B356AA"/>
    <w:rsid w:val="00B357E4"/>
    <w:rsid w:val="00B35B1A"/>
    <w:rsid w:val="00B35BE8"/>
    <w:rsid w:val="00B368A4"/>
    <w:rsid w:val="00B36C44"/>
    <w:rsid w:val="00B36FF0"/>
    <w:rsid w:val="00B371F5"/>
    <w:rsid w:val="00B3742E"/>
    <w:rsid w:val="00B374EC"/>
    <w:rsid w:val="00B3780B"/>
    <w:rsid w:val="00B37A5C"/>
    <w:rsid w:val="00B37A7F"/>
    <w:rsid w:val="00B37C85"/>
    <w:rsid w:val="00B37D9C"/>
    <w:rsid w:val="00B37F7E"/>
    <w:rsid w:val="00B40047"/>
    <w:rsid w:val="00B401DA"/>
    <w:rsid w:val="00B40438"/>
    <w:rsid w:val="00B4091E"/>
    <w:rsid w:val="00B40FC3"/>
    <w:rsid w:val="00B41032"/>
    <w:rsid w:val="00B41161"/>
    <w:rsid w:val="00B4134B"/>
    <w:rsid w:val="00B4181D"/>
    <w:rsid w:val="00B41888"/>
    <w:rsid w:val="00B41BF8"/>
    <w:rsid w:val="00B41D02"/>
    <w:rsid w:val="00B41E99"/>
    <w:rsid w:val="00B4260E"/>
    <w:rsid w:val="00B42AB5"/>
    <w:rsid w:val="00B431B8"/>
    <w:rsid w:val="00B43CFD"/>
    <w:rsid w:val="00B444DF"/>
    <w:rsid w:val="00B4456F"/>
    <w:rsid w:val="00B4486D"/>
    <w:rsid w:val="00B45362"/>
    <w:rsid w:val="00B45A22"/>
    <w:rsid w:val="00B45C14"/>
    <w:rsid w:val="00B4621C"/>
    <w:rsid w:val="00B46514"/>
    <w:rsid w:val="00B4661C"/>
    <w:rsid w:val="00B46FDB"/>
    <w:rsid w:val="00B47311"/>
    <w:rsid w:val="00B474D9"/>
    <w:rsid w:val="00B47627"/>
    <w:rsid w:val="00B476A4"/>
    <w:rsid w:val="00B47C1B"/>
    <w:rsid w:val="00B47D3F"/>
    <w:rsid w:val="00B5099A"/>
    <w:rsid w:val="00B509DA"/>
    <w:rsid w:val="00B50D16"/>
    <w:rsid w:val="00B50DC6"/>
    <w:rsid w:val="00B50DEF"/>
    <w:rsid w:val="00B50DF1"/>
    <w:rsid w:val="00B50F74"/>
    <w:rsid w:val="00B51AB0"/>
    <w:rsid w:val="00B51E0A"/>
    <w:rsid w:val="00B51E4A"/>
    <w:rsid w:val="00B524F3"/>
    <w:rsid w:val="00B52AA3"/>
    <w:rsid w:val="00B52DAC"/>
    <w:rsid w:val="00B53EA6"/>
    <w:rsid w:val="00B53F4A"/>
    <w:rsid w:val="00B5404D"/>
    <w:rsid w:val="00B54491"/>
    <w:rsid w:val="00B546F0"/>
    <w:rsid w:val="00B54740"/>
    <w:rsid w:val="00B54B15"/>
    <w:rsid w:val="00B54E33"/>
    <w:rsid w:val="00B550A7"/>
    <w:rsid w:val="00B55268"/>
    <w:rsid w:val="00B55861"/>
    <w:rsid w:val="00B55A9C"/>
    <w:rsid w:val="00B55DD8"/>
    <w:rsid w:val="00B56123"/>
    <w:rsid w:val="00B5624C"/>
    <w:rsid w:val="00B56771"/>
    <w:rsid w:val="00B567DC"/>
    <w:rsid w:val="00B5694D"/>
    <w:rsid w:val="00B569F6"/>
    <w:rsid w:val="00B56A5E"/>
    <w:rsid w:val="00B56C03"/>
    <w:rsid w:val="00B56F5C"/>
    <w:rsid w:val="00B572EA"/>
    <w:rsid w:val="00B5737D"/>
    <w:rsid w:val="00B573CF"/>
    <w:rsid w:val="00B573FD"/>
    <w:rsid w:val="00B57648"/>
    <w:rsid w:val="00B57ADE"/>
    <w:rsid w:val="00B57FFA"/>
    <w:rsid w:val="00B57FFB"/>
    <w:rsid w:val="00B60C3C"/>
    <w:rsid w:val="00B60C6F"/>
    <w:rsid w:val="00B60D90"/>
    <w:rsid w:val="00B61348"/>
    <w:rsid w:val="00B6189E"/>
    <w:rsid w:val="00B61AB2"/>
    <w:rsid w:val="00B61D83"/>
    <w:rsid w:val="00B61E72"/>
    <w:rsid w:val="00B61EEF"/>
    <w:rsid w:val="00B63129"/>
    <w:rsid w:val="00B633FE"/>
    <w:rsid w:val="00B63FD6"/>
    <w:rsid w:val="00B64377"/>
    <w:rsid w:val="00B64392"/>
    <w:rsid w:val="00B64831"/>
    <w:rsid w:val="00B649F8"/>
    <w:rsid w:val="00B64A20"/>
    <w:rsid w:val="00B64B42"/>
    <w:rsid w:val="00B64D36"/>
    <w:rsid w:val="00B6501F"/>
    <w:rsid w:val="00B65701"/>
    <w:rsid w:val="00B657C5"/>
    <w:rsid w:val="00B65D40"/>
    <w:rsid w:val="00B66027"/>
    <w:rsid w:val="00B665E4"/>
    <w:rsid w:val="00B669ED"/>
    <w:rsid w:val="00B66A68"/>
    <w:rsid w:val="00B66B8F"/>
    <w:rsid w:val="00B66CC7"/>
    <w:rsid w:val="00B67383"/>
    <w:rsid w:val="00B676DA"/>
    <w:rsid w:val="00B67999"/>
    <w:rsid w:val="00B67C2D"/>
    <w:rsid w:val="00B67CCC"/>
    <w:rsid w:val="00B67CE1"/>
    <w:rsid w:val="00B700D1"/>
    <w:rsid w:val="00B700FB"/>
    <w:rsid w:val="00B7033A"/>
    <w:rsid w:val="00B70A99"/>
    <w:rsid w:val="00B70E0F"/>
    <w:rsid w:val="00B70F7A"/>
    <w:rsid w:val="00B7125C"/>
    <w:rsid w:val="00B712D8"/>
    <w:rsid w:val="00B71327"/>
    <w:rsid w:val="00B718D9"/>
    <w:rsid w:val="00B71D40"/>
    <w:rsid w:val="00B71E7C"/>
    <w:rsid w:val="00B71F44"/>
    <w:rsid w:val="00B7250C"/>
    <w:rsid w:val="00B725F6"/>
    <w:rsid w:val="00B72AFE"/>
    <w:rsid w:val="00B72D4A"/>
    <w:rsid w:val="00B73099"/>
    <w:rsid w:val="00B739EF"/>
    <w:rsid w:val="00B73AC7"/>
    <w:rsid w:val="00B73C2C"/>
    <w:rsid w:val="00B73F4C"/>
    <w:rsid w:val="00B7428F"/>
    <w:rsid w:val="00B74641"/>
    <w:rsid w:val="00B746CF"/>
    <w:rsid w:val="00B74CDE"/>
    <w:rsid w:val="00B74DEF"/>
    <w:rsid w:val="00B74E70"/>
    <w:rsid w:val="00B753CC"/>
    <w:rsid w:val="00B75A94"/>
    <w:rsid w:val="00B75FF7"/>
    <w:rsid w:val="00B76BE7"/>
    <w:rsid w:val="00B76FFE"/>
    <w:rsid w:val="00B770FE"/>
    <w:rsid w:val="00B77280"/>
    <w:rsid w:val="00B77A88"/>
    <w:rsid w:val="00B77B08"/>
    <w:rsid w:val="00B80C44"/>
    <w:rsid w:val="00B81013"/>
    <w:rsid w:val="00B813A6"/>
    <w:rsid w:val="00B815F9"/>
    <w:rsid w:val="00B8194B"/>
    <w:rsid w:val="00B81B39"/>
    <w:rsid w:val="00B81B44"/>
    <w:rsid w:val="00B81BE2"/>
    <w:rsid w:val="00B822CB"/>
    <w:rsid w:val="00B8252D"/>
    <w:rsid w:val="00B826CF"/>
    <w:rsid w:val="00B8290E"/>
    <w:rsid w:val="00B82ADF"/>
    <w:rsid w:val="00B83079"/>
    <w:rsid w:val="00B8339F"/>
    <w:rsid w:val="00B8350F"/>
    <w:rsid w:val="00B83882"/>
    <w:rsid w:val="00B83C92"/>
    <w:rsid w:val="00B844DD"/>
    <w:rsid w:val="00B8476C"/>
    <w:rsid w:val="00B84A48"/>
    <w:rsid w:val="00B8518A"/>
    <w:rsid w:val="00B856A3"/>
    <w:rsid w:val="00B85F18"/>
    <w:rsid w:val="00B85F47"/>
    <w:rsid w:val="00B86153"/>
    <w:rsid w:val="00B868A6"/>
    <w:rsid w:val="00B868E0"/>
    <w:rsid w:val="00B869D5"/>
    <w:rsid w:val="00B86B64"/>
    <w:rsid w:val="00B874D5"/>
    <w:rsid w:val="00B8773A"/>
    <w:rsid w:val="00B87B0C"/>
    <w:rsid w:val="00B87F7A"/>
    <w:rsid w:val="00B9053B"/>
    <w:rsid w:val="00B907BD"/>
    <w:rsid w:val="00B90A95"/>
    <w:rsid w:val="00B90C5C"/>
    <w:rsid w:val="00B910B4"/>
    <w:rsid w:val="00B9119D"/>
    <w:rsid w:val="00B91404"/>
    <w:rsid w:val="00B9148F"/>
    <w:rsid w:val="00B91634"/>
    <w:rsid w:val="00B917F3"/>
    <w:rsid w:val="00B91B23"/>
    <w:rsid w:val="00B91DDA"/>
    <w:rsid w:val="00B91F27"/>
    <w:rsid w:val="00B927A6"/>
    <w:rsid w:val="00B929EF"/>
    <w:rsid w:val="00B92DDA"/>
    <w:rsid w:val="00B92FAF"/>
    <w:rsid w:val="00B9303C"/>
    <w:rsid w:val="00B93542"/>
    <w:rsid w:val="00B93574"/>
    <w:rsid w:val="00B935DE"/>
    <w:rsid w:val="00B93910"/>
    <w:rsid w:val="00B9395F"/>
    <w:rsid w:val="00B942AE"/>
    <w:rsid w:val="00B942B6"/>
    <w:rsid w:val="00B944F7"/>
    <w:rsid w:val="00B94C78"/>
    <w:rsid w:val="00B94EF3"/>
    <w:rsid w:val="00B95355"/>
    <w:rsid w:val="00B954F3"/>
    <w:rsid w:val="00B95EFE"/>
    <w:rsid w:val="00B95F41"/>
    <w:rsid w:val="00B961D1"/>
    <w:rsid w:val="00B96760"/>
    <w:rsid w:val="00B96899"/>
    <w:rsid w:val="00B976EB"/>
    <w:rsid w:val="00B979D1"/>
    <w:rsid w:val="00BA0175"/>
    <w:rsid w:val="00BA02D6"/>
    <w:rsid w:val="00BA02FA"/>
    <w:rsid w:val="00BA06BF"/>
    <w:rsid w:val="00BA0975"/>
    <w:rsid w:val="00BA0B19"/>
    <w:rsid w:val="00BA0D33"/>
    <w:rsid w:val="00BA0EC0"/>
    <w:rsid w:val="00BA0F12"/>
    <w:rsid w:val="00BA1635"/>
    <w:rsid w:val="00BA1948"/>
    <w:rsid w:val="00BA196B"/>
    <w:rsid w:val="00BA21CA"/>
    <w:rsid w:val="00BA270F"/>
    <w:rsid w:val="00BA2881"/>
    <w:rsid w:val="00BA29C4"/>
    <w:rsid w:val="00BA2AE7"/>
    <w:rsid w:val="00BA3598"/>
    <w:rsid w:val="00BA3879"/>
    <w:rsid w:val="00BA408C"/>
    <w:rsid w:val="00BA4E63"/>
    <w:rsid w:val="00BA4FB6"/>
    <w:rsid w:val="00BA528A"/>
    <w:rsid w:val="00BA5506"/>
    <w:rsid w:val="00BA566E"/>
    <w:rsid w:val="00BA5BBE"/>
    <w:rsid w:val="00BA5D80"/>
    <w:rsid w:val="00BA5E78"/>
    <w:rsid w:val="00BA60BF"/>
    <w:rsid w:val="00BA6A24"/>
    <w:rsid w:val="00BA6ABD"/>
    <w:rsid w:val="00BA6C95"/>
    <w:rsid w:val="00BA70EF"/>
    <w:rsid w:val="00BA740A"/>
    <w:rsid w:val="00BB06DE"/>
    <w:rsid w:val="00BB0810"/>
    <w:rsid w:val="00BB15EB"/>
    <w:rsid w:val="00BB164B"/>
    <w:rsid w:val="00BB16AF"/>
    <w:rsid w:val="00BB1A2E"/>
    <w:rsid w:val="00BB1C17"/>
    <w:rsid w:val="00BB1E3F"/>
    <w:rsid w:val="00BB2F25"/>
    <w:rsid w:val="00BB33EB"/>
    <w:rsid w:val="00BB37AF"/>
    <w:rsid w:val="00BB3830"/>
    <w:rsid w:val="00BB3E53"/>
    <w:rsid w:val="00BB4D98"/>
    <w:rsid w:val="00BB4EBF"/>
    <w:rsid w:val="00BB4F77"/>
    <w:rsid w:val="00BB5144"/>
    <w:rsid w:val="00BB517F"/>
    <w:rsid w:val="00BB5472"/>
    <w:rsid w:val="00BB5624"/>
    <w:rsid w:val="00BB564C"/>
    <w:rsid w:val="00BB56CD"/>
    <w:rsid w:val="00BB592F"/>
    <w:rsid w:val="00BB59AC"/>
    <w:rsid w:val="00BB59E0"/>
    <w:rsid w:val="00BB615A"/>
    <w:rsid w:val="00BB61FB"/>
    <w:rsid w:val="00BB637F"/>
    <w:rsid w:val="00BB63CB"/>
    <w:rsid w:val="00BB69ED"/>
    <w:rsid w:val="00BB6AF7"/>
    <w:rsid w:val="00BB6D4B"/>
    <w:rsid w:val="00BB75A4"/>
    <w:rsid w:val="00BB767F"/>
    <w:rsid w:val="00BB7E10"/>
    <w:rsid w:val="00BB7F91"/>
    <w:rsid w:val="00BB7FD0"/>
    <w:rsid w:val="00BC015A"/>
    <w:rsid w:val="00BC0D2C"/>
    <w:rsid w:val="00BC0E32"/>
    <w:rsid w:val="00BC11F2"/>
    <w:rsid w:val="00BC12D4"/>
    <w:rsid w:val="00BC16A6"/>
    <w:rsid w:val="00BC1846"/>
    <w:rsid w:val="00BC1E5D"/>
    <w:rsid w:val="00BC2339"/>
    <w:rsid w:val="00BC2365"/>
    <w:rsid w:val="00BC29E3"/>
    <w:rsid w:val="00BC3027"/>
    <w:rsid w:val="00BC3422"/>
    <w:rsid w:val="00BC3949"/>
    <w:rsid w:val="00BC4390"/>
    <w:rsid w:val="00BC486C"/>
    <w:rsid w:val="00BC49AD"/>
    <w:rsid w:val="00BC4F07"/>
    <w:rsid w:val="00BC558C"/>
    <w:rsid w:val="00BC5DAC"/>
    <w:rsid w:val="00BC6147"/>
    <w:rsid w:val="00BC616F"/>
    <w:rsid w:val="00BC63A8"/>
    <w:rsid w:val="00BC66CE"/>
    <w:rsid w:val="00BC6A70"/>
    <w:rsid w:val="00BC6E19"/>
    <w:rsid w:val="00BC6E37"/>
    <w:rsid w:val="00BC701E"/>
    <w:rsid w:val="00BC714D"/>
    <w:rsid w:val="00BC7204"/>
    <w:rsid w:val="00BC7603"/>
    <w:rsid w:val="00BC787C"/>
    <w:rsid w:val="00BC7A9F"/>
    <w:rsid w:val="00BD0255"/>
    <w:rsid w:val="00BD0F77"/>
    <w:rsid w:val="00BD11BD"/>
    <w:rsid w:val="00BD15B1"/>
    <w:rsid w:val="00BD15B9"/>
    <w:rsid w:val="00BD168F"/>
    <w:rsid w:val="00BD171E"/>
    <w:rsid w:val="00BD20D1"/>
    <w:rsid w:val="00BD2994"/>
    <w:rsid w:val="00BD3229"/>
    <w:rsid w:val="00BD3329"/>
    <w:rsid w:val="00BD33D4"/>
    <w:rsid w:val="00BD36AC"/>
    <w:rsid w:val="00BD3BBB"/>
    <w:rsid w:val="00BD3E4D"/>
    <w:rsid w:val="00BD403E"/>
    <w:rsid w:val="00BD432E"/>
    <w:rsid w:val="00BD4DC5"/>
    <w:rsid w:val="00BD4E2F"/>
    <w:rsid w:val="00BD4FAD"/>
    <w:rsid w:val="00BD540E"/>
    <w:rsid w:val="00BD566B"/>
    <w:rsid w:val="00BD593D"/>
    <w:rsid w:val="00BD5A19"/>
    <w:rsid w:val="00BD5B23"/>
    <w:rsid w:val="00BD652B"/>
    <w:rsid w:val="00BD6748"/>
    <w:rsid w:val="00BD6933"/>
    <w:rsid w:val="00BD6B7D"/>
    <w:rsid w:val="00BD6C11"/>
    <w:rsid w:val="00BD7060"/>
    <w:rsid w:val="00BD707E"/>
    <w:rsid w:val="00BD7346"/>
    <w:rsid w:val="00BD7503"/>
    <w:rsid w:val="00BD7863"/>
    <w:rsid w:val="00BD7D53"/>
    <w:rsid w:val="00BD7ECB"/>
    <w:rsid w:val="00BE0340"/>
    <w:rsid w:val="00BE03FB"/>
    <w:rsid w:val="00BE076B"/>
    <w:rsid w:val="00BE0C0A"/>
    <w:rsid w:val="00BE1271"/>
    <w:rsid w:val="00BE13F1"/>
    <w:rsid w:val="00BE1E8C"/>
    <w:rsid w:val="00BE2139"/>
    <w:rsid w:val="00BE2A36"/>
    <w:rsid w:val="00BE2B96"/>
    <w:rsid w:val="00BE3A70"/>
    <w:rsid w:val="00BE3D73"/>
    <w:rsid w:val="00BE3ECA"/>
    <w:rsid w:val="00BE3FB2"/>
    <w:rsid w:val="00BE4528"/>
    <w:rsid w:val="00BE4543"/>
    <w:rsid w:val="00BE4BB7"/>
    <w:rsid w:val="00BE4BBF"/>
    <w:rsid w:val="00BE4E68"/>
    <w:rsid w:val="00BE4EED"/>
    <w:rsid w:val="00BE57D8"/>
    <w:rsid w:val="00BE5E78"/>
    <w:rsid w:val="00BE67E5"/>
    <w:rsid w:val="00BE69E2"/>
    <w:rsid w:val="00BE6B0C"/>
    <w:rsid w:val="00BE72A1"/>
    <w:rsid w:val="00BE7BD3"/>
    <w:rsid w:val="00BE7CF0"/>
    <w:rsid w:val="00BF01B9"/>
    <w:rsid w:val="00BF01DF"/>
    <w:rsid w:val="00BF0297"/>
    <w:rsid w:val="00BF0B5C"/>
    <w:rsid w:val="00BF0BC1"/>
    <w:rsid w:val="00BF141D"/>
    <w:rsid w:val="00BF16BE"/>
    <w:rsid w:val="00BF216F"/>
    <w:rsid w:val="00BF2490"/>
    <w:rsid w:val="00BF254D"/>
    <w:rsid w:val="00BF2B5F"/>
    <w:rsid w:val="00BF2C61"/>
    <w:rsid w:val="00BF36D6"/>
    <w:rsid w:val="00BF3D25"/>
    <w:rsid w:val="00BF4120"/>
    <w:rsid w:val="00BF436F"/>
    <w:rsid w:val="00BF447E"/>
    <w:rsid w:val="00BF4711"/>
    <w:rsid w:val="00BF4CAF"/>
    <w:rsid w:val="00BF4D31"/>
    <w:rsid w:val="00BF4E6D"/>
    <w:rsid w:val="00BF4F96"/>
    <w:rsid w:val="00BF4F9C"/>
    <w:rsid w:val="00BF53BC"/>
    <w:rsid w:val="00BF5470"/>
    <w:rsid w:val="00BF5611"/>
    <w:rsid w:val="00BF58FB"/>
    <w:rsid w:val="00BF5B0D"/>
    <w:rsid w:val="00BF5C96"/>
    <w:rsid w:val="00BF620B"/>
    <w:rsid w:val="00BF648C"/>
    <w:rsid w:val="00BF6625"/>
    <w:rsid w:val="00BF6BEA"/>
    <w:rsid w:val="00BF6C54"/>
    <w:rsid w:val="00BF6FB8"/>
    <w:rsid w:val="00BF6FE4"/>
    <w:rsid w:val="00BF71FD"/>
    <w:rsid w:val="00BF73B2"/>
    <w:rsid w:val="00BF79C1"/>
    <w:rsid w:val="00BF7EC4"/>
    <w:rsid w:val="00C003C2"/>
    <w:rsid w:val="00C0084C"/>
    <w:rsid w:val="00C00AB6"/>
    <w:rsid w:val="00C0122A"/>
    <w:rsid w:val="00C012D0"/>
    <w:rsid w:val="00C015B9"/>
    <w:rsid w:val="00C01766"/>
    <w:rsid w:val="00C01A3E"/>
    <w:rsid w:val="00C021EB"/>
    <w:rsid w:val="00C022F9"/>
    <w:rsid w:val="00C023C4"/>
    <w:rsid w:val="00C02474"/>
    <w:rsid w:val="00C025D2"/>
    <w:rsid w:val="00C0286A"/>
    <w:rsid w:val="00C02C6B"/>
    <w:rsid w:val="00C02CBF"/>
    <w:rsid w:val="00C03028"/>
    <w:rsid w:val="00C031E5"/>
    <w:rsid w:val="00C032A5"/>
    <w:rsid w:val="00C032EA"/>
    <w:rsid w:val="00C034F5"/>
    <w:rsid w:val="00C03E0D"/>
    <w:rsid w:val="00C04A19"/>
    <w:rsid w:val="00C055D0"/>
    <w:rsid w:val="00C056BA"/>
    <w:rsid w:val="00C05806"/>
    <w:rsid w:val="00C05AC3"/>
    <w:rsid w:val="00C05D30"/>
    <w:rsid w:val="00C05F30"/>
    <w:rsid w:val="00C05FA0"/>
    <w:rsid w:val="00C061D3"/>
    <w:rsid w:val="00C06EB5"/>
    <w:rsid w:val="00C07025"/>
    <w:rsid w:val="00C070FC"/>
    <w:rsid w:val="00C0759F"/>
    <w:rsid w:val="00C07892"/>
    <w:rsid w:val="00C07C78"/>
    <w:rsid w:val="00C108C5"/>
    <w:rsid w:val="00C10FFF"/>
    <w:rsid w:val="00C111C1"/>
    <w:rsid w:val="00C113B9"/>
    <w:rsid w:val="00C1145F"/>
    <w:rsid w:val="00C118FD"/>
    <w:rsid w:val="00C11CD1"/>
    <w:rsid w:val="00C11F9D"/>
    <w:rsid w:val="00C12C99"/>
    <w:rsid w:val="00C1316C"/>
    <w:rsid w:val="00C131E2"/>
    <w:rsid w:val="00C134A2"/>
    <w:rsid w:val="00C135E5"/>
    <w:rsid w:val="00C137A6"/>
    <w:rsid w:val="00C1386A"/>
    <w:rsid w:val="00C139CF"/>
    <w:rsid w:val="00C13C61"/>
    <w:rsid w:val="00C13EF2"/>
    <w:rsid w:val="00C14108"/>
    <w:rsid w:val="00C14550"/>
    <w:rsid w:val="00C147EA"/>
    <w:rsid w:val="00C14A3A"/>
    <w:rsid w:val="00C14F69"/>
    <w:rsid w:val="00C1583C"/>
    <w:rsid w:val="00C158A6"/>
    <w:rsid w:val="00C16052"/>
    <w:rsid w:val="00C16F99"/>
    <w:rsid w:val="00C17B3E"/>
    <w:rsid w:val="00C17C3E"/>
    <w:rsid w:val="00C17FFE"/>
    <w:rsid w:val="00C2037C"/>
    <w:rsid w:val="00C205EE"/>
    <w:rsid w:val="00C20782"/>
    <w:rsid w:val="00C207CE"/>
    <w:rsid w:val="00C20815"/>
    <w:rsid w:val="00C20CC1"/>
    <w:rsid w:val="00C20D37"/>
    <w:rsid w:val="00C20D6A"/>
    <w:rsid w:val="00C212DF"/>
    <w:rsid w:val="00C2162D"/>
    <w:rsid w:val="00C21966"/>
    <w:rsid w:val="00C21EBC"/>
    <w:rsid w:val="00C22A4D"/>
    <w:rsid w:val="00C22C05"/>
    <w:rsid w:val="00C22D66"/>
    <w:rsid w:val="00C23084"/>
    <w:rsid w:val="00C23C70"/>
    <w:rsid w:val="00C24785"/>
    <w:rsid w:val="00C2487A"/>
    <w:rsid w:val="00C248F1"/>
    <w:rsid w:val="00C24C5B"/>
    <w:rsid w:val="00C24E7C"/>
    <w:rsid w:val="00C24F06"/>
    <w:rsid w:val="00C25016"/>
    <w:rsid w:val="00C252D4"/>
    <w:rsid w:val="00C259F0"/>
    <w:rsid w:val="00C25F58"/>
    <w:rsid w:val="00C264B2"/>
    <w:rsid w:val="00C26EC0"/>
    <w:rsid w:val="00C26FC2"/>
    <w:rsid w:val="00C270FA"/>
    <w:rsid w:val="00C27254"/>
    <w:rsid w:val="00C27683"/>
    <w:rsid w:val="00C27A5B"/>
    <w:rsid w:val="00C27D40"/>
    <w:rsid w:val="00C30057"/>
    <w:rsid w:val="00C30202"/>
    <w:rsid w:val="00C30599"/>
    <w:rsid w:val="00C306CB"/>
    <w:rsid w:val="00C3083C"/>
    <w:rsid w:val="00C315AE"/>
    <w:rsid w:val="00C3166C"/>
    <w:rsid w:val="00C318F1"/>
    <w:rsid w:val="00C32263"/>
    <w:rsid w:val="00C326FA"/>
    <w:rsid w:val="00C3280A"/>
    <w:rsid w:val="00C329C0"/>
    <w:rsid w:val="00C32AD2"/>
    <w:rsid w:val="00C32AFA"/>
    <w:rsid w:val="00C3344A"/>
    <w:rsid w:val="00C33822"/>
    <w:rsid w:val="00C338D9"/>
    <w:rsid w:val="00C33AD3"/>
    <w:rsid w:val="00C33DD5"/>
    <w:rsid w:val="00C34601"/>
    <w:rsid w:val="00C346A8"/>
    <w:rsid w:val="00C34ED7"/>
    <w:rsid w:val="00C34F64"/>
    <w:rsid w:val="00C352C5"/>
    <w:rsid w:val="00C357EC"/>
    <w:rsid w:val="00C35F39"/>
    <w:rsid w:val="00C3614F"/>
    <w:rsid w:val="00C363B9"/>
    <w:rsid w:val="00C3646A"/>
    <w:rsid w:val="00C36522"/>
    <w:rsid w:val="00C36669"/>
    <w:rsid w:val="00C36BCA"/>
    <w:rsid w:val="00C36DB4"/>
    <w:rsid w:val="00C378B1"/>
    <w:rsid w:val="00C3805D"/>
    <w:rsid w:val="00C40176"/>
    <w:rsid w:val="00C40383"/>
    <w:rsid w:val="00C40AC2"/>
    <w:rsid w:val="00C40BD0"/>
    <w:rsid w:val="00C40D25"/>
    <w:rsid w:val="00C410C2"/>
    <w:rsid w:val="00C41912"/>
    <w:rsid w:val="00C41A62"/>
    <w:rsid w:val="00C41B19"/>
    <w:rsid w:val="00C41C02"/>
    <w:rsid w:val="00C4227A"/>
    <w:rsid w:val="00C42567"/>
    <w:rsid w:val="00C428E6"/>
    <w:rsid w:val="00C4300A"/>
    <w:rsid w:val="00C43084"/>
    <w:rsid w:val="00C430A8"/>
    <w:rsid w:val="00C43149"/>
    <w:rsid w:val="00C434C9"/>
    <w:rsid w:val="00C43F06"/>
    <w:rsid w:val="00C4403C"/>
    <w:rsid w:val="00C44411"/>
    <w:rsid w:val="00C44453"/>
    <w:rsid w:val="00C44833"/>
    <w:rsid w:val="00C44894"/>
    <w:rsid w:val="00C44906"/>
    <w:rsid w:val="00C449EE"/>
    <w:rsid w:val="00C44BFE"/>
    <w:rsid w:val="00C44FE3"/>
    <w:rsid w:val="00C451CB"/>
    <w:rsid w:val="00C45379"/>
    <w:rsid w:val="00C45383"/>
    <w:rsid w:val="00C4542C"/>
    <w:rsid w:val="00C45633"/>
    <w:rsid w:val="00C459D1"/>
    <w:rsid w:val="00C45EF5"/>
    <w:rsid w:val="00C46053"/>
    <w:rsid w:val="00C460B2"/>
    <w:rsid w:val="00C46373"/>
    <w:rsid w:val="00C464B9"/>
    <w:rsid w:val="00C46E02"/>
    <w:rsid w:val="00C47D78"/>
    <w:rsid w:val="00C50098"/>
    <w:rsid w:val="00C501E9"/>
    <w:rsid w:val="00C50B33"/>
    <w:rsid w:val="00C512DB"/>
    <w:rsid w:val="00C512FA"/>
    <w:rsid w:val="00C51435"/>
    <w:rsid w:val="00C517BE"/>
    <w:rsid w:val="00C51AFD"/>
    <w:rsid w:val="00C51B1C"/>
    <w:rsid w:val="00C51BDD"/>
    <w:rsid w:val="00C51C01"/>
    <w:rsid w:val="00C52469"/>
    <w:rsid w:val="00C526FF"/>
    <w:rsid w:val="00C5274D"/>
    <w:rsid w:val="00C52920"/>
    <w:rsid w:val="00C533D6"/>
    <w:rsid w:val="00C539AD"/>
    <w:rsid w:val="00C539D9"/>
    <w:rsid w:val="00C547BB"/>
    <w:rsid w:val="00C549F6"/>
    <w:rsid w:val="00C550A2"/>
    <w:rsid w:val="00C550E0"/>
    <w:rsid w:val="00C551EF"/>
    <w:rsid w:val="00C556EA"/>
    <w:rsid w:val="00C558C4"/>
    <w:rsid w:val="00C558DE"/>
    <w:rsid w:val="00C55C61"/>
    <w:rsid w:val="00C55E7E"/>
    <w:rsid w:val="00C55FC3"/>
    <w:rsid w:val="00C56405"/>
    <w:rsid w:val="00C56BC7"/>
    <w:rsid w:val="00C56E34"/>
    <w:rsid w:val="00C56F3D"/>
    <w:rsid w:val="00C56F45"/>
    <w:rsid w:val="00C575FA"/>
    <w:rsid w:val="00C5770E"/>
    <w:rsid w:val="00C5E058"/>
    <w:rsid w:val="00C6000A"/>
    <w:rsid w:val="00C600C7"/>
    <w:rsid w:val="00C6067D"/>
    <w:rsid w:val="00C60DEA"/>
    <w:rsid w:val="00C61495"/>
    <w:rsid w:val="00C618F3"/>
    <w:rsid w:val="00C61AA0"/>
    <w:rsid w:val="00C61B73"/>
    <w:rsid w:val="00C61E20"/>
    <w:rsid w:val="00C61FBD"/>
    <w:rsid w:val="00C621E0"/>
    <w:rsid w:val="00C62638"/>
    <w:rsid w:val="00C62B83"/>
    <w:rsid w:val="00C630E1"/>
    <w:rsid w:val="00C637E1"/>
    <w:rsid w:val="00C6439D"/>
    <w:rsid w:val="00C65015"/>
    <w:rsid w:val="00C65174"/>
    <w:rsid w:val="00C65177"/>
    <w:rsid w:val="00C65515"/>
    <w:rsid w:val="00C6558D"/>
    <w:rsid w:val="00C657FD"/>
    <w:rsid w:val="00C658D6"/>
    <w:rsid w:val="00C66385"/>
    <w:rsid w:val="00C663A7"/>
    <w:rsid w:val="00C66DBF"/>
    <w:rsid w:val="00C6736B"/>
    <w:rsid w:val="00C6761A"/>
    <w:rsid w:val="00C6785B"/>
    <w:rsid w:val="00C67E14"/>
    <w:rsid w:val="00C67EAC"/>
    <w:rsid w:val="00C70217"/>
    <w:rsid w:val="00C70A84"/>
    <w:rsid w:val="00C70BC4"/>
    <w:rsid w:val="00C70D50"/>
    <w:rsid w:val="00C71297"/>
    <w:rsid w:val="00C71E1A"/>
    <w:rsid w:val="00C721B1"/>
    <w:rsid w:val="00C72252"/>
    <w:rsid w:val="00C7225D"/>
    <w:rsid w:val="00C725E8"/>
    <w:rsid w:val="00C72879"/>
    <w:rsid w:val="00C7289C"/>
    <w:rsid w:val="00C7315F"/>
    <w:rsid w:val="00C733D2"/>
    <w:rsid w:val="00C73777"/>
    <w:rsid w:val="00C737EE"/>
    <w:rsid w:val="00C73927"/>
    <w:rsid w:val="00C73CC0"/>
    <w:rsid w:val="00C73EDE"/>
    <w:rsid w:val="00C743EC"/>
    <w:rsid w:val="00C74EE6"/>
    <w:rsid w:val="00C74FC4"/>
    <w:rsid w:val="00C750AC"/>
    <w:rsid w:val="00C75182"/>
    <w:rsid w:val="00C752DD"/>
    <w:rsid w:val="00C75330"/>
    <w:rsid w:val="00C75934"/>
    <w:rsid w:val="00C75A21"/>
    <w:rsid w:val="00C7625C"/>
    <w:rsid w:val="00C764E9"/>
    <w:rsid w:val="00C767F2"/>
    <w:rsid w:val="00C7744E"/>
    <w:rsid w:val="00C77C84"/>
    <w:rsid w:val="00C80127"/>
    <w:rsid w:val="00C8054C"/>
    <w:rsid w:val="00C805AA"/>
    <w:rsid w:val="00C80C3B"/>
    <w:rsid w:val="00C80D8E"/>
    <w:rsid w:val="00C80DC5"/>
    <w:rsid w:val="00C80ED4"/>
    <w:rsid w:val="00C8110F"/>
    <w:rsid w:val="00C81228"/>
    <w:rsid w:val="00C8122B"/>
    <w:rsid w:val="00C8131B"/>
    <w:rsid w:val="00C81AF6"/>
    <w:rsid w:val="00C81B06"/>
    <w:rsid w:val="00C81DEB"/>
    <w:rsid w:val="00C81F7F"/>
    <w:rsid w:val="00C824A3"/>
    <w:rsid w:val="00C826C8"/>
    <w:rsid w:val="00C82B5F"/>
    <w:rsid w:val="00C82D7C"/>
    <w:rsid w:val="00C82F17"/>
    <w:rsid w:val="00C83412"/>
    <w:rsid w:val="00C841D6"/>
    <w:rsid w:val="00C84482"/>
    <w:rsid w:val="00C849F5"/>
    <w:rsid w:val="00C85022"/>
    <w:rsid w:val="00C85F61"/>
    <w:rsid w:val="00C865E9"/>
    <w:rsid w:val="00C8685D"/>
    <w:rsid w:val="00C86A20"/>
    <w:rsid w:val="00C86ECC"/>
    <w:rsid w:val="00C8701A"/>
    <w:rsid w:val="00C87241"/>
    <w:rsid w:val="00C873C4"/>
    <w:rsid w:val="00C876AB"/>
    <w:rsid w:val="00C87DC8"/>
    <w:rsid w:val="00C90729"/>
    <w:rsid w:val="00C907D7"/>
    <w:rsid w:val="00C90B10"/>
    <w:rsid w:val="00C91184"/>
    <w:rsid w:val="00C91609"/>
    <w:rsid w:val="00C91E22"/>
    <w:rsid w:val="00C91EB2"/>
    <w:rsid w:val="00C91FA7"/>
    <w:rsid w:val="00C92338"/>
    <w:rsid w:val="00C9245C"/>
    <w:rsid w:val="00C92FB4"/>
    <w:rsid w:val="00C93055"/>
    <w:rsid w:val="00C935A8"/>
    <w:rsid w:val="00C937C9"/>
    <w:rsid w:val="00C93B05"/>
    <w:rsid w:val="00C93CDD"/>
    <w:rsid w:val="00C93FC2"/>
    <w:rsid w:val="00C9438D"/>
    <w:rsid w:val="00C9442E"/>
    <w:rsid w:val="00C945E1"/>
    <w:rsid w:val="00C9488B"/>
    <w:rsid w:val="00C948AA"/>
    <w:rsid w:val="00C94CC8"/>
    <w:rsid w:val="00C94F03"/>
    <w:rsid w:val="00C95B09"/>
    <w:rsid w:val="00C95C01"/>
    <w:rsid w:val="00C95C64"/>
    <w:rsid w:val="00C95FB1"/>
    <w:rsid w:val="00C9605B"/>
    <w:rsid w:val="00C972BA"/>
    <w:rsid w:val="00C97844"/>
    <w:rsid w:val="00C97A0B"/>
    <w:rsid w:val="00CA07DE"/>
    <w:rsid w:val="00CA10D9"/>
    <w:rsid w:val="00CA1486"/>
    <w:rsid w:val="00CA157E"/>
    <w:rsid w:val="00CA17CD"/>
    <w:rsid w:val="00CA1B38"/>
    <w:rsid w:val="00CA1E29"/>
    <w:rsid w:val="00CA24CE"/>
    <w:rsid w:val="00CA37F9"/>
    <w:rsid w:val="00CA39B9"/>
    <w:rsid w:val="00CA3BB6"/>
    <w:rsid w:val="00CA4480"/>
    <w:rsid w:val="00CA489D"/>
    <w:rsid w:val="00CA4B98"/>
    <w:rsid w:val="00CA4E16"/>
    <w:rsid w:val="00CA4F65"/>
    <w:rsid w:val="00CA5469"/>
    <w:rsid w:val="00CA594D"/>
    <w:rsid w:val="00CA5A2A"/>
    <w:rsid w:val="00CA6952"/>
    <w:rsid w:val="00CA6AE9"/>
    <w:rsid w:val="00CA6C5C"/>
    <w:rsid w:val="00CA6D62"/>
    <w:rsid w:val="00CA6FA8"/>
    <w:rsid w:val="00CA7438"/>
    <w:rsid w:val="00CA797E"/>
    <w:rsid w:val="00CA7C1C"/>
    <w:rsid w:val="00CA7FF9"/>
    <w:rsid w:val="00CB01C1"/>
    <w:rsid w:val="00CB0325"/>
    <w:rsid w:val="00CB037D"/>
    <w:rsid w:val="00CB046D"/>
    <w:rsid w:val="00CB047D"/>
    <w:rsid w:val="00CB073A"/>
    <w:rsid w:val="00CB0D90"/>
    <w:rsid w:val="00CB10CE"/>
    <w:rsid w:val="00CB15A1"/>
    <w:rsid w:val="00CB16A5"/>
    <w:rsid w:val="00CB1BE2"/>
    <w:rsid w:val="00CB1FA7"/>
    <w:rsid w:val="00CB2225"/>
    <w:rsid w:val="00CB227C"/>
    <w:rsid w:val="00CB2447"/>
    <w:rsid w:val="00CB2452"/>
    <w:rsid w:val="00CB260D"/>
    <w:rsid w:val="00CB273E"/>
    <w:rsid w:val="00CB3393"/>
    <w:rsid w:val="00CB3427"/>
    <w:rsid w:val="00CB3900"/>
    <w:rsid w:val="00CB3976"/>
    <w:rsid w:val="00CB3C67"/>
    <w:rsid w:val="00CB3EC7"/>
    <w:rsid w:val="00CB4320"/>
    <w:rsid w:val="00CB4470"/>
    <w:rsid w:val="00CB44FA"/>
    <w:rsid w:val="00CB4506"/>
    <w:rsid w:val="00CB4534"/>
    <w:rsid w:val="00CB4614"/>
    <w:rsid w:val="00CB47E8"/>
    <w:rsid w:val="00CB49EC"/>
    <w:rsid w:val="00CB4B84"/>
    <w:rsid w:val="00CB4BC0"/>
    <w:rsid w:val="00CB519D"/>
    <w:rsid w:val="00CB534B"/>
    <w:rsid w:val="00CB5559"/>
    <w:rsid w:val="00CB562B"/>
    <w:rsid w:val="00CB58D8"/>
    <w:rsid w:val="00CB5CA0"/>
    <w:rsid w:val="00CB5CB4"/>
    <w:rsid w:val="00CB5DE4"/>
    <w:rsid w:val="00CB64A8"/>
    <w:rsid w:val="00CB6537"/>
    <w:rsid w:val="00CB655D"/>
    <w:rsid w:val="00CB6B45"/>
    <w:rsid w:val="00CB6C84"/>
    <w:rsid w:val="00CB6EFC"/>
    <w:rsid w:val="00CB797F"/>
    <w:rsid w:val="00CB79EA"/>
    <w:rsid w:val="00CB7DEF"/>
    <w:rsid w:val="00CB7ECE"/>
    <w:rsid w:val="00CB7F11"/>
    <w:rsid w:val="00CB7F52"/>
    <w:rsid w:val="00CB7FCD"/>
    <w:rsid w:val="00CC0169"/>
    <w:rsid w:val="00CC039D"/>
    <w:rsid w:val="00CC04F4"/>
    <w:rsid w:val="00CC0983"/>
    <w:rsid w:val="00CC1051"/>
    <w:rsid w:val="00CC1D7F"/>
    <w:rsid w:val="00CC1F4A"/>
    <w:rsid w:val="00CC2192"/>
    <w:rsid w:val="00CC32EE"/>
    <w:rsid w:val="00CC37D6"/>
    <w:rsid w:val="00CC39B8"/>
    <w:rsid w:val="00CC3D4D"/>
    <w:rsid w:val="00CC3E72"/>
    <w:rsid w:val="00CC41D9"/>
    <w:rsid w:val="00CC4254"/>
    <w:rsid w:val="00CC4273"/>
    <w:rsid w:val="00CC439C"/>
    <w:rsid w:val="00CC4B42"/>
    <w:rsid w:val="00CC5335"/>
    <w:rsid w:val="00CC58E1"/>
    <w:rsid w:val="00CC5BBC"/>
    <w:rsid w:val="00CC5C16"/>
    <w:rsid w:val="00CC5E12"/>
    <w:rsid w:val="00CC605F"/>
    <w:rsid w:val="00CC643F"/>
    <w:rsid w:val="00CC65AA"/>
    <w:rsid w:val="00CC67AB"/>
    <w:rsid w:val="00CC690A"/>
    <w:rsid w:val="00CC7189"/>
    <w:rsid w:val="00CC7356"/>
    <w:rsid w:val="00CC7414"/>
    <w:rsid w:val="00CC772A"/>
    <w:rsid w:val="00CC772E"/>
    <w:rsid w:val="00CC7755"/>
    <w:rsid w:val="00CC7899"/>
    <w:rsid w:val="00CC7969"/>
    <w:rsid w:val="00CC7DB2"/>
    <w:rsid w:val="00CC7ED9"/>
    <w:rsid w:val="00CD02A1"/>
    <w:rsid w:val="00CD0307"/>
    <w:rsid w:val="00CD0675"/>
    <w:rsid w:val="00CD0714"/>
    <w:rsid w:val="00CD13A8"/>
    <w:rsid w:val="00CD17DC"/>
    <w:rsid w:val="00CD1B11"/>
    <w:rsid w:val="00CD1F63"/>
    <w:rsid w:val="00CD2208"/>
    <w:rsid w:val="00CD223F"/>
    <w:rsid w:val="00CD2368"/>
    <w:rsid w:val="00CD24C2"/>
    <w:rsid w:val="00CD2890"/>
    <w:rsid w:val="00CD299C"/>
    <w:rsid w:val="00CD2D3F"/>
    <w:rsid w:val="00CD31A1"/>
    <w:rsid w:val="00CD33F8"/>
    <w:rsid w:val="00CD34A7"/>
    <w:rsid w:val="00CD3517"/>
    <w:rsid w:val="00CD38D7"/>
    <w:rsid w:val="00CD3CB4"/>
    <w:rsid w:val="00CD3D1B"/>
    <w:rsid w:val="00CD3D1F"/>
    <w:rsid w:val="00CD3FCF"/>
    <w:rsid w:val="00CD42FA"/>
    <w:rsid w:val="00CD45A8"/>
    <w:rsid w:val="00CD485C"/>
    <w:rsid w:val="00CD4BAA"/>
    <w:rsid w:val="00CD4BFB"/>
    <w:rsid w:val="00CD4F3D"/>
    <w:rsid w:val="00CD5156"/>
    <w:rsid w:val="00CD5274"/>
    <w:rsid w:val="00CD55D4"/>
    <w:rsid w:val="00CD5761"/>
    <w:rsid w:val="00CD5AF1"/>
    <w:rsid w:val="00CD6117"/>
    <w:rsid w:val="00CD6306"/>
    <w:rsid w:val="00CD69B5"/>
    <w:rsid w:val="00CD6C16"/>
    <w:rsid w:val="00CD6C68"/>
    <w:rsid w:val="00CD76AE"/>
    <w:rsid w:val="00CD780D"/>
    <w:rsid w:val="00CD7B17"/>
    <w:rsid w:val="00CD7E39"/>
    <w:rsid w:val="00CE024C"/>
    <w:rsid w:val="00CE02BA"/>
    <w:rsid w:val="00CE06C3"/>
    <w:rsid w:val="00CE1440"/>
    <w:rsid w:val="00CE1881"/>
    <w:rsid w:val="00CE1AF1"/>
    <w:rsid w:val="00CE1B1F"/>
    <w:rsid w:val="00CE1D02"/>
    <w:rsid w:val="00CE2268"/>
    <w:rsid w:val="00CE22AF"/>
    <w:rsid w:val="00CE2AE5"/>
    <w:rsid w:val="00CE2BE2"/>
    <w:rsid w:val="00CE2D59"/>
    <w:rsid w:val="00CE2FB7"/>
    <w:rsid w:val="00CE33E6"/>
    <w:rsid w:val="00CE3434"/>
    <w:rsid w:val="00CE42F8"/>
    <w:rsid w:val="00CE4797"/>
    <w:rsid w:val="00CE4A53"/>
    <w:rsid w:val="00CE4E83"/>
    <w:rsid w:val="00CE51E3"/>
    <w:rsid w:val="00CE554F"/>
    <w:rsid w:val="00CE5E62"/>
    <w:rsid w:val="00CE6208"/>
    <w:rsid w:val="00CE6392"/>
    <w:rsid w:val="00CE64BD"/>
    <w:rsid w:val="00CE6622"/>
    <w:rsid w:val="00CE6AEF"/>
    <w:rsid w:val="00CE6E0B"/>
    <w:rsid w:val="00CE7464"/>
    <w:rsid w:val="00CE756D"/>
    <w:rsid w:val="00CE7BA3"/>
    <w:rsid w:val="00CF020A"/>
    <w:rsid w:val="00CF06BB"/>
    <w:rsid w:val="00CF07C5"/>
    <w:rsid w:val="00CF0B31"/>
    <w:rsid w:val="00CF0EF6"/>
    <w:rsid w:val="00CF118A"/>
    <w:rsid w:val="00CF15FB"/>
    <w:rsid w:val="00CF168B"/>
    <w:rsid w:val="00CF1925"/>
    <w:rsid w:val="00CF1FEA"/>
    <w:rsid w:val="00CF22CF"/>
    <w:rsid w:val="00CF2628"/>
    <w:rsid w:val="00CF283B"/>
    <w:rsid w:val="00CF2A1B"/>
    <w:rsid w:val="00CF2D2B"/>
    <w:rsid w:val="00CF31CD"/>
    <w:rsid w:val="00CF3664"/>
    <w:rsid w:val="00CF3798"/>
    <w:rsid w:val="00CF3D99"/>
    <w:rsid w:val="00CF445F"/>
    <w:rsid w:val="00CF4B83"/>
    <w:rsid w:val="00CF4D53"/>
    <w:rsid w:val="00CF4DB8"/>
    <w:rsid w:val="00CF5037"/>
    <w:rsid w:val="00CF5208"/>
    <w:rsid w:val="00CF56B7"/>
    <w:rsid w:val="00CF60EC"/>
    <w:rsid w:val="00CF656D"/>
    <w:rsid w:val="00CF67E9"/>
    <w:rsid w:val="00CF68A9"/>
    <w:rsid w:val="00CF6F19"/>
    <w:rsid w:val="00CF6FB7"/>
    <w:rsid w:val="00CF73A5"/>
    <w:rsid w:val="00CF7588"/>
    <w:rsid w:val="00CF7999"/>
    <w:rsid w:val="00CF7ADD"/>
    <w:rsid w:val="00CF7DDF"/>
    <w:rsid w:val="00CF7DF3"/>
    <w:rsid w:val="00CF7E61"/>
    <w:rsid w:val="00D0045F"/>
    <w:rsid w:val="00D00650"/>
    <w:rsid w:val="00D00E6E"/>
    <w:rsid w:val="00D00FBA"/>
    <w:rsid w:val="00D023EA"/>
    <w:rsid w:val="00D02451"/>
    <w:rsid w:val="00D024D9"/>
    <w:rsid w:val="00D02663"/>
    <w:rsid w:val="00D02671"/>
    <w:rsid w:val="00D03215"/>
    <w:rsid w:val="00D0324A"/>
    <w:rsid w:val="00D0325F"/>
    <w:rsid w:val="00D032B3"/>
    <w:rsid w:val="00D03788"/>
    <w:rsid w:val="00D038A7"/>
    <w:rsid w:val="00D03C2A"/>
    <w:rsid w:val="00D03D87"/>
    <w:rsid w:val="00D03EC1"/>
    <w:rsid w:val="00D04694"/>
    <w:rsid w:val="00D047FF"/>
    <w:rsid w:val="00D04976"/>
    <w:rsid w:val="00D04E09"/>
    <w:rsid w:val="00D04F26"/>
    <w:rsid w:val="00D050AA"/>
    <w:rsid w:val="00D051B2"/>
    <w:rsid w:val="00D05264"/>
    <w:rsid w:val="00D05285"/>
    <w:rsid w:val="00D053DB"/>
    <w:rsid w:val="00D059EB"/>
    <w:rsid w:val="00D06282"/>
    <w:rsid w:val="00D0633E"/>
    <w:rsid w:val="00D06876"/>
    <w:rsid w:val="00D06DDF"/>
    <w:rsid w:val="00D071C3"/>
    <w:rsid w:val="00D077B6"/>
    <w:rsid w:val="00D07F6D"/>
    <w:rsid w:val="00D103AD"/>
    <w:rsid w:val="00D108AD"/>
    <w:rsid w:val="00D10BCE"/>
    <w:rsid w:val="00D10C8C"/>
    <w:rsid w:val="00D11429"/>
    <w:rsid w:val="00D11FC5"/>
    <w:rsid w:val="00D12510"/>
    <w:rsid w:val="00D12899"/>
    <w:rsid w:val="00D12BEB"/>
    <w:rsid w:val="00D12E74"/>
    <w:rsid w:val="00D1352E"/>
    <w:rsid w:val="00D13AA8"/>
    <w:rsid w:val="00D13D0D"/>
    <w:rsid w:val="00D13D6F"/>
    <w:rsid w:val="00D13EDD"/>
    <w:rsid w:val="00D14159"/>
    <w:rsid w:val="00D14205"/>
    <w:rsid w:val="00D14462"/>
    <w:rsid w:val="00D14CC6"/>
    <w:rsid w:val="00D1502E"/>
    <w:rsid w:val="00D15358"/>
    <w:rsid w:val="00D15C52"/>
    <w:rsid w:val="00D15CCF"/>
    <w:rsid w:val="00D15E8B"/>
    <w:rsid w:val="00D16331"/>
    <w:rsid w:val="00D1674F"/>
    <w:rsid w:val="00D169AC"/>
    <w:rsid w:val="00D16BD1"/>
    <w:rsid w:val="00D16EA7"/>
    <w:rsid w:val="00D172B6"/>
    <w:rsid w:val="00D20415"/>
    <w:rsid w:val="00D20815"/>
    <w:rsid w:val="00D209D1"/>
    <w:rsid w:val="00D2186A"/>
    <w:rsid w:val="00D21BEA"/>
    <w:rsid w:val="00D21F77"/>
    <w:rsid w:val="00D2249E"/>
    <w:rsid w:val="00D2312F"/>
    <w:rsid w:val="00D23B4A"/>
    <w:rsid w:val="00D23C7E"/>
    <w:rsid w:val="00D23D1D"/>
    <w:rsid w:val="00D23E83"/>
    <w:rsid w:val="00D24368"/>
    <w:rsid w:val="00D2477A"/>
    <w:rsid w:val="00D248DE"/>
    <w:rsid w:val="00D24954"/>
    <w:rsid w:val="00D2532E"/>
    <w:rsid w:val="00D253A9"/>
    <w:rsid w:val="00D2555A"/>
    <w:rsid w:val="00D25DFA"/>
    <w:rsid w:val="00D26778"/>
    <w:rsid w:val="00D269C1"/>
    <w:rsid w:val="00D26D5E"/>
    <w:rsid w:val="00D27086"/>
    <w:rsid w:val="00D2730C"/>
    <w:rsid w:val="00D2740F"/>
    <w:rsid w:val="00D27638"/>
    <w:rsid w:val="00D2766E"/>
    <w:rsid w:val="00D27708"/>
    <w:rsid w:val="00D27953"/>
    <w:rsid w:val="00D30148"/>
    <w:rsid w:val="00D30221"/>
    <w:rsid w:val="00D30991"/>
    <w:rsid w:val="00D30A6E"/>
    <w:rsid w:val="00D30D1F"/>
    <w:rsid w:val="00D316F2"/>
    <w:rsid w:val="00D31BC5"/>
    <w:rsid w:val="00D31DEE"/>
    <w:rsid w:val="00D320B7"/>
    <w:rsid w:val="00D32325"/>
    <w:rsid w:val="00D3252B"/>
    <w:rsid w:val="00D32D68"/>
    <w:rsid w:val="00D32D84"/>
    <w:rsid w:val="00D330A6"/>
    <w:rsid w:val="00D332E6"/>
    <w:rsid w:val="00D33583"/>
    <w:rsid w:val="00D338FF"/>
    <w:rsid w:val="00D339C9"/>
    <w:rsid w:val="00D33DFD"/>
    <w:rsid w:val="00D33F84"/>
    <w:rsid w:val="00D34217"/>
    <w:rsid w:val="00D34296"/>
    <w:rsid w:val="00D34935"/>
    <w:rsid w:val="00D34B3F"/>
    <w:rsid w:val="00D3526F"/>
    <w:rsid w:val="00D352FE"/>
    <w:rsid w:val="00D353E4"/>
    <w:rsid w:val="00D3565B"/>
    <w:rsid w:val="00D35790"/>
    <w:rsid w:val="00D362EE"/>
    <w:rsid w:val="00D363A5"/>
    <w:rsid w:val="00D364C5"/>
    <w:rsid w:val="00D37044"/>
    <w:rsid w:val="00D376FC"/>
    <w:rsid w:val="00D400C2"/>
    <w:rsid w:val="00D40B5C"/>
    <w:rsid w:val="00D4111F"/>
    <w:rsid w:val="00D41344"/>
    <w:rsid w:val="00D416B5"/>
    <w:rsid w:val="00D41B2F"/>
    <w:rsid w:val="00D421EC"/>
    <w:rsid w:val="00D4232E"/>
    <w:rsid w:val="00D435FB"/>
    <w:rsid w:val="00D4384F"/>
    <w:rsid w:val="00D43901"/>
    <w:rsid w:val="00D43DDD"/>
    <w:rsid w:val="00D4409F"/>
    <w:rsid w:val="00D4454F"/>
    <w:rsid w:val="00D44637"/>
    <w:rsid w:val="00D448F7"/>
    <w:rsid w:val="00D44953"/>
    <w:rsid w:val="00D44F26"/>
    <w:rsid w:val="00D45117"/>
    <w:rsid w:val="00D45D0A"/>
    <w:rsid w:val="00D46EF7"/>
    <w:rsid w:val="00D476F6"/>
    <w:rsid w:val="00D4799B"/>
    <w:rsid w:val="00D47A37"/>
    <w:rsid w:val="00D47CA9"/>
    <w:rsid w:val="00D503A7"/>
    <w:rsid w:val="00D503F9"/>
    <w:rsid w:val="00D50863"/>
    <w:rsid w:val="00D50D48"/>
    <w:rsid w:val="00D5101B"/>
    <w:rsid w:val="00D5130B"/>
    <w:rsid w:val="00D5151E"/>
    <w:rsid w:val="00D51535"/>
    <w:rsid w:val="00D5173E"/>
    <w:rsid w:val="00D51CAD"/>
    <w:rsid w:val="00D529FC"/>
    <w:rsid w:val="00D53D4F"/>
    <w:rsid w:val="00D542F3"/>
    <w:rsid w:val="00D54453"/>
    <w:rsid w:val="00D54513"/>
    <w:rsid w:val="00D54AAE"/>
    <w:rsid w:val="00D54D46"/>
    <w:rsid w:val="00D555A5"/>
    <w:rsid w:val="00D555B4"/>
    <w:rsid w:val="00D55CD5"/>
    <w:rsid w:val="00D56224"/>
    <w:rsid w:val="00D56380"/>
    <w:rsid w:val="00D5644B"/>
    <w:rsid w:val="00D56454"/>
    <w:rsid w:val="00D56CD6"/>
    <w:rsid w:val="00D56E25"/>
    <w:rsid w:val="00D56EA4"/>
    <w:rsid w:val="00D570BE"/>
    <w:rsid w:val="00D574A2"/>
    <w:rsid w:val="00D576CE"/>
    <w:rsid w:val="00D57AEE"/>
    <w:rsid w:val="00D57CFF"/>
    <w:rsid w:val="00D57E89"/>
    <w:rsid w:val="00D600BA"/>
    <w:rsid w:val="00D60A7C"/>
    <w:rsid w:val="00D60B0E"/>
    <w:rsid w:val="00D60B35"/>
    <w:rsid w:val="00D623A6"/>
    <w:rsid w:val="00D625E2"/>
    <w:rsid w:val="00D628A0"/>
    <w:rsid w:val="00D629AD"/>
    <w:rsid w:val="00D62EC4"/>
    <w:rsid w:val="00D63B2F"/>
    <w:rsid w:val="00D63BC4"/>
    <w:rsid w:val="00D640A2"/>
    <w:rsid w:val="00D6452A"/>
    <w:rsid w:val="00D64A28"/>
    <w:rsid w:val="00D64A9B"/>
    <w:rsid w:val="00D64ACE"/>
    <w:rsid w:val="00D64B34"/>
    <w:rsid w:val="00D64EEF"/>
    <w:rsid w:val="00D6560D"/>
    <w:rsid w:val="00D6565B"/>
    <w:rsid w:val="00D656B5"/>
    <w:rsid w:val="00D656E9"/>
    <w:rsid w:val="00D6577E"/>
    <w:rsid w:val="00D65930"/>
    <w:rsid w:val="00D659BF"/>
    <w:rsid w:val="00D65B45"/>
    <w:rsid w:val="00D65D77"/>
    <w:rsid w:val="00D65F52"/>
    <w:rsid w:val="00D667F9"/>
    <w:rsid w:val="00D66ED4"/>
    <w:rsid w:val="00D677C2"/>
    <w:rsid w:val="00D67835"/>
    <w:rsid w:val="00D67841"/>
    <w:rsid w:val="00D67843"/>
    <w:rsid w:val="00D6793F"/>
    <w:rsid w:val="00D67FE2"/>
    <w:rsid w:val="00D70663"/>
    <w:rsid w:val="00D707BC"/>
    <w:rsid w:val="00D70DF5"/>
    <w:rsid w:val="00D7110E"/>
    <w:rsid w:val="00D714FB"/>
    <w:rsid w:val="00D7163D"/>
    <w:rsid w:val="00D71890"/>
    <w:rsid w:val="00D718AB"/>
    <w:rsid w:val="00D718D7"/>
    <w:rsid w:val="00D71A00"/>
    <w:rsid w:val="00D72349"/>
    <w:rsid w:val="00D72AA1"/>
    <w:rsid w:val="00D73A93"/>
    <w:rsid w:val="00D74081"/>
    <w:rsid w:val="00D74845"/>
    <w:rsid w:val="00D7493A"/>
    <w:rsid w:val="00D7512D"/>
    <w:rsid w:val="00D75374"/>
    <w:rsid w:val="00D753D8"/>
    <w:rsid w:val="00D7540D"/>
    <w:rsid w:val="00D75B01"/>
    <w:rsid w:val="00D75C69"/>
    <w:rsid w:val="00D75E24"/>
    <w:rsid w:val="00D766BF"/>
    <w:rsid w:val="00D76829"/>
    <w:rsid w:val="00D76846"/>
    <w:rsid w:val="00D768A9"/>
    <w:rsid w:val="00D76930"/>
    <w:rsid w:val="00D771AD"/>
    <w:rsid w:val="00D77758"/>
    <w:rsid w:val="00D77783"/>
    <w:rsid w:val="00D77C03"/>
    <w:rsid w:val="00D80798"/>
    <w:rsid w:val="00D8084C"/>
    <w:rsid w:val="00D80A63"/>
    <w:rsid w:val="00D80F36"/>
    <w:rsid w:val="00D80F7E"/>
    <w:rsid w:val="00D8143C"/>
    <w:rsid w:val="00D814B7"/>
    <w:rsid w:val="00D8168E"/>
    <w:rsid w:val="00D816C8"/>
    <w:rsid w:val="00D81704"/>
    <w:rsid w:val="00D8189E"/>
    <w:rsid w:val="00D8216C"/>
    <w:rsid w:val="00D8220D"/>
    <w:rsid w:val="00D82298"/>
    <w:rsid w:val="00D822F9"/>
    <w:rsid w:val="00D825B6"/>
    <w:rsid w:val="00D828B4"/>
    <w:rsid w:val="00D82DBD"/>
    <w:rsid w:val="00D833BE"/>
    <w:rsid w:val="00D833C2"/>
    <w:rsid w:val="00D83D84"/>
    <w:rsid w:val="00D84C4B"/>
    <w:rsid w:val="00D84D65"/>
    <w:rsid w:val="00D84EBE"/>
    <w:rsid w:val="00D850E1"/>
    <w:rsid w:val="00D85283"/>
    <w:rsid w:val="00D852A6"/>
    <w:rsid w:val="00D8530E"/>
    <w:rsid w:val="00D858FB"/>
    <w:rsid w:val="00D85A56"/>
    <w:rsid w:val="00D85C97"/>
    <w:rsid w:val="00D85E18"/>
    <w:rsid w:val="00D869AC"/>
    <w:rsid w:val="00D86CB8"/>
    <w:rsid w:val="00D87261"/>
    <w:rsid w:val="00D874F9"/>
    <w:rsid w:val="00D875BE"/>
    <w:rsid w:val="00D87A42"/>
    <w:rsid w:val="00D87EDD"/>
    <w:rsid w:val="00D9004A"/>
    <w:rsid w:val="00D9024F"/>
    <w:rsid w:val="00D90688"/>
    <w:rsid w:val="00D908C1"/>
    <w:rsid w:val="00D90D34"/>
    <w:rsid w:val="00D90FB8"/>
    <w:rsid w:val="00D911E3"/>
    <w:rsid w:val="00D9137C"/>
    <w:rsid w:val="00D91461"/>
    <w:rsid w:val="00D9188B"/>
    <w:rsid w:val="00D91B99"/>
    <w:rsid w:val="00D92118"/>
    <w:rsid w:val="00D922EA"/>
    <w:rsid w:val="00D92472"/>
    <w:rsid w:val="00D9251B"/>
    <w:rsid w:val="00D92F97"/>
    <w:rsid w:val="00D93429"/>
    <w:rsid w:val="00D93E33"/>
    <w:rsid w:val="00D941DC"/>
    <w:rsid w:val="00D9444A"/>
    <w:rsid w:val="00D94605"/>
    <w:rsid w:val="00D94AD6"/>
    <w:rsid w:val="00D94BCB"/>
    <w:rsid w:val="00D94CF9"/>
    <w:rsid w:val="00D95156"/>
    <w:rsid w:val="00D953DD"/>
    <w:rsid w:val="00D95610"/>
    <w:rsid w:val="00D95C35"/>
    <w:rsid w:val="00D95C68"/>
    <w:rsid w:val="00D9629F"/>
    <w:rsid w:val="00D962C5"/>
    <w:rsid w:val="00D964DD"/>
    <w:rsid w:val="00D96834"/>
    <w:rsid w:val="00D96DEB"/>
    <w:rsid w:val="00D972ED"/>
    <w:rsid w:val="00D9764C"/>
    <w:rsid w:val="00D97A3E"/>
    <w:rsid w:val="00D97B84"/>
    <w:rsid w:val="00D97EB8"/>
    <w:rsid w:val="00DA0AA7"/>
    <w:rsid w:val="00DA0CD9"/>
    <w:rsid w:val="00DA0DD7"/>
    <w:rsid w:val="00DA0E57"/>
    <w:rsid w:val="00DA0EF3"/>
    <w:rsid w:val="00DA1636"/>
    <w:rsid w:val="00DA1667"/>
    <w:rsid w:val="00DA176E"/>
    <w:rsid w:val="00DA1ED8"/>
    <w:rsid w:val="00DA21E8"/>
    <w:rsid w:val="00DA2E2D"/>
    <w:rsid w:val="00DA351D"/>
    <w:rsid w:val="00DA3739"/>
    <w:rsid w:val="00DA3AAD"/>
    <w:rsid w:val="00DA3BE1"/>
    <w:rsid w:val="00DA3C43"/>
    <w:rsid w:val="00DA44C1"/>
    <w:rsid w:val="00DA44C8"/>
    <w:rsid w:val="00DA49F9"/>
    <w:rsid w:val="00DA4EA7"/>
    <w:rsid w:val="00DA5833"/>
    <w:rsid w:val="00DA5A1A"/>
    <w:rsid w:val="00DA5D98"/>
    <w:rsid w:val="00DA63FC"/>
    <w:rsid w:val="00DA6A36"/>
    <w:rsid w:val="00DA7036"/>
    <w:rsid w:val="00DA71B1"/>
    <w:rsid w:val="00DA747A"/>
    <w:rsid w:val="00DA7DAE"/>
    <w:rsid w:val="00DA7F44"/>
    <w:rsid w:val="00DA7F84"/>
    <w:rsid w:val="00DB018A"/>
    <w:rsid w:val="00DB02DB"/>
    <w:rsid w:val="00DB08E4"/>
    <w:rsid w:val="00DB0C41"/>
    <w:rsid w:val="00DB0C6A"/>
    <w:rsid w:val="00DB12BE"/>
    <w:rsid w:val="00DB1440"/>
    <w:rsid w:val="00DB1DCA"/>
    <w:rsid w:val="00DB1FD7"/>
    <w:rsid w:val="00DB23E5"/>
    <w:rsid w:val="00DB245D"/>
    <w:rsid w:val="00DB246D"/>
    <w:rsid w:val="00DB26B4"/>
    <w:rsid w:val="00DB26DA"/>
    <w:rsid w:val="00DB2A0D"/>
    <w:rsid w:val="00DB2B54"/>
    <w:rsid w:val="00DB2C3D"/>
    <w:rsid w:val="00DB2EB3"/>
    <w:rsid w:val="00DB312B"/>
    <w:rsid w:val="00DB316B"/>
    <w:rsid w:val="00DB34B3"/>
    <w:rsid w:val="00DB4060"/>
    <w:rsid w:val="00DB5029"/>
    <w:rsid w:val="00DB50C7"/>
    <w:rsid w:val="00DB5513"/>
    <w:rsid w:val="00DB59F1"/>
    <w:rsid w:val="00DB6230"/>
    <w:rsid w:val="00DB6A4D"/>
    <w:rsid w:val="00DB6AA8"/>
    <w:rsid w:val="00DB6EC5"/>
    <w:rsid w:val="00DB7060"/>
    <w:rsid w:val="00DB72AE"/>
    <w:rsid w:val="00DB7301"/>
    <w:rsid w:val="00DC0822"/>
    <w:rsid w:val="00DC0955"/>
    <w:rsid w:val="00DC0FBF"/>
    <w:rsid w:val="00DC1085"/>
    <w:rsid w:val="00DC14BE"/>
    <w:rsid w:val="00DC184F"/>
    <w:rsid w:val="00DC1A65"/>
    <w:rsid w:val="00DC233E"/>
    <w:rsid w:val="00DC2502"/>
    <w:rsid w:val="00DC25D5"/>
    <w:rsid w:val="00DC260C"/>
    <w:rsid w:val="00DC29A4"/>
    <w:rsid w:val="00DC30A2"/>
    <w:rsid w:val="00DC3416"/>
    <w:rsid w:val="00DC350B"/>
    <w:rsid w:val="00DC395F"/>
    <w:rsid w:val="00DC3D61"/>
    <w:rsid w:val="00DC4082"/>
    <w:rsid w:val="00DC4141"/>
    <w:rsid w:val="00DC43B8"/>
    <w:rsid w:val="00DC4491"/>
    <w:rsid w:val="00DC491B"/>
    <w:rsid w:val="00DC49A6"/>
    <w:rsid w:val="00DC5654"/>
    <w:rsid w:val="00DC5754"/>
    <w:rsid w:val="00DC60A8"/>
    <w:rsid w:val="00DC658F"/>
    <w:rsid w:val="00DC6627"/>
    <w:rsid w:val="00DC665E"/>
    <w:rsid w:val="00DC6690"/>
    <w:rsid w:val="00DC674A"/>
    <w:rsid w:val="00DC7296"/>
    <w:rsid w:val="00DC7432"/>
    <w:rsid w:val="00DC7719"/>
    <w:rsid w:val="00DC78B7"/>
    <w:rsid w:val="00DC78DD"/>
    <w:rsid w:val="00DD07D7"/>
    <w:rsid w:val="00DD0809"/>
    <w:rsid w:val="00DD0B4B"/>
    <w:rsid w:val="00DD12A0"/>
    <w:rsid w:val="00DD1A0C"/>
    <w:rsid w:val="00DD1C72"/>
    <w:rsid w:val="00DD1D77"/>
    <w:rsid w:val="00DD22CA"/>
    <w:rsid w:val="00DD23BA"/>
    <w:rsid w:val="00DD2684"/>
    <w:rsid w:val="00DD3075"/>
    <w:rsid w:val="00DD365A"/>
    <w:rsid w:val="00DD3A26"/>
    <w:rsid w:val="00DD4305"/>
    <w:rsid w:val="00DD454A"/>
    <w:rsid w:val="00DD45BE"/>
    <w:rsid w:val="00DD488B"/>
    <w:rsid w:val="00DD5169"/>
    <w:rsid w:val="00DD55EC"/>
    <w:rsid w:val="00DD57C0"/>
    <w:rsid w:val="00DD5C90"/>
    <w:rsid w:val="00DD5FB7"/>
    <w:rsid w:val="00DD68A6"/>
    <w:rsid w:val="00DD6AC8"/>
    <w:rsid w:val="00DD6D26"/>
    <w:rsid w:val="00DD7231"/>
    <w:rsid w:val="00DD741F"/>
    <w:rsid w:val="00DD7AB9"/>
    <w:rsid w:val="00DD7E65"/>
    <w:rsid w:val="00DE09E8"/>
    <w:rsid w:val="00DE0A2C"/>
    <w:rsid w:val="00DE0AEB"/>
    <w:rsid w:val="00DE0EC0"/>
    <w:rsid w:val="00DE14E4"/>
    <w:rsid w:val="00DE1AF4"/>
    <w:rsid w:val="00DE206F"/>
    <w:rsid w:val="00DE227A"/>
    <w:rsid w:val="00DE25C6"/>
    <w:rsid w:val="00DE275B"/>
    <w:rsid w:val="00DE2AD2"/>
    <w:rsid w:val="00DE2E78"/>
    <w:rsid w:val="00DE32B6"/>
    <w:rsid w:val="00DE339E"/>
    <w:rsid w:val="00DE3409"/>
    <w:rsid w:val="00DE39E3"/>
    <w:rsid w:val="00DE3D27"/>
    <w:rsid w:val="00DE3FEF"/>
    <w:rsid w:val="00DE4149"/>
    <w:rsid w:val="00DE42A1"/>
    <w:rsid w:val="00DE46DD"/>
    <w:rsid w:val="00DE46E2"/>
    <w:rsid w:val="00DE4E3D"/>
    <w:rsid w:val="00DE4FA7"/>
    <w:rsid w:val="00DE5022"/>
    <w:rsid w:val="00DE5A02"/>
    <w:rsid w:val="00DE5BD4"/>
    <w:rsid w:val="00DE5D9C"/>
    <w:rsid w:val="00DE60CC"/>
    <w:rsid w:val="00DE61D0"/>
    <w:rsid w:val="00DE67AD"/>
    <w:rsid w:val="00DE6A0B"/>
    <w:rsid w:val="00DE6A55"/>
    <w:rsid w:val="00DE6C8B"/>
    <w:rsid w:val="00DE6EC7"/>
    <w:rsid w:val="00DE752E"/>
    <w:rsid w:val="00DE7531"/>
    <w:rsid w:val="00DE7C26"/>
    <w:rsid w:val="00DE7D74"/>
    <w:rsid w:val="00DE7D8D"/>
    <w:rsid w:val="00DE7F85"/>
    <w:rsid w:val="00DF0294"/>
    <w:rsid w:val="00DF02E3"/>
    <w:rsid w:val="00DF03A3"/>
    <w:rsid w:val="00DF07F8"/>
    <w:rsid w:val="00DF0961"/>
    <w:rsid w:val="00DF0F03"/>
    <w:rsid w:val="00DF16BE"/>
    <w:rsid w:val="00DF1819"/>
    <w:rsid w:val="00DF186C"/>
    <w:rsid w:val="00DF1F4F"/>
    <w:rsid w:val="00DF2275"/>
    <w:rsid w:val="00DF2432"/>
    <w:rsid w:val="00DF25A8"/>
    <w:rsid w:val="00DF2B1C"/>
    <w:rsid w:val="00DF2C69"/>
    <w:rsid w:val="00DF311A"/>
    <w:rsid w:val="00DF3656"/>
    <w:rsid w:val="00DF3891"/>
    <w:rsid w:val="00DF418C"/>
    <w:rsid w:val="00DF46FC"/>
    <w:rsid w:val="00DF4BB2"/>
    <w:rsid w:val="00DF4FFB"/>
    <w:rsid w:val="00DF50E5"/>
    <w:rsid w:val="00DF554B"/>
    <w:rsid w:val="00DF571C"/>
    <w:rsid w:val="00DF5CAA"/>
    <w:rsid w:val="00DF5E6C"/>
    <w:rsid w:val="00DF62D2"/>
    <w:rsid w:val="00DF6CA0"/>
    <w:rsid w:val="00DF6E1F"/>
    <w:rsid w:val="00DF6F29"/>
    <w:rsid w:val="00DF79E2"/>
    <w:rsid w:val="00DF7A4E"/>
    <w:rsid w:val="00DF7E23"/>
    <w:rsid w:val="00DF7F9A"/>
    <w:rsid w:val="00E0037F"/>
    <w:rsid w:val="00E004AD"/>
    <w:rsid w:val="00E0066C"/>
    <w:rsid w:val="00E007F8"/>
    <w:rsid w:val="00E0113A"/>
    <w:rsid w:val="00E011BE"/>
    <w:rsid w:val="00E011CD"/>
    <w:rsid w:val="00E013F9"/>
    <w:rsid w:val="00E01763"/>
    <w:rsid w:val="00E017D2"/>
    <w:rsid w:val="00E018BF"/>
    <w:rsid w:val="00E01B3E"/>
    <w:rsid w:val="00E0270B"/>
    <w:rsid w:val="00E02DA1"/>
    <w:rsid w:val="00E03059"/>
    <w:rsid w:val="00E03069"/>
    <w:rsid w:val="00E03280"/>
    <w:rsid w:val="00E0331B"/>
    <w:rsid w:val="00E03461"/>
    <w:rsid w:val="00E042F4"/>
    <w:rsid w:val="00E045A6"/>
    <w:rsid w:val="00E0478A"/>
    <w:rsid w:val="00E0493D"/>
    <w:rsid w:val="00E04FD5"/>
    <w:rsid w:val="00E05202"/>
    <w:rsid w:val="00E05547"/>
    <w:rsid w:val="00E057AA"/>
    <w:rsid w:val="00E05CB7"/>
    <w:rsid w:val="00E05DC9"/>
    <w:rsid w:val="00E05FC7"/>
    <w:rsid w:val="00E06192"/>
    <w:rsid w:val="00E069AE"/>
    <w:rsid w:val="00E06B8C"/>
    <w:rsid w:val="00E06C42"/>
    <w:rsid w:val="00E06D68"/>
    <w:rsid w:val="00E06F66"/>
    <w:rsid w:val="00E06F91"/>
    <w:rsid w:val="00E0742D"/>
    <w:rsid w:val="00E074C1"/>
    <w:rsid w:val="00E0750B"/>
    <w:rsid w:val="00E078A1"/>
    <w:rsid w:val="00E07BE8"/>
    <w:rsid w:val="00E07CBD"/>
    <w:rsid w:val="00E10827"/>
    <w:rsid w:val="00E1142D"/>
    <w:rsid w:val="00E1318C"/>
    <w:rsid w:val="00E14099"/>
    <w:rsid w:val="00E144EB"/>
    <w:rsid w:val="00E14AD5"/>
    <w:rsid w:val="00E154ED"/>
    <w:rsid w:val="00E1602C"/>
    <w:rsid w:val="00E161D3"/>
    <w:rsid w:val="00E16F01"/>
    <w:rsid w:val="00E17C48"/>
    <w:rsid w:val="00E17D4A"/>
    <w:rsid w:val="00E201BA"/>
    <w:rsid w:val="00E2020F"/>
    <w:rsid w:val="00E202F2"/>
    <w:rsid w:val="00E203A4"/>
    <w:rsid w:val="00E206D4"/>
    <w:rsid w:val="00E20C3F"/>
    <w:rsid w:val="00E20E4F"/>
    <w:rsid w:val="00E211CE"/>
    <w:rsid w:val="00E21562"/>
    <w:rsid w:val="00E21973"/>
    <w:rsid w:val="00E21A29"/>
    <w:rsid w:val="00E21B26"/>
    <w:rsid w:val="00E21BF8"/>
    <w:rsid w:val="00E2255D"/>
    <w:rsid w:val="00E226F5"/>
    <w:rsid w:val="00E22F55"/>
    <w:rsid w:val="00E2326C"/>
    <w:rsid w:val="00E23534"/>
    <w:rsid w:val="00E23616"/>
    <w:rsid w:val="00E237A1"/>
    <w:rsid w:val="00E23E29"/>
    <w:rsid w:val="00E24823"/>
    <w:rsid w:val="00E24E7B"/>
    <w:rsid w:val="00E25035"/>
    <w:rsid w:val="00E25875"/>
    <w:rsid w:val="00E25AC4"/>
    <w:rsid w:val="00E25D66"/>
    <w:rsid w:val="00E25F92"/>
    <w:rsid w:val="00E26838"/>
    <w:rsid w:val="00E26B32"/>
    <w:rsid w:val="00E26CCA"/>
    <w:rsid w:val="00E26E76"/>
    <w:rsid w:val="00E26EB8"/>
    <w:rsid w:val="00E272A3"/>
    <w:rsid w:val="00E275E3"/>
    <w:rsid w:val="00E275ED"/>
    <w:rsid w:val="00E276D3"/>
    <w:rsid w:val="00E27A97"/>
    <w:rsid w:val="00E27BA0"/>
    <w:rsid w:val="00E2F5AB"/>
    <w:rsid w:val="00E3048A"/>
    <w:rsid w:val="00E30959"/>
    <w:rsid w:val="00E30C5E"/>
    <w:rsid w:val="00E30F35"/>
    <w:rsid w:val="00E3135F"/>
    <w:rsid w:val="00E315C9"/>
    <w:rsid w:val="00E31757"/>
    <w:rsid w:val="00E31767"/>
    <w:rsid w:val="00E3183B"/>
    <w:rsid w:val="00E320D2"/>
    <w:rsid w:val="00E325E7"/>
    <w:rsid w:val="00E326D0"/>
    <w:rsid w:val="00E32B2D"/>
    <w:rsid w:val="00E32E91"/>
    <w:rsid w:val="00E33725"/>
    <w:rsid w:val="00E33C33"/>
    <w:rsid w:val="00E341E7"/>
    <w:rsid w:val="00E34685"/>
    <w:rsid w:val="00E34E62"/>
    <w:rsid w:val="00E34FF7"/>
    <w:rsid w:val="00E35000"/>
    <w:rsid w:val="00E353E2"/>
    <w:rsid w:val="00E36C5B"/>
    <w:rsid w:val="00E36D26"/>
    <w:rsid w:val="00E36D4E"/>
    <w:rsid w:val="00E37326"/>
    <w:rsid w:val="00E3748E"/>
    <w:rsid w:val="00E377BA"/>
    <w:rsid w:val="00E37AA1"/>
    <w:rsid w:val="00E37CE1"/>
    <w:rsid w:val="00E37F5D"/>
    <w:rsid w:val="00E401A8"/>
    <w:rsid w:val="00E401BD"/>
    <w:rsid w:val="00E40475"/>
    <w:rsid w:val="00E407B6"/>
    <w:rsid w:val="00E40BB3"/>
    <w:rsid w:val="00E41146"/>
    <w:rsid w:val="00E412DC"/>
    <w:rsid w:val="00E413D8"/>
    <w:rsid w:val="00E41793"/>
    <w:rsid w:val="00E41B61"/>
    <w:rsid w:val="00E41EF1"/>
    <w:rsid w:val="00E42942"/>
    <w:rsid w:val="00E42CD4"/>
    <w:rsid w:val="00E42E2B"/>
    <w:rsid w:val="00E4359F"/>
    <w:rsid w:val="00E4403A"/>
    <w:rsid w:val="00E44650"/>
    <w:rsid w:val="00E45846"/>
    <w:rsid w:val="00E45A24"/>
    <w:rsid w:val="00E45E06"/>
    <w:rsid w:val="00E460FA"/>
    <w:rsid w:val="00E46407"/>
    <w:rsid w:val="00E46ED9"/>
    <w:rsid w:val="00E46FCE"/>
    <w:rsid w:val="00E473AA"/>
    <w:rsid w:val="00E47805"/>
    <w:rsid w:val="00E5005C"/>
    <w:rsid w:val="00E50614"/>
    <w:rsid w:val="00E508F9"/>
    <w:rsid w:val="00E50DD7"/>
    <w:rsid w:val="00E50DE6"/>
    <w:rsid w:val="00E50EEB"/>
    <w:rsid w:val="00E51052"/>
    <w:rsid w:val="00E51107"/>
    <w:rsid w:val="00E51633"/>
    <w:rsid w:val="00E5273C"/>
    <w:rsid w:val="00E52BAD"/>
    <w:rsid w:val="00E53050"/>
    <w:rsid w:val="00E532BF"/>
    <w:rsid w:val="00E534C8"/>
    <w:rsid w:val="00E53826"/>
    <w:rsid w:val="00E53A46"/>
    <w:rsid w:val="00E53F28"/>
    <w:rsid w:val="00E54329"/>
    <w:rsid w:val="00E54340"/>
    <w:rsid w:val="00E552D6"/>
    <w:rsid w:val="00E554A1"/>
    <w:rsid w:val="00E55776"/>
    <w:rsid w:val="00E55D19"/>
    <w:rsid w:val="00E55E07"/>
    <w:rsid w:val="00E562E2"/>
    <w:rsid w:val="00E56ED6"/>
    <w:rsid w:val="00E56FB4"/>
    <w:rsid w:val="00E570DC"/>
    <w:rsid w:val="00E570F8"/>
    <w:rsid w:val="00E5722E"/>
    <w:rsid w:val="00E576CC"/>
    <w:rsid w:val="00E579C8"/>
    <w:rsid w:val="00E57B92"/>
    <w:rsid w:val="00E57C5C"/>
    <w:rsid w:val="00E57CAC"/>
    <w:rsid w:val="00E57F12"/>
    <w:rsid w:val="00E602A5"/>
    <w:rsid w:val="00E60667"/>
    <w:rsid w:val="00E6088D"/>
    <w:rsid w:val="00E60A9A"/>
    <w:rsid w:val="00E6108A"/>
    <w:rsid w:val="00E61165"/>
    <w:rsid w:val="00E614A1"/>
    <w:rsid w:val="00E615F1"/>
    <w:rsid w:val="00E61833"/>
    <w:rsid w:val="00E6194D"/>
    <w:rsid w:val="00E61A8B"/>
    <w:rsid w:val="00E62042"/>
    <w:rsid w:val="00E620B4"/>
    <w:rsid w:val="00E6222B"/>
    <w:rsid w:val="00E62686"/>
    <w:rsid w:val="00E6287D"/>
    <w:rsid w:val="00E62885"/>
    <w:rsid w:val="00E633E6"/>
    <w:rsid w:val="00E64335"/>
    <w:rsid w:val="00E64E8E"/>
    <w:rsid w:val="00E652ED"/>
    <w:rsid w:val="00E657D1"/>
    <w:rsid w:val="00E65918"/>
    <w:rsid w:val="00E65997"/>
    <w:rsid w:val="00E65A0A"/>
    <w:rsid w:val="00E65BB0"/>
    <w:rsid w:val="00E66268"/>
    <w:rsid w:val="00E66510"/>
    <w:rsid w:val="00E666CC"/>
    <w:rsid w:val="00E669AC"/>
    <w:rsid w:val="00E66A01"/>
    <w:rsid w:val="00E66AE6"/>
    <w:rsid w:val="00E66C1D"/>
    <w:rsid w:val="00E66DEB"/>
    <w:rsid w:val="00E6707A"/>
    <w:rsid w:val="00E67110"/>
    <w:rsid w:val="00E6753D"/>
    <w:rsid w:val="00E679D7"/>
    <w:rsid w:val="00E7026B"/>
    <w:rsid w:val="00E70508"/>
    <w:rsid w:val="00E70565"/>
    <w:rsid w:val="00E70578"/>
    <w:rsid w:val="00E71159"/>
    <w:rsid w:val="00E711B2"/>
    <w:rsid w:val="00E71480"/>
    <w:rsid w:val="00E71495"/>
    <w:rsid w:val="00E71542"/>
    <w:rsid w:val="00E71BDF"/>
    <w:rsid w:val="00E71D1F"/>
    <w:rsid w:val="00E71D6E"/>
    <w:rsid w:val="00E71FB0"/>
    <w:rsid w:val="00E7237C"/>
    <w:rsid w:val="00E72394"/>
    <w:rsid w:val="00E72663"/>
    <w:rsid w:val="00E72881"/>
    <w:rsid w:val="00E72C45"/>
    <w:rsid w:val="00E73516"/>
    <w:rsid w:val="00E73982"/>
    <w:rsid w:val="00E73E58"/>
    <w:rsid w:val="00E74476"/>
    <w:rsid w:val="00E7452E"/>
    <w:rsid w:val="00E74F90"/>
    <w:rsid w:val="00E7507D"/>
    <w:rsid w:val="00E75207"/>
    <w:rsid w:val="00E753D9"/>
    <w:rsid w:val="00E754A0"/>
    <w:rsid w:val="00E75CCB"/>
    <w:rsid w:val="00E75D54"/>
    <w:rsid w:val="00E75E2A"/>
    <w:rsid w:val="00E76E26"/>
    <w:rsid w:val="00E776C8"/>
    <w:rsid w:val="00E77A73"/>
    <w:rsid w:val="00E77C01"/>
    <w:rsid w:val="00E77CD3"/>
    <w:rsid w:val="00E8003A"/>
    <w:rsid w:val="00E800FE"/>
    <w:rsid w:val="00E805EA"/>
    <w:rsid w:val="00E80C71"/>
    <w:rsid w:val="00E81029"/>
    <w:rsid w:val="00E8111F"/>
    <w:rsid w:val="00E81344"/>
    <w:rsid w:val="00E8165B"/>
    <w:rsid w:val="00E818E2"/>
    <w:rsid w:val="00E819B1"/>
    <w:rsid w:val="00E81A04"/>
    <w:rsid w:val="00E81D30"/>
    <w:rsid w:val="00E81D5E"/>
    <w:rsid w:val="00E81DE5"/>
    <w:rsid w:val="00E821A5"/>
    <w:rsid w:val="00E82229"/>
    <w:rsid w:val="00E8235D"/>
    <w:rsid w:val="00E8245B"/>
    <w:rsid w:val="00E82C21"/>
    <w:rsid w:val="00E82C70"/>
    <w:rsid w:val="00E82DC2"/>
    <w:rsid w:val="00E82F59"/>
    <w:rsid w:val="00E8321F"/>
    <w:rsid w:val="00E83C78"/>
    <w:rsid w:val="00E83CA7"/>
    <w:rsid w:val="00E83DB2"/>
    <w:rsid w:val="00E83FC4"/>
    <w:rsid w:val="00E841A4"/>
    <w:rsid w:val="00E846DE"/>
    <w:rsid w:val="00E85168"/>
    <w:rsid w:val="00E857D9"/>
    <w:rsid w:val="00E857FD"/>
    <w:rsid w:val="00E85EAA"/>
    <w:rsid w:val="00E85FF3"/>
    <w:rsid w:val="00E86156"/>
    <w:rsid w:val="00E862CB"/>
    <w:rsid w:val="00E864CC"/>
    <w:rsid w:val="00E866BE"/>
    <w:rsid w:val="00E86871"/>
    <w:rsid w:val="00E8689E"/>
    <w:rsid w:val="00E86A1C"/>
    <w:rsid w:val="00E87156"/>
    <w:rsid w:val="00E872D2"/>
    <w:rsid w:val="00E872D7"/>
    <w:rsid w:val="00E87438"/>
    <w:rsid w:val="00E87D94"/>
    <w:rsid w:val="00E87F9C"/>
    <w:rsid w:val="00E9025F"/>
    <w:rsid w:val="00E90314"/>
    <w:rsid w:val="00E904B0"/>
    <w:rsid w:val="00E90567"/>
    <w:rsid w:val="00E905E2"/>
    <w:rsid w:val="00E90807"/>
    <w:rsid w:val="00E919F3"/>
    <w:rsid w:val="00E91ABF"/>
    <w:rsid w:val="00E91B68"/>
    <w:rsid w:val="00E91E7B"/>
    <w:rsid w:val="00E92192"/>
    <w:rsid w:val="00E921F3"/>
    <w:rsid w:val="00E92427"/>
    <w:rsid w:val="00E9329A"/>
    <w:rsid w:val="00E932A2"/>
    <w:rsid w:val="00E93AD8"/>
    <w:rsid w:val="00E93E05"/>
    <w:rsid w:val="00E945C4"/>
    <w:rsid w:val="00E9518F"/>
    <w:rsid w:val="00E95273"/>
    <w:rsid w:val="00E9563F"/>
    <w:rsid w:val="00E958D5"/>
    <w:rsid w:val="00E95A71"/>
    <w:rsid w:val="00E95B1A"/>
    <w:rsid w:val="00E95ED8"/>
    <w:rsid w:val="00E963F5"/>
    <w:rsid w:val="00E9648F"/>
    <w:rsid w:val="00E96D28"/>
    <w:rsid w:val="00E97883"/>
    <w:rsid w:val="00E97D96"/>
    <w:rsid w:val="00EA00EA"/>
    <w:rsid w:val="00EA02C1"/>
    <w:rsid w:val="00EA0533"/>
    <w:rsid w:val="00EA0D4D"/>
    <w:rsid w:val="00EA0D4F"/>
    <w:rsid w:val="00EA178D"/>
    <w:rsid w:val="00EA19F4"/>
    <w:rsid w:val="00EA1C16"/>
    <w:rsid w:val="00EA22A4"/>
    <w:rsid w:val="00EA23C2"/>
    <w:rsid w:val="00EA3178"/>
    <w:rsid w:val="00EA3513"/>
    <w:rsid w:val="00EA3FB2"/>
    <w:rsid w:val="00EA42E4"/>
    <w:rsid w:val="00EA4EA7"/>
    <w:rsid w:val="00EA5408"/>
    <w:rsid w:val="00EA55AD"/>
    <w:rsid w:val="00EA5921"/>
    <w:rsid w:val="00EA5C37"/>
    <w:rsid w:val="00EA5C62"/>
    <w:rsid w:val="00EA5D7C"/>
    <w:rsid w:val="00EA5D8F"/>
    <w:rsid w:val="00EA5DB1"/>
    <w:rsid w:val="00EA5F2A"/>
    <w:rsid w:val="00EA6135"/>
    <w:rsid w:val="00EA62B1"/>
    <w:rsid w:val="00EA6373"/>
    <w:rsid w:val="00EA656B"/>
    <w:rsid w:val="00EA6B32"/>
    <w:rsid w:val="00EA6CDA"/>
    <w:rsid w:val="00EA6F3E"/>
    <w:rsid w:val="00EA7658"/>
    <w:rsid w:val="00EA76EF"/>
    <w:rsid w:val="00EA778C"/>
    <w:rsid w:val="00EA77AB"/>
    <w:rsid w:val="00EA789D"/>
    <w:rsid w:val="00EA79C7"/>
    <w:rsid w:val="00EB0285"/>
    <w:rsid w:val="00EB0566"/>
    <w:rsid w:val="00EB0C65"/>
    <w:rsid w:val="00EB0E86"/>
    <w:rsid w:val="00EB13CA"/>
    <w:rsid w:val="00EB1838"/>
    <w:rsid w:val="00EB1AD0"/>
    <w:rsid w:val="00EB1D56"/>
    <w:rsid w:val="00EB1D83"/>
    <w:rsid w:val="00EB2125"/>
    <w:rsid w:val="00EB2273"/>
    <w:rsid w:val="00EB2367"/>
    <w:rsid w:val="00EB2912"/>
    <w:rsid w:val="00EB2EAD"/>
    <w:rsid w:val="00EB3272"/>
    <w:rsid w:val="00EB3315"/>
    <w:rsid w:val="00EB3349"/>
    <w:rsid w:val="00EB3AC0"/>
    <w:rsid w:val="00EB3E8B"/>
    <w:rsid w:val="00EB4239"/>
    <w:rsid w:val="00EB54C7"/>
    <w:rsid w:val="00EB55C9"/>
    <w:rsid w:val="00EB58FE"/>
    <w:rsid w:val="00EB5F52"/>
    <w:rsid w:val="00EB64BC"/>
    <w:rsid w:val="00EB6B72"/>
    <w:rsid w:val="00EB6F94"/>
    <w:rsid w:val="00EB7014"/>
    <w:rsid w:val="00EB71F3"/>
    <w:rsid w:val="00EB7499"/>
    <w:rsid w:val="00EB79C3"/>
    <w:rsid w:val="00EB7B7E"/>
    <w:rsid w:val="00EB7C8F"/>
    <w:rsid w:val="00EC00B6"/>
    <w:rsid w:val="00EC01C3"/>
    <w:rsid w:val="00EC0351"/>
    <w:rsid w:val="00EC0578"/>
    <w:rsid w:val="00EC05FA"/>
    <w:rsid w:val="00EC0D41"/>
    <w:rsid w:val="00EC1234"/>
    <w:rsid w:val="00EC123B"/>
    <w:rsid w:val="00EC1248"/>
    <w:rsid w:val="00EC176D"/>
    <w:rsid w:val="00EC17A1"/>
    <w:rsid w:val="00EC1C92"/>
    <w:rsid w:val="00EC29B1"/>
    <w:rsid w:val="00EC2FDD"/>
    <w:rsid w:val="00EC3B04"/>
    <w:rsid w:val="00EC48B5"/>
    <w:rsid w:val="00EC56E9"/>
    <w:rsid w:val="00EC57BD"/>
    <w:rsid w:val="00EC5CDE"/>
    <w:rsid w:val="00EC5E9F"/>
    <w:rsid w:val="00EC5EE4"/>
    <w:rsid w:val="00EC620D"/>
    <w:rsid w:val="00EC6497"/>
    <w:rsid w:val="00EC64B4"/>
    <w:rsid w:val="00EC69DE"/>
    <w:rsid w:val="00EC6CA7"/>
    <w:rsid w:val="00EC6DEC"/>
    <w:rsid w:val="00EC6F02"/>
    <w:rsid w:val="00EC70FA"/>
    <w:rsid w:val="00EC71F8"/>
    <w:rsid w:val="00EC7914"/>
    <w:rsid w:val="00EC7FA3"/>
    <w:rsid w:val="00ED0892"/>
    <w:rsid w:val="00ED124D"/>
    <w:rsid w:val="00ED1344"/>
    <w:rsid w:val="00ED18C0"/>
    <w:rsid w:val="00ED1D44"/>
    <w:rsid w:val="00ED1EC3"/>
    <w:rsid w:val="00ED24DE"/>
    <w:rsid w:val="00ED2CB4"/>
    <w:rsid w:val="00ED3354"/>
    <w:rsid w:val="00ED3703"/>
    <w:rsid w:val="00ED375F"/>
    <w:rsid w:val="00ED3A98"/>
    <w:rsid w:val="00ED3E1E"/>
    <w:rsid w:val="00ED4131"/>
    <w:rsid w:val="00ED4795"/>
    <w:rsid w:val="00ED487E"/>
    <w:rsid w:val="00ED5230"/>
    <w:rsid w:val="00ED5657"/>
    <w:rsid w:val="00ED5704"/>
    <w:rsid w:val="00ED587B"/>
    <w:rsid w:val="00ED5B72"/>
    <w:rsid w:val="00ED5F03"/>
    <w:rsid w:val="00ED6491"/>
    <w:rsid w:val="00ED68AD"/>
    <w:rsid w:val="00ED696D"/>
    <w:rsid w:val="00ED6A17"/>
    <w:rsid w:val="00ED6D9B"/>
    <w:rsid w:val="00ED719C"/>
    <w:rsid w:val="00ED7BFF"/>
    <w:rsid w:val="00ED7CA0"/>
    <w:rsid w:val="00ED7D63"/>
    <w:rsid w:val="00EE0C7A"/>
    <w:rsid w:val="00EE0D28"/>
    <w:rsid w:val="00EE101E"/>
    <w:rsid w:val="00EE1629"/>
    <w:rsid w:val="00EE16BF"/>
    <w:rsid w:val="00EE1735"/>
    <w:rsid w:val="00EE1CA9"/>
    <w:rsid w:val="00EE2AEA"/>
    <w:rsid w:val="00EE2C1C"/>
    <w:rsid w:val="00EE33A1"/>
    <w:rsid w:val="00EE33F4"/>
    <w:rsid w:val="00EE3560"/>
    <w:rsid w:val="00EE385F"/>
    <w:rsid w:val="00EE3DCD"/>
    <w:rsid w:val="00EE4672"/>
    <w:rsid w:val="00EE4CE6"/>
    <w:rsid w:val="00EE4F95"/>
    <w:rsid w:val="00EE5144"/>
    <w:rsid w:val="00EE51C3"/>
    <w:rsid w:val="00EE5972"/>
    <w:rsid w:val="00EE5A63"/>
    <w:rsid w:val="00EE5C89"/>
    <w:rsid w:val="00EE6205"/>
    <w:rsid w:val="00EE6ACF"/>
    <w:rsid w:val="00EE6C78"/>
    <w:rsid w:val="00EE6D30"/>
    <w:rsid w:val="00EE6E2E"/>
    <w:rsid w:val="00EE6F9C"/>
    <w:rsid w:val="00EE7288"/>
    <w:rsid w:val="00EE7298"/>
    <w:rsid w:val="00EE76B5"/>
    <w:rsid w:val="00EE7A0D"/>
    <w:rsid w:val="00EF016F"/>
    <w:rsid w:val="00EF0204"/>
    <w:rsid w:val="00EF0285"/>
    <w:rsid w:val="00EF0ADE"/>
    <w:rsid w:val="00EF0E3C"/>
    <w:rsid w:val="00EF11C3"/>
    <w:rsid w:val="00EF1479"/>
    <w:rsid w:val="00EF14B4"/>
    <w:rsid w:val="00EF1A75"/>
    <w:rsid w:val="00EF1B5A"/>
    <w:rsid w:val="00EF1CFD"/>
    <w:rsid w:val="00EF2115"/>
    <w:rsid w:val="00EF24FC"/>
    <w:rsid w:val="00EF25CF"/>
    <w:rsid w:val="00EF27E5"/>
    <w:rsid w:val="00EF2A3D"/>
    <w:rsid w:val="00EF2E81"/>
    <w:rsid w:val="00EF36D7"/>
    <w:rsid w:val="00EF3CD8"/>
    <w:rsid w:val="00EF3FF8"/>
    <w:rsid w:val="00EF40B4"/>
    <w:rsid w:val="00EF42E2"/>
    <w:rsid w:val="00EF480F"/>
    <w:rsid w:val="00EF5597"/>
    <w:rsid w:val="00EF5806"/>
    <w:rsid w:val="00EF5B10"/>
    <w:rsid w:val="00EF5B12"/>
    <w:rsid w:val="00EF5B8E"/>
    <w:rsid w:val="00EF6BDF"/>
    <w:rsid w:val="00EF6EC7"/>
    <w:rsid w:val="00EF6F0C"/>
    <w:rsid w:val="00EF6F89"/>
    <w:rsid w:val="00EF753F"/>
    <w:rsid w:val="00EF78FD"/>
    <w:rsid w:val="00EF7DB1"/>
    <w:rsid w:val="00EF7E0A"/>
    <w:rsid w:val="00EF7E69"/>
    <w:rsid w:val="00F00271"/>
    <w:rsid w:val="00F003AC"/>
    <w:rsid w:val="00F00ABE"/>
    <w:rsid w:val="00F00DCE"/>
    <w:rsid w:val="00F0126A"/>
    <w:rsid w:val="00F015AF"/>
    <w:rsid w:val="00F01639"/>
    <w:rsid w:val="00F01F38"/>
    <w:rsid w:val="00F0222C"/>
    <w:rsid w:val="00F02697"/>
    <w:rsid w:val="00F02978"/>
    <w:rsid w:val="00F029E9"/>
    <w:rsid w:val="00F02B9C"/>
    <w:rsid w:val="00F02CA2"/>
    <w:rsid w:val="00F031AA"/>
    <w:rsid w:val="00F03C04"/>
    <w:rsid w:val="00F03C39"/>
    <w:rsid w:val="00F03E12"/>
    <w:rsid w:val="00F04072"/>
    <w:rsid w:val="00F04667"/>
    <w:rsid w:val="00F046D4"/>
    <w:rsid w:val="00F048BE"/>
    <w:rsid w:val="00F048D2"/>
    <w:rsid w:val="00F05547"/>
    <w:rsid w:val="00F057F8"/>
    <w:rsid w:val="00F05A92"/>
    <w:rsid w:val="00F06070"/>
    <w:rsid w:val="00F071CF"/>
    <w:rsid w:val="00F073EF"/>
    <w:rsid w:val="00F07496"/>
    <w:rsid w:val="00F07951"/>
    <w:rsid w:val="00F1005F"/>
    <w:rsid w:val="00F10296"/>
    <w:rsid w:val="00F107CE"/>
    <w:rsid w:val="00F1094D"/>
    <w:rsid w:val="00F10BDD"/>
    <w:rsid w:val="00F11108"/>
    <w:rsid w:val="00F11188"/>
    <w:rsid w:val="00F1120A"/>
    <w:rsid w:val="00F11272"/>
    <w:rsid w:val="00F112B7"/>
    <w:rsid w:val="00F11301"/>
    <w:rsid w:val="00F11340"/>
    <w:rsid w:val="00F11836"/>
    <w:rsid w:val="00F11B52"/>
    <w:rsid w:val="00F11E3F"/>
    <w:rsid w:val="00F11EB1"/>
    <w:rsid w:val="00F1225E"/>
    <w:rsid w:val="00F12312"/>
    <w:rsid w:val="00F1238A"/>
    <w:rsid w:val="00F126FB"/>
    <w:rsid w:val="00F12A13"/>
    <w:rsid w:val="00F12F57"/>
    <w:rsid w:val="00F12F89"/>
    <w:rsid w:val="00F1309D"/>
    <w:rsid w:val="00F135FF"/>
    <w:rsid w:val="00F136D5"/>
    <w:rsid w:val="00F13CBD"/>
    <w:rsid w:val="00F141F4"/>
    <w:rsid w:val="00F143F5"/>
    <w:rsid w:val="00F144CE"/>
    <w:rsid w:val="00F14BAD"/>
    <w:rsid w:val="00F14C68"/>
    <w:rsid w:val="00F14CBF"/>
    <w:rsid w:val="00F14D41"/>
    <w:rsid w:val="00F14D85"/>
    <w:rsid w:val="00F152DF"/>
    <w:rsid w:val="00F1533F"/>
    <w:rsid w:val="00F15929"/>
    <w:rsid w:val="00F15988"/>
    <w:rsid w:val="00F15B8D"/>
    <w:rsid w:val="00F15DDE"/>
    <w:rsid w:val="00F15E6C"/>
    <w:rsid w:val="00F15F48"/>
    <w:rsid w:val="00F1615C"/>
    <w:rsid w:val="00F1620A"/>
    <w:rsid w:val="00F1667C"/>
    <w:rsid w:val="00F171F1"/>
    <w:rsid w:val="00F17479"/>
    <w:rsid w:val="00F17758"/>
    <w:rsid w:val="00F178C1"/>
    <w:rsid w:val="00F17CE1"/>
    <w:rsid w:val="00F17DBC"/>
    <w:rsid w:val="00F203A1"/>
    <w:rsid w:val="00F20624"/>
    <w:rsid w:val="00F20743"/>
    <w:rsid w:val="00F20CB9"/>
    <w:rsid w:val="00F20CBF"/>
    <w:rsid w:val="00F2115C"/>
    <w:rsid w:val="00F212F4"/>
    <w:rsid w:val="00F216F7"/>
    <w:rsid w:val="00F21889"/>
    <w:rsid w:val="00F21EE7"/>
    <w:rsid w:val="00F22561"/>
    <w:rsid w:val="00F22ABA"/>
    <w:rsid w:val="00F22E80"/>
    <w:rsid w:val="00F22FED"/>
    <w:rsid w:val="00F22FF8"/>
    <w:rsid w:val="00F23161"/>
    <w:rsid w:val="00F23856"/>
    <w:rsid w:val="00F23874"/>
    <w:rsid w:val="00F23A21"/>
    <w:rsid w:val="00F23B53"/>
    <w:rsid w:val="00F23CF4"/>
    <w:rsid w:val="00F23FFB"/>
    <w:rsid w:val="00F2404B"/>
    <w:rsid w:val="00F240BB"/>
    <w:rsid w:val="00F248F9"/>
    <w:rsid w:val="00F249CC"/>
    <w:rsid w:val="00F24A9E"/>
    <w:rsid w:val="00F25063"/>
    <w:rsid w:val="00F25C9E"/>
    <w:rsid w:val="00F25D81"/>
    <w:rsid w:val="00F26721"/>
    <w:rsid w:val="00F26A35"/>
    <w:rsid w:val="00F26B37"/>
    <w:rsid w:val="00F26E11"/>
    <w:rsid w:val="00F26EDC"/>
    <w:rsid w:val="00F27065"/>
    <w:rsid w:val="00F271B3"/>
    <w:rsid w:val="00F2786C"/>
    <w:rsid w:val="00F27ADB"/>
    <w:rsid w:val="00F3023F"/>
    <w:rsid w:val="00F303A0"/>
    <w:rsid w:val="00F31293"/>
    <w:rsid w:val="00F312AD"/>
    <w:rsid w:val="00F3141C"/>
    <w:rsid w:val="00F316B7"/>
    <w:rsid w:val="00F32421"/>
    <w:rsid w:val="00F32B7E"/>
    <w:rsid w:val="00F32E56"/>
    <w:rsid w:val="00F3305C"/>
    <w:rsid w:val="00F33148"/>
    <w:rsid w:val="00F33324"/>
    <w:rsid w:val="00F33903"/>
    <w:rsid w:val="00F33C5C"/>
    <w:rsid w:val="00F3401D"/>
    <w:rsid w:val="00F3420F"/>
    <w:rsid w:val="00F34224"/>
    <w:rsid w:val="00F345D1"/>
    <w:rsid w:val="00F3487B"/>
    <w:rsid w:val="00F35002"/>
    <w:rsid w:val="00F355B1"/>
    <w:rsid w:val="00F356F5"/>
    <w:rsid w:val="00F35892"/>
    <w:rsid w:val="00F35E8C"/>
    <w:rsid w:val="00F363E0"/>
    <w:rsid w:val="00F36657"/>
    <w:rsid w:val="00F368D1"/>
    <w:rsid w:val="00F36B0F"/>
    <w:rsid w:val="00F36B12"/>
    <w:rsid w:val="00F37376"/>
    <w:rsid w:val="00F378CC"/>
    <w:rsid w:val="00F37EB9"/>
    <w:rsid w:val="00F40078"/>
    <w:rsid w:val="00F40419"/>
    <w:rsid w:val="00F408F3"/>
    <w:rsid w:val="00F40C52"/>
    <w:rsid w:val="00F40F2F"/>
    <w:rsid w:val="00F41D7C"/>
    <w:rsid w:val="00F42B6C"/>
    <w:rsid w:val="00F42BF1"/>
    <w:rsid w:val="00F42F60"/>
    <w:rsid w:val="00F42FAB"/>
    <w:rsid w:val="00F4326E"/>
    <w:rsid w:val="00F43312"/>
    <w:rsid w:val="00F43A20"/>
    <w:rsid w:val="00F43B3D"/>
    <w:rsid w:val="00F43D37"/>
    <w:rsid w:val="00F43E4A"/>
    <w:rsid w:val="00F43EEE"/>
    <w:rsid w:val="00F43F65"/>
    <w:rsid w:val="00F44821"/>
    <w:rsid w:val="00F44859"/>
    <w:rsid w:val="00F44C6E"/>
    <w:rsid w:val="00F44D28"/>
    <w:rsid w:val="00F44E42"/>
    <w:rsid w:val="00F44FD3"/>
    <w:rsid w:val="00F45416"/>
    <w:rsid w:val="00F454ED"/>
    <w:rsid w:val="00F45635"/>
    <w:rsid w:val="00F45D8F"/>
    <w:rsid w:val="00F460DE"/>
    <w:rsid w:val="00F46210"/>
    <w:rsid w:val="00F4632C"/>
    <w:rsid w:val="00F46665"/>
    <w:rsid w:val="00F4678E"/>
    <w:rsid w:val="00F469C8"/>
    <w:rsid w:val="00F46A8D"/>
    <w:rsid w:val="00F46E82"/>
    <w:rsid w:val="00F473D3"/>
    <w:rsid w:val="00F475FA"/>
    <w:rsid w:val="00F4772F"/>
    <w:rsid w:val="00F47810"/>
    <w:rsid w:val="00F47818"/>
    <w:rsid w:val="00F47D52"/>
    <w:rsid w:val="00F47D57"/>
    <w:rsid w:val="00F501B8"/>
    <w:rsid w:val="00F50ECB"/>
    <w:rsid w:val="00F51380"/>
    <w:rsid w:val="00F5154B"/>
    <w:rsid w:val="00F517D2"/>
    <w:rsid w:val="00F51AA9"/>
    <w:rsid w:val="00F51C65"/>
    <w:rsid w:val="00F51F00"/>
    <w:rsid w:val="00F52051"/>
    <w:rsid w:val="00F52CC0"/>
    <w:rsid w:val="00F52E6C"/>
    <w:rsid w:val="00F52EE0"/>
    <w:rsid w:val="00F5354B"/>
    <w:rsid w:val="00F5376F"/>
    <w:rsid w:val="00F53AC2"/>
    <w:rsid w:val="00F53D3E"/>
    <w:rsid w:val="00F53FA0"/>
    <w:rsid w:val="00F545A0"/>
    <w:rsid w:val="00F5472D"/>
    <w:rsid w:val="00F5492B"/>
    <w:rsid w:val="00F54BF2"/>
    <w:rsid w:val="00F553E2"/>
    <w:rsid w:val="00F55489"/>
    <w:rsid w:val="00F555C3"/>
    <w:rsid w:val="00F5562E"/>
    <w:rsid w:val="00F55B2C"/>
    <w:rsid w:val="00F55B5F"/>
    <w:rsid w:val="00F565E0"/>
    <w:rsid w:val="00F56685"/>
    <w:rsid w:val="00F567D2"/>
    <w:rsid w:val="00F56AD7"/>
    <w:rsid w:val="00F56BF8"/>
    <w:rsid w:val="00F57132"/>
    <w:rsid w:val="00F57C34"/>
    <w:rsid w:val="00F57F1B"/>
    <w:rsid w:val="00F601B0"/>
    <w:rsid w:val="00F60C37"/>
    <w:rsid w:val="00F60F9F"/>
    <w:rsid w:val="00F6143E"/>
    <w:rsid w:val="00F61A41"/>
    <w:rsid w:val="00F62636"/>
    <w:rsid w:val="00F62E42"/>
    <w:rsid w:val="00F62E56"/>
    <w:rsid w:val="00F6322C"/>
    <w:rsid w:val="00F636C6"/>
    <w:rsid w:val="00F638EB"/>
    <w:rsid w:val="00F63958"/>
    <w:rsid w:val="00F640CE"/>
    <w:rsid w:val="00F64458"/>
    <w:rsid w:val="00F6478F"/>
    <w:rsid w:val="00F648AD"/>
    <w:rsid w:val="00F64A51"/>
    <w:rsid w:val="00F64E02"/>
    <w:rsid w:val="00F64F08"/>
    <w:rsid w:val="00F65337"/>
    <w:rsid w:val="00F6549D"/>
    <w:rsid w:val="00F657AC"/>
    <w:rsid w:val="00F6590C"/>
    <w:rsid w:val="00F65C57"/>
    <w:rsid w:val="00F65D74"/>
    <w:rsid w:val="00F65EC8"/>
    <w:rsid w:val="00F65ED1"/>
    <w:rsid w:val="00F66524"/>
    <w:rsid w:val="00F66A28"/>
    <w:rsid w:val="00F66E29"/>
    <w:rsid w:val="00F66E33"/>
    <w:rsid w:val="00F6715D"/>
    <w:rsid w:val="00F67247"/>
    <w:rsid w:val="00F67391"/>
    <w:rsid w:val="00F676BA"/>
    <w:rsid w:val="00F67800"/>
    <w:rsid w:val="00F67A66"/>
    <w:rsid w:val="00F67B1C"/>
    <w:rsid w:val="00F70055"/>
    <w:rsid w:val="00F70351"/>
    <w:rsid w:val="00F709E9"/>
    <w:rsid w:val="00F7108D"/>
    <w:rsid w:val="00F716A5"/>
    <w:rsid w:val="00F721A4"/>
    <w:rsid w:val="00F72499"/>
    <w:rsid w:val="00F7267D"/>
    <w:rsid w:val="00F72AA9"/>
    <w:rsid w:val="00F72E1B"/>
    <w:rsid w:val="00F730D3"/>
    <w:rsid w:val="00F734E1"/>
    <w:rsid w:val="00F734F5"/>
    <w:rsid w:val="00F7371E"/>
    <w:rsid w:val="00F73B5B"/>
    <w:rsid w:val="00F73D62"/>
    <w:rsid w:val="00F74104"/>
    <w:rsid w:val="00F742A8"/>
    <w:rsid w:val="00F74530"/>
    <w:rsid w:val="00F74671"/>
    <w:rsid w:val="00F74A6F"/>
    <w:rsid w:val="00F74FD5"/>
    <w:rsid w:val="00F7510E"/>
    <w:rsid w:val="00F754E9"/>
    <w:rsid w:val="00F75944"/>
    <w:rsid w:val="00F75D22"/>
    <w:rsid w:val="00F75FD2"/>
    <w:rsid w:val="00F7602B"/>
    <w:rsid w:val="00F76314"/>
    <w:rsid w:val="00F7658A"/>
    <w:rsid w:val="00F766F6"/>
    <w:rsid w:val="00F76988"/>
    <w:rsid w:val="00F76B9A"/>
    <w:rsid w:val="00F77668"/>
    <w:rsid w:val="00F777CB"/>
    <w:rsid w:val="00F77FA9"/>
    <w:rsid w:val="00F80A42"/>
    <w:rsid w:val="00F80B71"/>
    <w:rsid w:val="00F80FA0"/>
    <w:rsid w:val="00F81030"/>
    <w:rsid w:val="00F813C9"/>
    <w:rsid w:val="00F81520"/>
    <w:rsid w:val="00F81787"/>
    <w:rsid w:val="00F81B7A"/>
    <w:rsid w:val="00F81B9B"/>
    <w:rsid w:val="00F81EEB"/>
    <w:rsid w:val="00F826D0"/>
    <w:rsid w:val="00F829AB"/>
    <w:rsid w:val="00F82AD7"/>
    <w:rsid w:val="00F831D4"/>
    <w:rsid w:val="00F83458"/>
    <w:rsid w:val="00F8368B"/>
    <w:rsid w:val="00F8394E"/>
    <w:rsid w:val="00F843BB"/>
    <w:rsid w:val="00F844AB"/>
    <w:rsid w:val="00F84628"/>
    <w:rsid w:val="00F84693"/>
    <w:rsid w:val="00F847AC"/>
    <w:rsid w:val="00F84A9E"/>
    <w:rsid w:val="00F853E7"/>
    <w:rsid w:val="00F85ADC"/>
    <w:rsid w:val="00F85B54"/>
    <w:rsid w:val="00F85BC3"/>
    <w:rsid w:val="00F85CFF"/>
    <w:rsid w:val="00F85EC9"/>
    <w:rsid w:val="00F861C6"/>
    <w:rsid w:val="00F865E6"/>
    <w:rsid w:val="00F86B9D"/>
    <w:rsid w:val="00F8713C"/>
    <w:rsid w:val="00F871AA"/>
    <w:rsid w:val="00F874FF"/>
    <w:rsid w:val="00F8778E"/>
    <w:rsid w:val="00F879CF"/>
    <w:rsid w:val="00F87B0C"/>
    <w:rsid w:val="00F901F5"/>
    <w:rsid w:val="00F90352"/>
    <w:rsid w:val="00F907C1"/>
    <w:rsid w:val="00F90F81"/>
    <w:rsid w:val="00F9125A"/>
    <w:rsid w:val="00F913FE"/>
    <w:rsid w:val="00F91A38"/>
    <w:rsid w:val="00F91CF7"/>
    <w:rsid w:val="00F91F5A"/>
    <w:rsid w:val="00F91F8C"/>
    <w:rsid w:val="00F920E4"/>
    <w:rsid w:val="00F9245A"/>
    <w:rsid w:val="00F92808"/>
    <w:rsid w:val="00F928AF"/>
    <w:rsid w:val="00F92A96"/>
    <w:rsid w:val="00F92B66"/>
    <w:rsid w:val="00F92B72"/>
    <w:rsid w:val="00F92CAC"/>
    <w:rsid w:val="00F93389"/>
    <w:rsid w:val="00F93998"/>
    <w:rsid w:val="00F93C82"/>
    <w:rsid w:val="00F93C9B"/>
    <w:rsid w:val="00F94154"/>
    <w:rsid w:val="00F94315"/>
    <w:rsid w:val="00F94571"/>
    <w:rsid w:val="00F94CA6"/>
    <w:rsid w:val="00F94DB0"/>
    <w:rsid w:val="00F9528B"/>
    <w:rsid w:val="00F95892"/>
    <w:rsid w:val="00F95D80"/>
    <w:rsid w:val="00F962A9"/>
    <w:rsid w:val="00F962F1"/>
    <w:rsid w:val="00F966B1"/>
    <w:rsid w:val="00F9684F"/>
    <w:rsid w:val="00F96A4B"/>
    <w:rsid w:val="00F96E83"/>
    <w:rsid w:val="00F96E96"/>
    <w:rsid w:val="00F9720B"/>
    <w:rsid w:val="00F975A7"/>
    <w:rsid w:val="00F97A40"/>
    <w:rsid w:val="00F97C53"/>
    <w:rsid w:val="00F97D48"/>
    <w:rsid w:val="00F97F3F"/>
    <w:rsid w:val="00FA0166"/>
    <w:rsid w:val="00FA0230"/>
    <w:rsid w:val="00FA0311"/>
    <w:rsid w:val="00FA0FC9"/>
    <w:rsid w:val="00FA12F0"/>
    <w:rsid w:val="00FA15D2"/>
    <w:rsid w:val="00FA15EB"/>
    <w:rsid w:val="00FA18FC"/>
    <w:rsid w:val="00FA1F83"/>
    <w:rsid w:val="00FA2248"/>
    <w:rsid w:val="00FA241E"/>
    <w:rsid w:val="00FA2F68"/>
    <w:rsid w:val="00FA315B"/>
    <w:rsid w:val="00FA3375"/>
    <w:rsid w:val="00FA33F5"/>
    <w:rsid w:val="00FA34E7"/>
    <w:rsid w:val="00FA3962"/>
    <w:rsid w:val="00FA397A"/>
    <w:rsid w:val="00FA3C4E"/>
    <w:rsid w:val="00FA3CA2"/>
    <w:rsid w:val="00FA3CE3"/>
    <w:rsid w:val="00FA440B"/>
    <w:rsid w:val="00FA4474"/>
    <w:rsid w:val="00FA47B9"/>
    <w:rsid w:val="00FA4B32"/>
    <w:rsid w:val="00FA4C66"/>
    <w:rsid w:val="00FA5389"/>
    <w:rsid w:val="00FA53A8"/>
    <w:rsid w:val="00FA5426"/>
    <w:rsid w:val="00FA57C8"/>
    <w:rsid w:val="00FA62F2"/>
    <w:rsid w:val="00FA6412"/>
    <w:rsid w:val="00FA68C2"/>
    <w:rsid w:val="00FA6A31"/>
    <w:rsid w:val="00FA6AAD"/>
    <w:rsid w:val="00FA6B63"/>
    <w:rsid w:val="00FA72F1"/>
    <w:rsid w:val="00FA7603"/>
    <w:rsid w:val="00FA7DFB"/>
    <w:rsid w:val="00FB02E3"/>
    <w:rsid w:val="00FB03AC"/>
    <w:rsid w:val="00FB095F"/>
    <w:rsid w:val="00FB1170"/>
    <w:rsid w:val="00FB12E3"/>
    <w:rsid w:val="00FB1C47"/>
    <w:rsid w:val="00FB1CF8"/>
    <w:rsid w:val="00FB1DC0"/>
    <w:rsid w:val="00FB2A12"/>
    <w:rsid w:val="00FB2BD8"/>
    <w:rsid w:val="00FB2E3C"/>
    <w:rsid w:val="00FB2FD5"/>
    <w:rsid w:val="00FB35E8"/>
    <w:rsid w:val="00FB369F"/>
    <w:rsid w:val="00FB3D47"/>
    <w:rsid w:val="00FB3F79"/>
    <w:rsid w:val="00FB46A8"/>
    <w:rsid w:val="00FB48BF"/>
    <w:rsid w:val="00FB4961"/>
    <w:rsid w:val="00FB4B00"/>
    <w:rsid w:val="00FB4C3E"/>
    <w:rsid w:val="00FB4DA6"/>
    <w:rsid w:val="00FB4FCC"/>
    <w:rsid w:val="00FB53F2"/>
    <w:rsid w:val="00FB5499"/>
    <w:rsid w:val="00FB54B8"/>
    <w:rsid w:val="00FB587F"/>
    <w:rsid w:val="00FB5C3D"/>
    <w:rsid w:val="00FB5CF2"/>
    <w:rsid w:val="00FB5D0E"/>
    <w:rsid w:val="00FB61A9"/>
    <w:rsid w:val="00FB62D6"/>
    <w:rsid w:val="00FB69BF"/>
    <w:rsid w:val="00FB6CE8"/>
    <w:rsid w:val="00FB727F"/>
    <w:rsid w:val="00FB73CE"/>
    <w:rsid w:val="00FB73F5"/>
    <w:rsid w:val="00FB7F6D"/>
    <w:rsid w:val="00FB7FF4"/>
    <w:rsid w:val="00FC0099"/>
    <w:rsid w:val="00FC010F"/>
    <w:rsid w:val="00FC040C"/>
    <w:rsid w:val="00FC0414"/>
    <w:rsid w:val="00FC0424"/>
    <w:rsid w:val="00FC04F5"/>
    <w:rsid w:val="00FC05FA"/>
    <w:rsid w:val="00FC06FA"/>
    <w:rsid w:val="00FC0951"/>
    <w:rsid w:val="00FC0B20"/>
    <w:rsid w:val="00FC0C72"/>
    <w:rsid w:val="00FC0CC7"/>
    <w:rsid w:val="00FC0CEE"/>
    <w:rsid w:val="00FC0CF7"/>
    <w:rsid w:val="00FC119F"/>
    <w:rsid w:val="00FC1212"/>
    <w:rsid w:val="00FC17BC"/>
    <w:rsid w:val="00FC212D"/>
    <w:rsid w:val="00FC281F"/>
    <w:rsid w:val="00FC296F"/>
    <w:rsid w:val="00FC2A2E"/>
    <w:rsid w:val="00FC3336"/>
    <w:rsid w:val="00FC3E85"/>
    <w:rsid w:val="00FC3E98"/>
    <w:rsid w:val="00FC4098"/>
    <w:rsid w:val="00FC45C4"/>
    <w:rsid w:val="00FC4DAB"/>
    <w:rsid w:val="00FC50A8"/>
    <w:rsid w:val="00FC5215"/>
    <w:rsid w:val="00FC571D"/>
    <w:rsid w:val="00FC5CC8"/>
    <w:rsid w:val="00FC5D55"/>
    <w:rsid w:val="00FC5E89"/>
    <w:rsid w:val="00FC6B38"/>
    <w:rsid w:val="00FC6F06"/>
    <w:rsid w:val="00FC703C"/>
    <w:rsid w:val="00FC738F"/>
    <w:rsid w:val="00FC7398"/>
    <w:rsid w:val="00FC7A5A"/>
    <w:rsid w:val="00FC7F0D"/>
    <w:rsid w:val="00FD035A"/>
    <w:rsid w:val="00FD03D7"/>
    <w:rsid w:val="00FD07D7"/>
    <w:rsid w:val="00FD0EDD"/>
    <w:rsid w:val="00FD12A6"/>
    <w:rsid w:val="00FD12FE"/>
    <w:rsid w:val="00FD154E"/>
    <w:rsid w:val="00FD1766"/>
    <w:rsid w:val="00FD1786"/>
    <w:rsid w:val="00FD1998"/>
    <w:rsid w:val="00FD21FF"/>
    <w:rsid w:val="00FD27EF"/>
    <w:rsid w:val="00FD2AEE"/>
    <w:rsid w:val="00FD2E58"/>
    <w:rsid w:val="00FD30AC"/>
    <w:rsid w:val="00FD30D0"/>
    <w:rsid w:val="00FD38EF"/>
    <w:rsid w:val="00FD3C6F"/>
    <w:rsid w:val="00FD3F5C"/>
    <w:rsid w:val="00FD4DC4"/>
    <w:rsid w:val="00FD519B"/>
    <w:rsid w:val="00FD5358"/>
    <w:rsid w:val="00FD5A02"/>
    <w:rsid w:val="00FD640F"/>
    <w:rsid w:val="00FD6B4C"/>
    <w:rsid w:val="00FD6D56"/>
    <w:rsid w:val="00FD6D65"/>
    <w:rsid w:val="00FD72EE"/>
    <w:rsid w:val="00FD75BC"/>
    <w:rsid w:val="00FD764C"/>
    <w:rsid w:val="00FD7722"/>
    <w:rsid w:val="00FD7D16"/>
    <w:rsid w:val="00FE046F"/>
    <w:rsid w:val="00FE0553"/>
    <w:rsid w:val="00FE08FC"/>
    <w:rsid w:val="00FE09FA"/>
    <w:rsid w:val="00FE0C11"/>
    <w:rsid w:val="00FE0CA9"/>
    <w:rsid w:val="00FE1124"/>
    <w:rsid w:val="00FE12BF"/>
    <w:rsid w:val="00FE1BDA"/>
    <w:rsid w:val="00FE1DB9"/>
    <w:rsid w:val="00FE1DF8"/>
    <w:rsid w:val="00FE29CC"/>
    <w:rsid w:val="00FE3236"/>
    <w:rsid w:val="00FE349E"/>
    <w:rsid w:val="00FE34D3"/>
    <w:rsid w:val="00FE3B53"/>
    <w:rsid w:val="00FE4227"/>
    <w:rsid w:val="00FE4232"/>
    <w:rsid w:val="00FE46A6"/>
    <w:rsid w:val="00FE47B9"/>
    <w:rsid w:val="00FE58CE"/>
    <w:rsid w:val="00FE60C8"/>
    <w:rsid w:val="00FE6263"/>
    <w:rsid w:val="00FE64BE"/>
    <w:rsid w:val="00FE66D8"/>
    <w:rsid w:val="00FE6804"/>
    <w:rsid w:val="00FE6A3E"/>
    <w:rsid w:val="00FE6A79"/>
    <w:rsid w:val="00FE6DB0"/>
    <w:rsid w:val="00FE6EA9"/>
    <w:rsid w:val="00FE703B"/>
    <w:rsid w:val="00FE75E4"/>
    <w:rsid w:val="00FE7724"/>
    <w:rsid w:val="00FE78BF"/>
    <w:rsid w:val="00FE7EDC"/>
    <w:rsid w:val="00FF0243"/>
    <w:rsid w:val="00FF037E"/>
    <w:rsid w:val="00FF0B19"/>
    <w:rsid w:val="00FF0B8E"/>
    <w:rsid w:val="00FF100D"/>
    <w:rsid w:val="00FF123E"/>
    <w:rsid w:val="00FF166F"/>
    <w:rsid w:val="00FF16F5"/>
    <w:rsid w:val="00FF19B1"/>
    <w:rsid w:val="00FF2133"/>
    <w:rsid w:val="00FF2382"/>
    <w:rsid w:val="00FF287A"/>
    <w:rsid w:val="00FF3209"/>
    <w:rsid w:val="00FF3359"/>
    <w:rsid w:val="00FF35C7"/>
    <w:rsid w:val="00FF3868"/>
    <w:rsid w:val="00FF3B7B"/>
    <w:rsid w:val="00FF443D"/>
    <w:rsid w:val="00FF47F9"/>
    <w:rsid w:val="00FF4878"/>
    <w:rsid w:val="00FF4D21"/>
    <w:rsid w:val="00FF4E99"/>
    <w:rsid w:val="00FF545E"/>
    <w:rsid w:val="00FF5A48"/>
    <w:rsid w:val="00FF5BD5"/>
    <w:rsid w:val="00FF5E3F"/>
    <w:rsid w:val="00FF5E9A"/>
    <w:rsid w:val="00FF6489"/>
    <w:rsid w:val="00FF6509"/>
    <w:rsid w:val="00FF6685"/>
    <w:rsid w:val="00FF6AD5"/>
    <w:rsid w:val="00FF74B5"/>
    <w:rsid w:val="00FF7E51"/>
    <w:rsid w:val="00FF7EB6"/>
    <w:rsid w:val="0101DEF2"/>
    <w:rsid w:val="010C8FFE"/>
    <w:rsid w:val="01228141"/>
    <w:rsid w:val="0123F78D"/>
    <w:rsid w:val="0129F069"/>
    <w:rsid w:val="013EBAC0"/>
    <w:rsid w:val="014BB709"/>
    <w:rsid w:val="014E5D2B"/>
    <w:rsid w:val="0150025F"/>
    <w:rsid w:val="0150BD75"/>
    <w:rsid w:val="015177FF"/>
    <w:rsid w:val="01545291"/>
    <w:rsid w:val="015EF262"/>
    <w:rsid w:val="015F5BDE"/>
    <w:rsid w:val="0165859D"/>
    <w:rsid w:val="016F76C5"/>
    <w:rsid w:val="01720A2A"/>
    <w:rsid w:val="018C0C55"/>
    <w:rsid w:val="018EC935"/>
    <w:rsid w:val="01939448"/>
    <w:rsid w:val="019866EF"/>
    <w:rsid w:val="0199868E"/>
    <w:rsid w:val="019EAD60"/>
    <w:rsid w:val="01A9F8B2"/>
    <w:rsid w:val="01B93F90"/>
    <w:rsid w:val="01C71835"/>
    <w:rsid w:val="01D496FE"/>
    <w:rsid w:val="0209178B"/>
    <w:rsid w:val="020B54A9"/>
    <w:rsid w:val="021018AF"/>
    <w:rsid w:val="021A22CD"/>
    <w:rsid w:val="02264807"/>
    <w:rsid w:val="022B9898"/>
    <w:rsid w:val="023F88BB"/>
    <w:rsid w:val="02535348"/>
    <w:rsid w:val="02562986"/>
    <w:rsid w:val="025739DE"/>
    <w:rsid w:val="02673E44"/>
    <w:rsid w:val="026F3F14"/>
    <w:rsid w:val="027455CE"/>
    <w:rsid w:val="027689CD"/>
    <w:rsid w:val="027F90C5"/>
    <w:rsid w:val="02805982"/>
    <w:rsid w:val="0289D091"/>
    <w:rsid w:val="029279CB"/>
    <w:rsid w:val="0297F4F9"/>
    <w:rsid w:val="0299A767"/>
    <w:rsid w:val="029BDEFE"/>
    <w:rsid w:val="02A14DE1"/>
    <w:rsid w:val="02A699A6"/>
    <w:rsid w:val="02C02666"/>
    <w:rsid w:val="02DB3D49"/>
    <w:rsid w:val="02EA24AB"/>
    <w:rsid w:val="02F7B652"/>
    <w:rsid w:val="0301BE81"/>
    <w:rsid w:val="03081E24"/>
    <w:rsid w:val="03168279"/>
    <w:rsid w:val="031AE3FC"/>
    <w:rsid w:val="0329876F"/>
    <w:rsid w:val="032E26F7"/>
    <w:rsid w:val="0336E6D7"/>
    <w:rsid w:val="03495B4F"/>
    <w:rsid w:val="034E49CB"/>
    <w:rsid w:val="0360B7D0"/>
    <w:rsid w:val="0366D04C"/>
    <w:rsid w:val="036F70A8"/>
    <w:rsid w:val="0378B384"/>
    <w:rsid w:val="037B3683"/>
    <w:rsid w:val="037CED81"/>
    <w:rsid w:val="03870F63"/>
    <w:rsid w:val="0387B46B"/>
    <w:rsid w:val="038C7C15"/>
    <w:rsid w:val="03903FDC"/>
    <w:rsid w:val="03977C1A"/>
    <w:rsid w:val="039DF270"/>
    <w:rsid w:val="03A584DD"/>
    <w:rsid w:val="03AAEB38"/>
    <w:rsid w:val="03BC09BA"/>
    <w:rsid w:val="03C52872"/>
    <w:rsid w:val="03D2A4BB"/>
    <w:rsid w:val="03D5AA29"/>
    <w:rsid w:val="03D85B5F"/>
    <w:rsid w:val="03E06DDD"/>
    <w:rsid w:val="03E23485"/>
    <w:rsid w:val="03F5CE9F"/>
    <w:rsid w:val="03FF5F3D"/>
    <w:rsid w:val="0400932F"/>
    <w:rsid w:val="0401A611"/>
    <w:rsid w:val="04102C37"/>
    <w:rsid w:val="042319F5"/>
    <w:rsid w:val="042AADA4"/>
    <w:rsid w:val="04403603"/>
    <w:rsid w:val="0440448E"/>
    <w:rsid w:val="044EBDD7"/>
    <w:rsid w:val="0458ADAA"/>
    <w:rsid w:val="046251BB"/>
    <w:rsid w:val="0469BB2E"/>
    <w:rsid w:val="0469F02E"/>
    <w:rsid w:val="046B38A6"/>
    <w:rsid w:val="046C7247"/>
    <w:rsid w:val="048FB1A0"/>
    <w:rsid w:val="04916A39"/>
    <w:rsid w:val="04971989"/>
    <w:rsid w:val="049A23DF"/>
    <w:rsid w:val="04A50B49"/>
    <w:rsid w:val="04B6C187"/>
    <w:rsid w:val="04C1AC1B"/>
    <w:rsid w:val="04C4D25D"/>
    <w:rsid w:val="04CEE93E"/>
    <w:rsid w:val="04E25DB0"/>
    <w:rsid w:val="04E63A78"/>
    <w:rsid w:val="04E7106A"/>
    <w:rsid w:val="04E7598D"/>
    <w:rsid w:val="04E78F10"/>
    <w:rsid w:val="04EF4A57"/>
    <w:rsid w:val="04F05DC0"/>
    <w:rsid w:val="04FA51DA"/>
    <w:rsid w:val="05080547"/>
    <w:rsid w:val="050A1270"/>
    <w:rsid w:val="05145B6F"/>
    <w:rsid w:val="051DF73A"/>
    <w:rsid w:val="05263FF2"/>
    <w:rsid w:val="052CEE04"/>
    <w:rsid w:val="052D25CD"/>
    <w:rsid w:val="053320EE"/>
    <w:rsid w:val="053F1760"/>
    <w:rsid w:val="054A90B0"/>
    <w:rsid w:val="0558DBD8"/>
    <w:rsid w:val="056110EA"/>
    <w:rsid w:val="05611630"/>
    <w:rsid w:val="0561CA0A"/>
    <w:rsid w:val="0562A057"/>
    <w:rsid w:val="05631E04"/>
    <w:rsid w:val="0565137C"/>
    <w:rsid w:val="05686343"/>
    <w:rsid w:val="05735BAA"/>
    <w:rsid w:val="057A442D"/>
    <w:rsid w:val="057B8D12"/>
    <w:rsid w:val="057CB3AD"/>
    <w:rsid w:val="057FE225"/>
    <w:rsid w:val="058264DB"/>
    <w:rsid w:val="058A084D"/>
    <w:rsid w:val="058CF55F"/>
    <w:rsid w:val="058ED354"/>
    <w:rsid w:val="058F1360"/>
    <w:rsid w:val="0598C64F"/>
    <w:rsid w:val="05B4EF94"/>
    <w:rsid w:val="05B5E3C2"/>
    <w:rsid w:val="05B6CF1B"/>
    <w:rsid w:val="05BDD8B9"/>
    <w:rsid w:val="05C39F34"/>
    <w:rsid w:val="05D596D5"/>
    <w:rsid w:val="05E1C2D0"/>
    <w:rsid w:val="05E63E11"/>
    <w:rsid w:val="05E88E98"/>
    <w:rsid w:val="05E90760"/>
    <w:rsid w:val="05EE57AA"/>
    <w:rsid w:val="05FA984D"/>
    <w:rsid w:val="061786A6"/>
    <w:rsid w:val="061AB0F2"/>
    <w:rsid w:val="061E9BCE"/>
    <w:rsid w:val="061FADEA"/>
    <w:rsid w:val="06225FF8"/>
    <w:rsid w:val="0624B053"/>
    <w:rsid w:val="0624C691"/>
    <w:rsid w:val="062A8F63"/>
    <w:rsid w:val="063091EE"/>
    <w:rsid w:val="06374DCA"/>
    <w:rsid w:val="063ADAEE"/>
    <w:rsid w:val="063F270E"/>
    <w:rsid w:val="06470273"/>
    <w:rsid w:val="0649C577"/>
    <w:rsid w:val="064BE661"/>
    <w:rsid w:val="064F4B99"/>
    <w:rsid w:val="064F845D"/>
    <w:rsid w:val="064FCA4F"/>
    <w:rsid w:val="06524092"/>
    <w:rsid w:val="06532E97"/>
    <w:rsid w:val="066B680E"/>
    <w:rsid w:val="06744901"/>
    <w:rsid w:val="0674512F"/>
    <w:rsid w:val="067C5F31"/>
    <w:rsid w:val="0686AB5F"/>
    <w:rsid w:val="0686D162"/>
    <w:rsid w:val="068F53EC"/>
    <w:rsid w:val="069B254A"/>
    <w:rsid w:val="069F27A1"/>
    <w:rsid w:val="06A1879E"/>
    <w:rsid w:val="06B9B2C9"/>
    <w:rsid w:val="06BA7C73"/>
    <w:rsid w:val="06C02ECE"/>
    <w:rsid w:val="06C39B58"/>
    <w:rsid w:val="06C8D7A5"/>
    <w:rsid w:val="06CC0958"/>
    <w:rsid w:val="06D1E0F9"/>
    <w:rsid w:val="06E25F33"/>
    <w:rsid w:val="06F0AB6E"/>
    <w:rsid w:val="06F123EE"/>
    <w:rsid w:val="06FAB33E"/>
    <w:rsid w:val="070845A3"/>
    <w:rsid w:val="071A7D7F"/>
    <w:rsid w:val="072367E4"/>
    <w:rsid w:val="072890E1"/>
    <w:rsid w:val="072FABCB"/>
    <w:rsid w:val="073057C3"/>
    <w:rsid w:val="07307B82"/>
    <w:rsid w:val="0733341E"/>
    <w:rsid w:val="0741732E"/>
    <w:rsid w:val="074DCD35"/>
    <w:rsid w:val="075A206E"/>
    <w:rsid w:val="075A33A2"/>
    <w:rsid w:val="0765C65A"/>
    <w:rsid w:val="0779FB92"/>
    <w:rsid w:val="077AFBC7"/>
    <w:rsid w:val="077B5D21"/>
    <w:rsid w:val="077C9415"/>
    <w:rsid w:val="078129CD"/>
    <w:rsid w:val="07840A24"/>
    <w:rsid w:val="07936F75"/>
    <w:rsid w:val="0793D076"/>
    <w:rsid w:val="0794B74A"/>
    <w:rsid w:val="0797DA2F"/>
    <w:rsid w:val="079AAAB3"/>
    <w:rsid w:val="07A4BC31"/>
    <w:rsid w:val="07A97F1C"/>
    <w:rsid w:val="07D72402"/>
    <w:rsid w:val="07D98471"/>
    <w:rsid w:val="07DA9D89"/>
    <w:rsid w:val="07DDB9CC"/>
    <w:rsid w:val="07E243E7"/>
    <w:rsid w:val="0802F283"/>
    <w:rsid w:val="080ACB91"/>
    <w:rsid w:val="080B5945"/>
    <w:rsid w:val="080F1728"/>
    <w:rsid w:val="0811E7BA"/>
    <w:rsid w:val="081BE2A4"/>
    <w:rsid w:val="0823C72A"/>
    <w:rsid w:val="0826EB96"/>
    <w:rsid w:val="0829874C"/>
    <w:rsid w:val="0829B5E7"/>
    <w:rsid w:val="082C73F5"/>
    <w:rsid w:val="0841D2B7"/>
    <w:rsid w:val="08484742"/>
    <w:rsid w:val="08541831"/>
    <w:rsid w:val="08558E7A"/>
    <w:rsid w:val="0857838E"/>
    <w:rsid w:val="085BF639"/>
    <w:rsid w:val="085D2CCC"/>
    <w:rsid w:val="0863EABC"/>
    <w:rsid w:val="087ABFF1"/>
    <w:rsid w:val="087AE67D"/>
    <w:rsid w:val="087F11D9"/>
    <w:rsid w:val="088135D3"/>
    <w:rsid w:val="088A89BC"/>
    <w:rsid w:val="089AF0F8"/>
    <w:rsid w:val="08A0A137"/>
    <w:rsid w:val="08A8BF9B"/>
    <w:rsid w:val="08AC38F7"/>
    <w:rsid w:val="08AD38DC"/>
    <w:rsid w:val="08B467EB"/>
    <w:rsid w:val="08B7EBAB"/>
    <w:rsid w:val="08BA8FB8"/>
    <w:rsid w:val="08BD6800"/>
    <w:rsid w:val="08BE1B84"/>
    <w:rsid w:val="08BE2FC1"/>
    <w:rsid w:val="08BED164"/>
    <w:rsid w:val="08C7ED84"/>
    <w:rsid w:val="08CDE635"/>
    <w:rsid w:val="08DD9AFD"/>
    <w:rsid w:val="08EB0F16"/>
    <w:rsid w:val="08EF37EB"/>
    <w:rsid w:val="08FE91FB"/>
    <w:rsid w:val="090BE926"/>
    <w:rsid w:val="0917AAC7"/>
    <w:rsid w:val="0923CBBB"/>
    <w:rsid w:val="092758F3"/>
    <w:rsid w:val="092C7935"/>
    <w:rsid w:val="092EB3B1"/>
    <w:rsid w:val="0935B2DC"/>
    <w:rsid w:val="096832B0"/>
    <w:rsid w:val="0975A4E0"/>
    <w:rsid w:val="0975B074"/>
    <w:rsid w:val="097B9861"/>
    <w:rsid w:val="09838723"/>
    <w:rsid w:val="098A09D7"/>
    <w:rsid w:val="099A0B82"/>
    <w:rsid w:val="09A597E3"/>
    <w:rsid w:val="09AD10BA"/>
    <w:rsid w:val="09B26953"/>
    <w:rsid w:val="09B74FC1"/>
    <w:rsid w:val="09C3B0A5"/>
    <w:rsid w:val="09CA46DE"/>
    <w:rsid w:val="09D62B12"/>
    <w:rsid w:val="09DEF974"/>
    <w:rsid w:val="09E74ADE"/>
    <w:rsid w:val="09FC8B0E"/>
    <w:rsid w:val="09FCD400"/>
    <w:rsid w:val="0A0778A4"/>
    <w:rsid w:val="0A27CB50"/>
    <w:rsid w:val="0A2886F8"/>
    <w:rsid w:val="0A45DCF1"/>
    <w:rsid w:val="0A4ABA58"/>
    <w:rsid w:val="0A5C14C4"/>
    <w:rsid w:val="0A5DD948"/>
    <w:rsid w:val="0A5E4D9F"/>
    <w:rsid w:val="0A630D4D"/>
    <w:rsid w:val="0A647398"/>
    <w:rsid w:val="0A829030"/>
    <w:rsid w:val="0A871100"/>
    <w:rsid w:val="0A91E0C2"/>
    <w:rsid w:val="0A9813F1"/>
    <w:rsid w:val="0AA8CD8A"/>
    <w:rsid w:val="0AA959CD"/>
    <w:rsid w:val="0AAA60DE"/>
    <w:rsid w:val="0AB23512"/>
    <w:rsid w:val="0AB52809"/>
    <w:rsid w:val="0ACF2691"/>
    <w:rsid w:val="0AD28EAE"/>
    <w:rsid w:val="0AEF45DF"/>
    <w:rsid w:val="0B0347D5"/>
    <w:rsid w:val="0B1C49EB"/>
    <w:rsid w:val="0B1DAEB7"/>
    <w:rsid w:val="0B28DC3F"/>
    <w:rsid w:val="0B28EBDA"/>
    <w:rsid w:val="0B37542A"/>
    <w:rsid w:val="0B3F9068"/>
    <w:rsid w:val="0B43325D"/>
    <w:rsid w:val="0B4681E6"/>
    <w:rsid w:val="0B469036"/>
    <w:rsid w:val="0B47C27A"/>
    <w:rsid w:val="0B59296E"/>
    <w:rsid w:val="0B61D6D4"/>
    <w:rsid w:val="0B6484AE"/>
    <w:rsid w:val="0B6CAEA2"/>
    <w:rsid w:val="0B7066EC"/>
    <w:rsid w:val="0B7C856A"/>
    <w:rsid w:val="0B7F7653"/>
    <w:rsid w:val="0B8EC5CD"/>
    <w:rsid w:val="0B90A9DC"/>
    <w:rsid w:val="0B91AF06"/>
    <w:rsid w:val="0B95199F"/>
    <w:rsid w:val="0B98710F"/>
    <w:rsid w:val="0BA3682F"/>
    <w:rsid w:val="0BBFDC1A"/>
    <w:rsid w:val="0BBFE0AB"/>
    <w:rsid w:val="0BD79FCA"/>
    <w:rsid w:val="0BE21343"/>
    <w:rsid w:val="0BE5B551"/>
    <w:rsid w:val="0BF19C88"/>
    <w:rsid w:val="0C0043F9"/>
    <w:rsid w:val="0C053834"/>
    <w:rsid w:val="0C0D8B92"/>
    <w:rsid w:val="0C0E2ABB"/>
    <w:rsid w:val="0C1D0A63"/>
    <w:rsid w:val="0C27B020"/>
    <w:rsid w:val="0C2B21FF"/>
    <w:rsid w:val="0C321602"/>
    <w:rsid w:val="0C367D42"/>
    <w:rsid w:val="0C37FAAB"/>
    <w:rsid w:val="0C3A0207"/>
    <w:rsid w:val="0C493EC3"/>
    <w:rsid w:val="0C533DC7"/>
    <w:rsid w:val="0C5C8D70"/>
    <w:rsid w:val="0C632C0E"/>
    <w:rsid w:val="0C6AF6F2"/>
    <w:rsid w:val="0C77658E"/>
    <w:rsid w:val="0C8C6C5E"/>
    <w:rsid w:val="0C8F1E72"/>
    <w:rsid w:val="0C938B1C"/>
    <w:rsid w:val="0C94E078"/>
    <w:rsid w:val="0C97473B"/>
    <w:rsid w:val="0C9EAF85"/>
    <w:rsid w:val="0CA182A0"/>
    <w:rsid w:val="0CB21920"/>
    <w:rsid w:val="0CB71C82"/>
    <w:rsid w:val="0CBDE579"/>
    <w:rsid w:val="0CD80F16"/>
    <w:rsid w:val="0CDA7DA3"/>
    <w:rsid w:val="0CE9563D"/>
    <w:rsid w:val="0CEAAE08"/>
    <w:rsid w:val="0D095239"/>
    <w:rsid w:val="0D16E730"/>
    <w:rsid w:val="0D1F957B"/>
    <w:rsid w:val="0D286825"/>
    <w:rsid w:val="0D2AF7FB"/>
    <w:rsid w:val="0D2CF31A"/>
    <w:rsid w:val="0D3AB748"/>
    <w:rsid w:val="0D3F6A12"/>
    <w:rsid w:val="0D45F109"/>
    <w:rsid w:val="0D4639F2"/>
    <w:rsid w:val="0D52EA88"/>
    <w:rsid w:val="0D53C03C"/>
    <w:rsid w:val="0D5BA73C"/>
    <w:rsid w:val="0D67EA51"/>
    <w:rsid w:val="0D6D80FD"/>
    <w:rsid w:val="0D7E2CAE"/>
    <w:rsid w:val="0D7EEC9B"/>
    <w:rsid w:val="0D7FBFAC"/>
    <w:rsid w:val="0D88C4CE"/>
    <w:rsid w:val="0D8B870D"/>
    <w:rsid w:val="0D90DCA5"/>
    <w:rsid w:val="0D94617C"/>
    <w:rsid w:val="0D951616"/>
    <w:rsid w:val="0DB07C6D"/>
    <w:rsid w:val="0DB26A29"/>
    <w:rsid w:val="0DB5A671"/>
    <w:rsid w:val="0DB82203"/>
    <w:rsid w:val="0DBF3A55"/>
    <w:rsid w:val="0DC5049A"/>
    <w:rsid w:val="0DC8C146"/>
    <w:rsid w:val="0DCCFE0E"/>
    <w:rsid w:val="0DCF22AE"/>
    <w:rsid w:val="0DD345AF"/>
    <w:rsid w:val="0E01FA94"/>
    <w:rsid w:val="0E080219"/>
    <w:rsid w:val="0E0C293C"/>
    <w:rsid w:val="0E162E48"/>
    <w:rsid w:val="0E2244E1"/>
    <w:rsid w:val="0E232F00"/>
    <w:rsid w:val="0E37B971"/>
    <w:rsid w:val="0E471C55"/>
    <w:rsid w:val="0E4AC828"/>
    <w:rsid w:val="0E4B0E09"/>
    <w:rsid w:val="0E5E1373"/>
    <w:rsid w:val="0E61E39B"/>
    <w:rsid w:val="0E71DDB8"/>
    <w:rsid w:val="0E779AF2"/>
    <w:rsid w:val="0E7A506B"/>
    <w:rsid w:val="0E7AD31F"/>
    <w:rsid w:val="0E7B3DFE"/>
    <w:rsid w:val="0E812D7B"/>
    <w:rsid w:val="0E8C2784"/>
    <w:rsid w:val="0EA575DB"/>
    <w:rsid w:val="0EA6A370"/>
    <w:rsid w:val="0EAF2B91"/>
    <w:rsid w:val="0EAF5592"/>
    <w:rsid w:val="0EB02266"/>
    <w:rsid w:val="0EB14F16"/>
    <w:rsid w:val="0EC34562"/>
    <w:rsid w:val="0EC88A98"/>
    <w:rsid w:val="0EDE4CB2"/>
    <w:rsid w:val="0EE4D054"/>
    <w:rsid w:val="0EE659DE"/>
    <w:rsid w:val="0EE65D98"/>
    <w:rsid w:val="0EF0437B"/>
    <w:rsid w:val="0EF5E4C6"/>
    <w:rsid w:val="0EF817A4"/>
    <w:rsid w:val="0F002875"/>
    <w:rsid w:val="0F04875A"/>
    <w:rsid w:val="0F057E96"/>
    <w:rsid w:val="0F0AD218"/>
    <w:rsid w:val="0F2E5CB6"/>
    <w:rsid w:val="0F32D6F2"/>
    <w:rsid w:val="0F3C982F"/>
    <w:rsid w:val="0F3E2702"/>
    <w:rsid w:val="0F3FC01A"/>
    <w:rsid w:val="0F56021F"/>
    <w:rsid w:val="0F59369B"/>
    <w:rsid w:val="0F5B7618"/>
    <w:rsid w:val="0F5FE040"/>
    <w:rsid w:val="0F627ED4"/>
    <w:rsid w:val="0F633F39"/>
    <w:rsid w:val="0F684BFF"/>
    <w:rsid w:val="0F695263"/>
    <w:rsid w:val="0F6C023A"/>
    <w:rsid w:val="0F7CCC2F"/>
    <w:rsid w:val="0F8AD4B4"/>
    <w:rsid w:val="0F8DC37C"/>
    <w:rsid w:val="0F9760BB"/>
    <w:rsid w:val="0F99D4A8"/>
    <w:rsid w:val="0F9CF98F"/>
    <w:rsid w:val="0FAEBD43"/>
    <w:rsid w:val="0FB2D385"/>
    <w:rsid w:val="0FC21118"/>
    <w:rsid w:val="0FCB42E1"/>
    <w:rsid w:val="0FE244E5"/>
    <w:rsid w:val="0FECD807"/>
    <w:rsid w:val="0FF090E5"/>
    <w:rsid w:val="0FF79A98"/>
    <w:rsid w:val="0FFE28B2"/>
    <w:rsid w:val="100A0048"/>
    <w:rsid w:val="1018ECE2"/>
    <w:rsid w:val="1024227F"/>
    <w:rsid w:val="102B5B8B"/>
    <w:rsid w:val="10393CE7"/>
    <w:rsid w:val="104E3A51"/>
    <w:rsid w:val="10506EC2"/>
    <w:rsid w:val="105D78C0"/>
    <w:rsid w:val="1072580A"/>
    <w:rsid w:val="107C1E17"/>
    <w:rsid w:val="10856F41"/>
    <w:rsid w:val="108B4368"/>
    <w:rsid w:val="1093289F"/>
    <w:rsid w:val="10A6197A"/>
    <w:rsid w:val="10A783F7"/>
    <w:rsid w:val="10CD5318"/>
    <w:rsid w:val="10D58CD8"/>
    <w:rsid w:val="10E09C1A"/>
    <w:rsid w:val="10E6A6A2"/>
    <w:rsid w:val="10EC23D6"/>
    <w:rsid w:val="10EC4968"/>
    <w:rsid w:val="10F85556"/>
    <w:rsid w:val="10FB8E21"/>
    <w:rsid w:val="11054CE3"/>
    <w:rsid w:val="110D6B77"/>
    <w:rsid w:val="1113F8E0"/>
    <w:rsid w:val="1115A24C"/>
    <w:rsid w:val="11180570"/>
    <w:rsid w:val="112178AD"/>
    <w:rsid w:val="1122CC6F"/>
    <w:rsid w:val="112495B7"/>
    <w:rsid w:val="1126F348"/>
    <w:rsid w:val="112E604B"/>
    <w:rsid w:val="1140E6E5"/>
    <w:rsid w:val="114603A2"/>
    <w:rsid w:val="1154D6CD"/>
    <w:rsid w:val="115C3CAF"/>
    <w:rsid w:val="1179435F"/>
    <w:rsid w:val="117D1FD2"/>
    <w:rsid w:val="11A3BD0D"/>
    <w:rsid w:val="11A8E9C3"/>
    <w:rsid w:val="11AEE22B"/>
    <w:rsid w:val="11B4F4F7"/>
    <w:rsid w:val="11B8CE3D"/>
    <w:rsid w:val="11C78913"/>
    <w:rsid w:val="11C8B1B8"/>
    <w:rsid w:val="11E946D8"/>
    <w:rsid w:val="11F156C6"/>
    <w:rsid w:val="11F613AF"/>
    <w:rsid w:val="1201D819"/>
    <w:rsid w:val="12026436"/>
    <w:rsid w:val="12189F03"/>
    <w:rsid w:val="12251614"/>
    <w:rsid w:val="122BCDA3"/>
    <w:rsid w:val="12316304"/>
    <w:rsid w:val="12332228"/>
    <w:rsid w:val="1248E3AC"/>
    <w:rsid w:val="124AC751"/>
    <w:rsid w:val="125385A4"/>
    <w:rsid w:val="126F9331"/>
    <w:rsid w:val="12702208"/>
    <w:rsid w:val="12801F0D"/>
    <w:rsid w:val="1289BBCF"/>
    <w:rsid w:val="128C346D"/>
    <w:rsid w:val="128D4EAE"/>
    <w:rsid w:val="128F1DF9"/>
    <w:rsid w:val="1296E33C"/>
    <w:rsid w:val="12A356C8"/>
    <w:rsid w:val="12A5810B"/>
    <w:rsid w:val="12AFA789"/>
    <w:rsid w:val="12C12A0D"/>
    <w:rsid w:val="12CD2C34"/>
    <w:rsid w:val="12D92FCE"/>
    <w:rsid w:val="12F09D7F"/>
    <w:rsid w:val="12F4061E"/>
    <w:rsid w:val="12F6440A"/>
    <w:rsid w:val="12F7BB8E"/>
    <w:rsid w:val="130002C0"/>
    <w:rsid w:val="13005A8D"/>
    <w:rsid w:val="130437F9"/>
    <w:rsid w:val="131BA4C9"/>
    <w:rsid w:val="1332E121"/>
    <w:rsid w:val="13403367"/>
    <w:rsid w:val="13425652"/>
    <w:rsid w:val="134274A1"/>
    <w:rsid w:val="134A2536"/>
    <w:rsid w:val="13574C4F"/>
    <w:rsid w:val="13584510"/>
    <w:rsid w:val="136192E5"/>
    <w:rsid w:val="136C94C0"/>
    <w:rsid w:val="13796FFC"/>
    <w:rsid w:val="1382F439"/>
    <w:rsid w:val="13A092DE"/>
    <w:rsid w:val="13A63F3E"/>
    <w:rsid w:val="13AA64FF"/>
    <w:rsid w:val="13AB9791"/>
    <w:rsid w:val="13AD28E7"/>
    <w:rsid w:val="13B309AF"/>
    <w:rsid w:val="13CA790C"/>
    <w:rsid w:val="13D99BFA"/>
    <w:rsid w:val="13FB66F4"/>
    <w:rsid w:val="13FF12B3"/>
    <w:rsid w:val="14004225"/>
    <w:rsid w:val="140BBB82"/>
    <w:rsid w:val="140EC755"/>
    <w:rsid w:val="14104A19"/>
    <w:rsid w:val="14135358"/>
    <w:rsid w:val="1419326F"/>
    <w:rsid w:val="14245511"/>
    <w:rsid w:val="14274CE7"/>
    <w:rsid w:val="1439532F"/>
    <w:rsid w:val="143F6C6C"/>
    <w:rsid w:val="1442B70C"/>
    <w:rsid w:val="14470D25"/>
    <w:rsid w:val="14485D64"/>
    <w:rsid w:val="14679D58"/>
    <w:rsid w:val="147C14F4"/>
    <w:rsid w:val="147DF79E"/>
    <w:rsid w:val="147E6947"/>
    <w:rsid w:val="1489BD13"/>
    <w:rsid w:val="1494CC39"/>
    <w:rsid w:val="149D353E"/>
    <w:rsid w:val="14B8EA05"/>
    <w:rsid w:val="14BEE6BE"/>
    <w:rsid w:val="14D09561"/>
    <w:rsid w:val="14D37765"/>
    <w:rsid w:val="14E96795"/>
    <w:rsid w:val="14EF3B52"/>
    <w:rsid w:val="1500F087"/>
    <w:rsid w:val="15023A90"/>
    <w:rsid w:val="150A0CE9"/>
    <w:rsid w:val="150A8BCD"/>
    <w:rsid w:val="151E2810"/>
    <w:rsid w:val="151E9033"/>
    <w:rsid w:val="15205F8F"/>
    <w:rsid w:val="1526866A"/>
    <w:rsid w:val="1528C26D"/>
    <w:rsid w:val="154632B6"/>
    <w:rsid w:val="155B4579"/>
    <w:rsid w:val="1573E5B5"/>
    <w:rsid w:val="15824BC9"/>
    <w:rsid w:val="1588460E"/>
    <w:rsid w:val="159129FA"/>
    <w:rsid w:val="1593BC5A"/>
    <w:rsid w:val="159B6571"/>
    <w:rsid w:val="159D5352"/>
    <w:rsid w:val="15B31D21"/>
    <w:rsid w:val="15B8D233"/>
    <w:rsid w:val="15B93B0D"/>
    <w:rsid w:val="15BDF15C"/>
    <w:rsid w:val="15C8AB0F"/>
    <w:rsid w:val="15D8C590"/>
    <w:rsid w:val="15DD20BE"/>
    <w:rsid w:val="15EBD94A"/>
    <w:rsid w:val="15ECA731"/>
    <w:rsid w:val="15F0F731"/>
    <w:rsid w:val="16034BEF"/>
    <w:rsid w:val="160AF178"/>
    <w:rsid w:val="1610CB04"/>
    <w:rsid w:val="161222E6"/>
    <w:rsid w:val="1627AAA4"/>
    <w:rsid w:val="1630AD84"/>
    <w:rsid w:val="1637FB97"/>
    <w:rsid w:val="1638CECB"/>
    <w:rsid w:val="1642ED11"/>
    <w:rsid w:val="165E3864"/>
    <w:rsid w:val="1677C603"/>
    <w:rsid w:val="168CB8CA"/>
    <w:rsid w:val="168E5148"/>
    <w:rsid w:val="168E5F08"/>
    <w:rsid w:val="16924A8B"/>
    <w:rsid w:val="16961E0D"/>
    <w:rsid w:val="169FDD6D"/>
    <w:rsid w:val="16BC43CC"/>
    <w:rsid w:val="16C48C3F"/>
    <w:rsid w:val="16C55586"/>
    <w:rsid w:val="16CAD440"/>
    <w:rsid w:val="16CB464A"/>
    <w:rsid w:val="16D5584D"/>
    <w:rsid w:val="16DB0AB8"/>
    <w:rsid w:val="16EA8F5D"/>
    <w:rsid w:val="16FC76DE"/>
    <w:rsid w:val="170CD9B0"/>
    <w:rsid w:val="170E949E"/>
    <w:rsid w:val="171255B1"/>
    <w:rsid w:val="171CE4A5"/>
    <w:rsid w:val="171D1DBA"/>
    <w:rsid w:val="17202086"/>
    <w:rsid w:val="1721B77F"/>
    <w:rsid w:val="172CDD1A"/>
    <w:rsid w:val="172F6E56"/>
    <w:rsid w:val="1736A864"/>
    <w:rsid w:val="174968D8"/>
    <w:rsid w:val="174B057B"/>
    <w:rsid w:val="17506A80"/>
    <w:rsid w:val="1761D83F"/>
    <w:rsid w:val="1767359C"/>
    <w:rsid w:val="1768A98E"/>
    <w:rsid w:val="178B0262"/>
    <w:rsid w:val="17905C01"/>
    <w:rsid w:val="17A2D1F8"/>
    <w:rsid w:val="17A3AFF4"/>
    <w:rsid w:val="17B132B5"/>
    <w:rsid w:val="17C53E16"/>
    <w:rsid w:val="17D279D2"/>
    <w:rsid w:val="17E64C9D"/>
    <w:rsid w:val="17EE2EEC"/>
    <w:rsid w:val="17EE8FD3"/>
    <w:rsid w:val="17F14B0E"/>
    <w:rsid w:val="17F84B42"/>
    <w:rsid w:val="17FCF199"/>
    <w:rsid w:val="18021340"/>
    <w:rsid w:val="18192480"/>
    <w:rsid w:val="1828B984"/>
    <w:rsid w:val="182F2C56"/>
    <w:rsid w:val="183603E0"/>
    <w:rsid w:val="18418702"/>
    <w:rsid w:val="1843FAF6"/>
    <w:rsid w:val="184767E6"/>
    <w:rsid w:val="185C5295"/>
    <w:rsid w:val="185F273E"/>
    <w:rsid w:val="187128AE"/>
    <w:rsid w:val="1872175F"/>
    <w:rsid w:val="18743EB0"/>
    <w:rsid w:val="18751ADD"/>
    <w:rsid w:val="1876816B"/>
    <w:rsid w:val="18857A60"/>
    <w:rsid w:val="18865C51"/>
    <w:rsid w:val="18886611"/>
    <w:rsid w:val="18953F67"/>
    <w:rsid w:val="189B840F"/>
    <w:rsid w:val="189E04E0"/>
    <w:rsid w:val="18A17349"/>
    <w:rsid w:val="18A572B4"/>
    <w:rsid w:val="18A97EA4"/>
    <w:rsid w:val="18C43859"/>
    <w:rsid w:val="18CDC743"/>
    <w:rsid w:val="18D39CE5"/>
    <w:rsid w:val="18DD5566"/>
    <w:rsid w:val="18E0A61C"/>
    <w:rsid w:val="18FD814A"/>
    <w:rsid w:val="18FFB128"/>
    <w:rsid w:val="1910DF7B"/>
    <w:rsid w:val="191241BD"/>
    <w:rsid w:val="1914FD07"/>
    <w:rsid w:val="1925661D"/>
    <w:rsid w:val="192F9F7D"/>
    <w:rsid w:val="192FFB57"/>
    <w:rsid w:val="193257E5"/>
    <w:rsid w:val="1937B79C"/>
    <w:rsid w:val="194EE3C1"/>
    <w:rsid w:val="19529D1D"/>
    <w:rsid w:val="19758075"/>
    <w:rsid w:val="198CA7B3"/>
    <w:rsid w:val="199B8BE6"/>
    <w:rsid w:val="19A2788D"/>
    <w:rsid w:val="19A865EC"/>
    <w:rsid w:val="19AF6AD4"/>
    <w:rsid w:val="19C6EB3E"/>
    <w:rsid w:val="19D09FFE"/>
    <w:rsid w:val="19DEE0D6"/>
    <w:rsid w:val="19E6CE44"/>
    <w:rsid w:val="19EBA63A"/>
    <w:rsid w:val="19ED3492"/>
    <w:rsid w:val="19F584AC"/>
    <w:rsid w:val="19F83882"/>
    <w:rsid w:val="19F83CE2"/>
    <w:rsid w:val="1A046586"/>
    <w:rsid w:val="1A05676E"/>
    <w:rsid w:val="1A0A0D28"/>
    <w:rsid w:val="1A13D085"/>
    <w:rsid w:val="1A169C6F"/>
    <w:rsid w:val="1A1C8D78"/>
    <w:rsid w:val="1A22D6D9"/>
    <w:rsid w:val="1A2B3BBC"/>
    <w:rsid w:val="1A2D2381"/>
    <w:rsid w:val="1A2D3523"/>
    <w:rsid w:val="1A2F9C4C"/>
    <w:rsid w:val="1A3795BB"/>
    <w:rsid w:val="1A3FF3C3"/>
    <w:rsid w:val="1A42CAD4"/>
    <w:rsid w:val="1A4893F3"/>
    <w:rsid w:val="1A57D981"/>
    <w:rsid w:val="1A5A70DC"/>
    <w:rsid w:val="1A5B79F7"/>
    <w:rsid w:val="1A5DC561"/>
    <w:rsid w:val="1A6147C7"/>
    <w:rsid w:val="1A682896"/>
    <w:rsid w:val="1A79FB71"/>
    <w:rsid w:val="1AA441A0"/>
    <w:rsid w:val="1AB3B19D"/>
    <w:rsid w:val="1ABF31E8"/>
    <w:rsid w:val="1AD397B6"/>
    <w:rsid w:val="1ADEEB19"/>
    <w:rsid w:val="1AE5D5C3"/>
    <w:rsid w:val="1AF5AD9F"/>
    <w:rsid w:val="1B09FF4F"/>
    <w:rsid w:val="1B26DAB9"/>
    <w:rsid w:val="1B276DA0"/>
    <w:rsid w:val="1B2A052A"/>
    <w:rsid w:val="1B2BA6FA"/>
    <w:rsid w:val="1B328E18"/>
    <w:rsid w:val="1B420E07"/>
    <w:rsid w:val="1B53CBAD"/>
    <w:rsid w:val="1B68C4E7"/>
    <w:rsid w:val="1B6F38B7"/>
    <w:rsid w:val="1B803AB1"/>
    <w:rsid w:val="1B8C7016"/>
    <w:rsid w:val="1B8F9958"/>
    <w:rsid w:val="1B917333"/>
    <w:rsid w:val="1B998234"/>
    <w:rsid w:val="1B9DD3C7"/>
    <w:rsid w:val="1BB2B447"/>
    <w:rsid w:val="1BB581A9"/>
    <w:rsid w:val="1BB6C79C"/>
    <w:rsid w:val="1BB7168F"/>
    <w:rsid w:val="1BB9FA9C"/>
    <w:rsid w:val="1BC5BCB4"/>
    <w:rsid w:val="1BC60083"/>
    <w:rsid w:val="1BDB8E7C"/>
    <w:rsid w:val="1BE96C9A"/>
    <w:rsid w:val="1BF5464F"/>
    <w:rsid w:val="1C0B1BF7"/>
    <w:rsid w:val="1C1870AE"/>
    <w:rsid w:val="1C196A68"/>
    <w:rsid w:val="1C19A503"/>
    <w:rsid w:val="1C1DBA94"/>
    <w:rsid w:val="1C28DD56"/>
    <w:rsid w:val="1C3221DF"/>
    <w:rsid w:val="1C39A278"/>
    <w:rsid w:val="1C3B4BCF"/>
    <w:rsid w:val="1C3E80F9"/>
    <w:rsid w:val="1C56BC59"/>
    <w:rsid w:val="1C5BFF31"/>
    <w:rsid w:val="1C6B3D66"/>
    <w:rsid w:val="1C832A9D"/>
    <w:rsid w:val="1C873958"/>
    <w:rsid w:val="1C89515F"/>
    <w:rsid w:val="1C9E89B4"/>
    <w:rsid w:val="1CAC63B1"/>
    <w:rsid w:val="1CADDF06"/>
    <w:rsid w:val="1CAE7D26"/>
    <w:rsid w:val="1CBEF46F"/>
    <w:rsid w:val="1CBF15D9"/>
    <w:rsid w:val="1CC0B04C"/>
    <w:rsid w:val="1CDF13B1"/>
    <w:rsid w:val="1CEAAFC3"/>
    <w:rsid w:val="1CF309DA"/>
    <w:rsid w:val="1CF7EFD9"/>
    <w:rsid w:val="1D00C318"/>
    <w:rsid w:val="1D0AC741"/>
    <w:rsid w:val="1D196C15"/>
    <w:rsid w:val="1D260B73"/>
    <w:rsid w:val="1D309D51"/>
    <w:rsid w:val="1D64577E"/>
    <w:rsid w:val="1D6C10E5"/>
    <w:rsid w:val="1D6D40F2"/>
    <w:rsid w:val="1D74BFCE"/>
    <w:rsid w:val="1D77F508"/>
    <w:rsid w:val="1D7CE131"/>
    <w:rsid w:val="1D86502C"/>
    <w:rsid w:val="1D896498"/>
    <w:rsid w:val="1D8BCFB9"/>
    <w:rsid w:val="1D950F44"/>
    <w:rsid w:val="1D95DEE3"/>
    <w:rsid w:val="1DAD6C6F"/>
    <w:rsid w:val="1DB32294"/>
    <w:rsid w:val="1DBCD54C"/>
    <w:rsid w:val="1DBF29F2"/>
    <w:rsid w:val="1DD05E05"/>
    <w:rsid w:val="1DE7F341"/>
    <w:rsid w:val="1DF12F68"/>
    <w:rsid w:val="1DFCB78E"/>
    <w:rsid w:val="1DFD7995"/>
    <w:rsid w:val="1E00FAB9"/>
    <w:rsid w:val="1E15FDE5"/>
    <w:rsid w:val="1E1999A5"/>
    <w:rsid w:val="1E3F9A30"/>
    <w:rsid w:val="1E4A4413"/>
    <w:rsid w:val="1E4FBE87"/>
    <w:rsid w:val="1E528F08"/>
    <w:rsid w:val="1E54C59D"/>
    <w:rsid w:val="1E5CBDA1"/>
    <w:rsid w:val="1E67D7B2"/>
    <w:rsid w:val="1E690379"/>
    <w:rsid w:val="1E74C64C"/>
    <w:rsid w:val="1E75A54E"/>
    <w:rsid w:val="1E7727C0"/>
    <w:rsid w:val="1E78D4DD"/>
    <w:rsid w:val="1E885EF1"/>
    <w:rsid w:val="1E9537E5"/>
    <w:rsid w:val="1E958706"/>
    <w:rsid w:val="1EA4B063"/>
    <w:rsid w:val="1EAC7A62"/>
    <w:rsid w:val="1EB1EAF0"/>
    <w:rsid w:val="1EBC6441"/>
    <w:rsid w:val="1EC75B36"/>
    <w:rsid w:val="1ECFE796"/>
    <w:rsid w:val="1ED27E8E"/>
    <w:rsid w:val="1EE29146"/>
    <w:rsid w:val="1EEE5742"/>
    <w:rsid w:val="1EFFA2B1"/>
    <w:rsid w:val="1F0D4A63"/>
    <w:rsid w:val="1F1D1704"/>
    <w:rsid w:val="1F2EBA2F"/>
    <w:rsid w:val="1F3DB9B0"/>
    <w:rsid w:val="1F423D80"/>
    <w:rsid w:val="1F44A90D"/>
    <w:rsid w:val="1F4C26C6"/>
    <w:rsid w:val="1F56279E"/>
    <w:rsid w:val="1F6C906C"/>
    <w:rsid w:val="1F73BB73"/>
    <w:rsid w:val="1F8294EC"/>
    <w:rsid w:val="1F89C99B"/>
    <w:rsid w:val="1F8FD304"/>
    <w:rsid w:val="1F901A13"/>
    <w:rsid w:val="1F93C80A"/>
    <w:rsid w:val="1FA29167"/>
    <w:rsid w:val="1FAC2209"/>
    <w:rsid w:val="1FB0EBAB"/>
    <w:rsid w:val="1FC3F576"/>
    <w:rsid w:val="1FC56FDD"/>
    <w:rsid w:val="1FC6BCDB"/>
    <w:rsid w:val="1FCA212A"/>
    <w:rsid w:val="1FCFDC7D"/>
    <w:rsid w:val="1FDE40CC"/>
    <w:rsid w:val="1FE27A44"/>
    <w:rsid w:val="1FE4DB1C"/>
    <w:rsid w:val="1FEEA74A"/>
    <w:rsid w:val="1FF3193B"/>
    <w:rsid w:val="200C38DB"/>
    <w:rsid w:val="200EFC50"/>
    <w:rsid w:val="201D217C"/>
    <w:rsid w:val="201E0520"/>
    <w:rsid w:val="203EF8EA"/>
    <w:rsid w:val="204B232F"/>
    <w:rsid w:val="204FA00A"/>
    <w:rsid w:val="205390FE"/>
    <w:rsid w:val="205E1EAB"/>
    <w:rsid w:val="2073B595"/>
    <w:rsid w:val="20821B38"/>
    <w:rsid w:val="20922C48"/>
    <w:rsid w:val="2093AC0B"/>
    <w:rsid w:val="20AB70E5"/>
    <w:rsid w:val="20BC3673"/>
    <w:rsid w:val="20E8B161"/>
    <w:rsid w:val="20E8C1CE"/>
    <w:rsid w:val="20EB3D5C"/>
    <w:rsid w:val="20FAAFA5"/>
    <w:rsid w:val="20FE9BB8"/>
    <w:rsid w:val="21096C47"/>
    <w:rsid w:val="211207BD"/>
    <w:rsid w:val="211D5210"/>
    <w:rsid w:val="2123B089"/>
    <w:rsid w:val="21267453"/>
    <w:rsid w:val="2135C9B7"/>
    <w:rsid w:val="213CB880"/>
    <w:rsid w:val="213EAE89"/>
    <w:rsid w:val="2153021D"/>
    <w:rsid w:val="215B92D0"/>
    <w:rsid w:val="217E31A9"/>
    <w:rsid w:val="218D3F3C"/>
    <w:rsid w:val="2193ADA5"/>
    <w:rsid w:val="2197F47C"/>
    <w:rsid w:val="219AA90F"/>
    <w:rsid w:val="219F52C2"/>
    <w:rsid w:val="21A0B895"/>
    <w:rsid w:val="21A98104"/>
    <w:rsid w:val="21AB1EA8"/>
    <w:rsid w:val="21AD5C6F"/>
    <w:rsid w:val="21AFA9A9"/>
    <w:rsid w:val="21BB32BD"/>
    <w:rsid w:val="21BB5833"/>
    <w:rsid w:val="21C7E64E"/>
    <w:rsid w:val="21CB2FFD"/>
    <w:rsid w:val="21D5FE98"/>
    <w:rsid w:val="21D810DE"/>
    <w:rsid w:val="21DE3864"/>
    <w:rsid w:val="21F6E2DF"/>
    <w:rsid w:val="21F9364B"/>
    <w:rsid w:val="21FCCE08"/>
    <w:rsid w:val="2208A147"/>
    <w:rsid w:val="22168CE9"/>
    <w:rsid w:val="221E914A"/>
    <w:rsid w:val="223BAB2D"/>
    <w:rsid w:val="22568205"/>
    <w:rsid w:val="2264E7C3"/>
    <w:rsid w:val="22695049"/>
    <w:rsid w:val="2274EC06"/>
    <w:rsid w:val="2281F11E"/>
    <w:rsid w:val="22825DCC"/>
    <w:rsid w:val="22826BC0"/>
    <w:rsid w:val="228FBB9F"/>
    <w:rsid w:val="229E8116"/>
    <w:rsid w:val="22A69840"/>
    <w:rsid w:val="22A9EA00"/>
    <w:rsid w:val="22B382EA"/>
    <w:rsid w:val="22BC5870"/>
    <w:rsid w:val="22C70244"/>
    <w:rsid w:val="22DAE29E"/>
    <w:rsid w:val="22DE3746"/>
    <w:rsid w:val="22EDA6E1"/>
    <w:rsid w:val="22F8C686"/>
    <w:rsid w:val="2302DA7B"/>
    <w:rsid w:val="23093726"/>
    <w:rsid w:val="230A3BE7"/>
    <w:rsid w:val="231CD2B9"/>
    <w:rsid w:val="2320F7C5"/>
    <w:rsid w:val="23254F37"/>
    <w:rsid w:val="232E2A9F"/>
    <w:rsid w:val="2336A0DF"/>
    <w:rsid w:val="23387FA2"/>
    <w:rsid w:val="2349A505"/>
    <w:rsid w:val="2349D2C1"/>
    <w:rsid w:val="23532757"/>
    <w:rsid w:val="235F3C2E"/>
    <w:rsid w:val="23620DF5"/>
    <w:rsid w:val="2363C8C4"/>
    <w:rsid w:val="23747F86"/>
    <w:rsid w:val="237784C8"/>
    <w:rsid w:val="237A4DEC"/>
    <w:rsid w:val="23812A0C"/>
    <w:rsid w:val="238C773E"/>
    <w:rsid w:val="23A6DAC9"/>
    <w:rsid w:val="23A8300B"/>
    <w:rsid w:val="23A9B033"/>
    <w:rsid w:val="23AD9DE7"/>
    <w:rsid w:val="23B7292F"/>
    <w:rsid w:val="23C58EFD"/>
    <w:rsid w:val="23D38A08"/>
    <w:rsid w:val="23DF83F8"/>
    <w:rsid w:val="23E8BEE7"/>
    <w:rsid w:val="23F1A035"/>
    <w:rsid w:val="23F53D42"/>
    <w:rsid w:val="23F55131"/>
    <w:rsid w:val="23F68021"/>
    <w:rsid w:val="23FE5E8A"/>
    <w:rsid w:val="24000DCF"/>
    <w:rsid w:val="2401DF34"/>
    <w:rsid w:val="24046D9B"/>
    <w:rsid w:val="240E40A2"/>
    <w:rsid w:val="240E9909"/>
    <w:rsid w:val="2410D206"/>
    <w:rsid w:val="24143C13"/>
    <w:rsid w:val="241752AB"/>
    <w:rsid w:val="241C9978"/>
    <w:rsid w:val="242E73A4"/>
    <w:rsid w:val="2430E058"/>
    <w:rsid w:val="2431858F"/>
    <w:rsid w:val="2433F7F7"/>
    <w:rsid w:val="2441DE30"/>
    <w:rsid w:val="2442C71A"/>
    <w:rsid w:val="24462D95"/>
    <w:rsid w:val="24617186"/>
    <w:rsid w:val="246720C2"/>
    <w:rsid w:val="24680845"/>
    <w:rsid w:val="246ABF3F"/>
    <w:rsid w:val="2472FCEF"/>
    <w:rsid w:val="24746AB8"/>
    <w:rsid w:val="24782345"/>
    <w:rsid w:val="247AD1E3"/>
    <w:rsid w:val="2484125D"/>
    <w:rsid w:val="24888B02"/>
    <w:rsid w:val="248B1BA9"/>
    <w:rsid w:val="248B3341"/>
    <w:rsid w:val="248DE00D"/>
    <w:rsid w:val="24BB16FD"/>
    <w:rsid w:val="24CB22BD"/>
    <w:rsid w:val="24D61FB7"/>
    <w:rsid w:val="24D7CDBA"/>
    <w:rsid w:val="24DF2140"/>
    <w:rsid w:val="24EB6647"/>
    <w:rsid w:val="24FFD409"/>
    <w:rsid w:val="250018C3"/>
    <w:rsid w:val="250C0034"/>
    <w:rsid w:val="250F484E"/>
    <w:rsid w:val="251547F5"/>
    <w:rsid w:val="251D6FB6"/>
    <w:rsid w:val="251DC6AC"/>
    <w:rsid w:val="251EB03F"/>
    <w:rsid w:val="25242FBD"/>
    <w:rsid w:val="252B564A"/>
    <w:rsid w:val="25303468"/>
    <w:rsid w:val="2534DDF8"/>
    <w:rsid w:val="25353CAF"/>
    <w:rsid w:val="253ADFC8"/>
    <w:rsid w:val="2546F2E0"/>
    <w:rsid w:val="25481FDF"/>
    <w:rsid w:val="255006EF"/>
    <w:rsid w:val="25500D3B"/>
    <w:rsid w:val="2550EE06"/>
    <w:rsid w:val="2552E870"/>
    <w:rsid w:val="255D4B0D"/>
    <w:rsid w:val="255DC042"/>
    <w:rsid w:val="2574FA6A"/>
    <w:rsid w:val="2574FEB0"/>
    <w:rsid w:val="25769101"/>
    <w:rsid w:val="257E26CE"/>
    <w:rsid w:val="258AC8A1"/>
    <w:rsid w:val="258AF0C5"/>
    <w:rsid w:val="25921643"/>
    <w:rsid w:val="25943F19"/>
    <w:rsid w:val="2594EF75"/>
    <w:rsid w:val="259715E1"/>
    <w:rsid w:val="259D65CE"/>
    <w:rsid w:val="25A40559"/>
    <w:rsid w:val="25B59FD3"/>
    <w:rsid w:val="25B70727"/>
    <w:rsid w:val="25CE70D0"/>
    <w:rsid w:val="25D052B9"/>
    <w:rsid w:val="25D5B96D"/>
    <w:rsid w:val="25DC441E"/>
    <w:rsid w:val="25DFA31B"/>
    <w:rsid w:val="25E07597"/>
    <w:rsid w:val="25E97A4A"/>
    <w:rsid w:val="25EAC0C8"/>
    <w:rsid w:val="25ED6670"/>
    <w:rsid w:val="25EFB2A8"/>
    <w:rsid w:val="25F4CB6C"/>
    <w:rsid w:val="26012C95"/>
    <w:rsid w:val="26062D00"/>
    <w:rsid w:val="260A49E3"/>
    <w:rsid w:val="260F1F8C"/>
    <w:rsid w:val="2619A081"/>
    <w:rsid w:val="261BB54F"/>
    <w:rsid w:val="2632764E"/>
    <w:rsid w:val="263B8AEF"/>
    <w:rsid w:val="264D79E1"/>
    <w:rsid w:val="26506661"/>
    <w:rsid w:val="2664CBC8"/>
    <w:rsid w:val="266A232A"/>
    <w:rsid w:val="266BFD05"/>
    <w:rsid w:val="267AEB48"/>
    <w:rsid w:val="26858096"/>
    <w:rsid w:val="268DA87C"/>
    <w:rsid w:val="2691A1BD"/>
    <w:rsid w:val="269699EB"/>
    <w:rsid w:val="269ED1C6"/>
    <w:rsid w:val="26A5C130"/>
    <w:rsid w:val="26A71CA0"/>
    <w:rsid w:val="26A980CF"/>
    <w:rsid w:val="26AB08D2"/>
    <w:rsid w:val="26B31114"/>
    <w:rsid w:val="26C7C38F"/>
    <w:rsid w:val="26C80DD4"/>
    <w:rsid w:val="26CAB41A"/>
    <w:rsid w:val="26D210B8"/>
    <w:rsid w:val="26E3837D"/>
    <w:rsid w:val="26E38E91"/>
    <w:rsid w:val="27029FF4"/>
    <w:rsid w:val="27054E89"/>
    <w:rsid w:val="271877AF"/>
    <w:rsid w:val="271D3B2F"/>
    <w:rsid w:val="271F217D"/>
    <w:rsid w:val="27202D6F"/>
    <w:rsid w:val="272C2B52"/>
    <w:rsid w:val="272D1C2A"/>
    <w:rsid w:val="273EA759"/>
    <w:rsid w:val="27414543"/>
    <w:rsid w:val="274C4E5C"/>
    <w:rsid w:val="274F802A"/>
    <w:rsid w:val="275997A9"/>
    <w:rsid w:val="27781F10"/>
    <w:rsid w:val="277DB5E2"/>
    <w:rsid w:val="27880B87"/>
    <w:rsid w:val="278D0963"/>
    <w:rsid w:val="2796F8B2"/>
    <w:rsid w:val="279E4EEC"/>
    <w:rsid w:val="27A70B38"/>
    <w:rsid w:val="27ADF00D"/>
    <w:rsid w:val="27CA8221"/>
    <w:rsid w:val="27CA9D12"/>
    <w:rsid w:val="27D1AC48"/>
    <w:rsid w:val="27D3A7F4"/>
    <w:rsid w:val="27D60046"/>
    <w:rsid w:val="27D65E80"/>
    <w:rsid w:val="27D9EE1C"/>
    <w:rsid w:val="27E307B1"/>
    <w:rsid w:val="2814DAFE"/>
    <w:rsid w:val="281CDDFE"/>
    <w:rsid w:val="28240E5C"/>
    <w:rsid w:val="2825BF28"/>
    <w:rsid w:val="282846A6"/>
    <w:rsid w:val="2836A5F7"/>
    <w:rsid w:val="28412157"/>
    <w:rsid w:val="284DFA95"/>
    <w:rsid w:val="2855B110"/>
    <w:rsid w:val="285B83F7"/>
    <w:rsid w:val="285DC1A1"/>
    <w:rsid w:val="28619462"/>
    <w:rsid w:val="2877A6C6"/>
    <w:rsid w:val="2878C95E"/>
    <w:rsid w:val="287A95BB"/>
    <w:rsid w:val="287BA12E"/>
    <w:rsid w:val="287C503C"/>
    <w:rsid w:val="2886C2EC"/>
    <w:rsid w:val="288AA132"/>
    <w:rsid w:val="288DED0B"/>
    <w:rsid w:val="2890C758"/>
    <w:rsid w:val="2890F12E"/>
    <w:rsid w:val="2892D06B"/>
    <w:rsid w:val="289B7B3F"/>
    <w:rsid w:val="28CE04FA"/>
    <w:rsid w:val="28D4C96D"/>
    <w:rsid w:val="28D85518"/>
    <w:rsid w:val="28DAF16D"/>
    <w:rsid w:val="28DF3AD5"/>
    <w:rsid w:val="28EA5E9F"/>
    <w:rsid w:val="2910987B"/>
    <w:rsid w:val="29246978"/>
    <w:rsid w:val="292B8F8E"/>
    <w:rsid w:val="29373D9D"/>
    <w:rsid w:val="29376816"/>
    <w:rsid w:val="293E4534"/>
    <w:rsid w:val="2942DB12"/>
    <w:rsid w:val="2944D58B"/>
    <w:rsid w:val="295C9620"/>
    <w:rsid w:val="295D2C73"/>
    <w:rsid w:val="2967FC1E"/>
    <w:rsid w:val="2968D3C9"/>
    <w:rsid w:val="296FC34E"/>
    <w:rsid w:val="2976E15F"/>
    <w:rsid w:val="29857A80"/>
    <w:rsid w:val="299166DD"/>
    <w:rsid w:val="29979FC6"/>
    <w:rsid w:val="299AD454"/>
    <w:rsid w:val="299C22E7"/>
    <w:rsid w:val="299C7853"/>
    <w:rsid w:val="29A06D6D"/>
    <w:rsid w:val="29AF0C24"/>
    <w:rsid w:val="29B5EDD8"/>
    <w:rsid w:val="29CC1ED5"/>
    <w:rsid w:val="29CF5B40"/>
    <w:rsid w:val="29D69C84"/>
    <w:rsid w:val="29E13742"/>
    <w:rsid w:val="2A0725DC"/>
    <w:rsid w:val="2A188304"/>
    <w:rsid w:val="2A1C2231"/>
    <w:rsid w:val="2A23E02A"/>
    <w:rsid w:val="2A244440"/>
    <w:rsid w:val="2A2B2B09"/>
    <w:rsid w:val="2A362EAA"/>
    <w:rsid w:val="2A36DAF0"/>
    <w:rsid w:val="2A44E28C"/>
    <w:rsid w:val="2A500B09"/>
    <w:rsid w:val="2A52FBBF"/>
    <w:rsid w:val="2A57419C"/>
    <w:rsid w:val="2A63236D"/>
    <w:rsid w:val="2A6A2744"/>
    <w:rsid w:val="2A7FB549"/>
    <w:rsid w:val="2A82091C"/>
    <w:rsid w:val="2A82BCAE"/>
    <w:rsid w:val="2A8330E0"/>
    <w:rsid w:val="2A99F237"/>
    <w:rsid w:val="2AA10446"/>
    <w:rsid w:val="2ABD5A9A"/>
    <w:rsid w:val="2AC3F5B4"/>
    <w:rsid w:val="2AD3BF8D"/>
    <w:rsid w:val="2ADCCDB9"/>
    <w:rsid w:val="2ADEE9F6"/>
    <w:rsid w:val="2AE5DD45"/>
    <w:rsid w:val="2AF54C10"/>
    <w:rsid w:val="2AFA43A8"/>
    <w:rsid w:val="2AFBE006"/>
    <w:rsid w:val="2B0AD2A9"/>
    <w:rsid w:val="2B0C88ED"/>
    <w:rsid w:val="2B28132D"/>
    <w:rsid w:val="2B2B651C"/>
    <w:rsid w:val="2B3044C1"/>
    <w:rsid w:val="2B3AC417"/>
    <w:rsid w:val="2B436699"/>
    <w:rsid w:val="2B523CA9"/>
    <w:rsid w:val="2B565194"/>
    <w:rsid w:val="2B655190"/>
    <w:rsid w:val="2B6AFC4B"/>
    <w:rsid w:val="2B7B079A"/>
    <w:rsid w:val="2B8A5B0C"/>
    <w:rsid w:val="2B8B5F1E"/>
    <w:rsid w:val="2B93D737"/>
    <w:rsid w:val="2BA26143"/>
    <w:rsid w:val="2BA2E338"/>
    <w:rsid w:val="2BACB5CF"/>
    <w:rsid w:val="2BAFAFB4"/>
    <w:rsid w:val="2BB1B896"/>
    <w:rsid w:val="2BB33C41"/>
    <w:rsid w:val="2BB9F3A4"/>
    <w:rsid w:val="2BBE55C2"/>
    <w:rsid w:val="2BC241F4"/>
    <w:rsid w:val="2BC3A2B1"/>
    <w:rsid w:val="2BCE67F4"/>
    <w:rsid w:val="2BD5E581"/>
    <w:rsid w:val="2BDA2BE3"/>
    <w:rsid w:val="2BE1B5AC"/>
    <w:rsid w:val="2BE1E5F0"/>
    <w:rsid w:val="2BE4E7C6"/>
    <w:rsid w:val="2BFCC379"/>
    <w:rsid w:val="2C0979D6"/>
    <w:rsid w:val="2C0EF1A8"/>
    <w:rsid w:val="2C14C078"/>
    <w:rsid w:val="2C1FA5A5"/>
    <w:rsid w:val="2C2CECDF"/>
    <w:rsid w:val="2C30C08C"/>
    <w:rsid w:val="2C3544E2"/>
    <w:rsid w:val="2C4A7FC3"/>
    <w:rsid w:val="2C4D988C"/>
    <w:rsid w:val="2C562A85"/>
    <w:rsid w:val="2C56F8B7"/>
    <w:rsid w:val="2C5F9F01"/>
    <w:rsid w:val="2C7790B9"/>
    <w:rsid w:val="2C786D20"/>
    <w:rsid w:val="2C8FD41F"/>
    <w:rsid w:val="2C975CC1"/>
    <w:rsid w:val="2CA57CDA"/>
    <w:rsid w:val="2CB2BC87"/>
    <w:rsid w:val="2CBADFD2"/>
    <w:rsid w:val="2CC3E470"/>
    <w:rsid w:val="2CD658E8"/>
    <w:rsid w:val="2CDBCD17"/>
    <w:rsid w:val="2CF15B81"/>
    <w:rsid w:val="2CFADDFF"/>
    <w:rsid w:val="2D01EDF0"/>
    <w:rsid w:val="2D05DB6F"/>
    <w:rsid w:val="2D07EA76"/>
    <w:rsid w:val="2D0DC434"/>
    <w:rsid w:val="2D0DDA02"/>
    <w:rsid w:val="2D113117"/>
    <w:rsid w:val="2D1B8871"/>
    <w:rsid w:val="2D2C573D"/>
    <w:rsid w:val="2D34EF3D"/>
    <w:rsid w:val="2D3542BB"/>
    <w:rsid w:val="2D38754F"/>
    <w:rsid w:val="2D3CC9C4"/>
    <w:rsid w:val="2D3E0C6D"/>
    <w:rsid w:val="2D489DA0"/>
    <w:rsid w:val="2D4A4DCF"/>
    <w:rsid w:val="2D4D5EFF"/>
    <w:rsid w:val="2D548420"/>
    <w:rsid w:val="2D6F35F5"/>
    <w:rsid w:val="2D732C0A"/>
    <w:rsid w:val="2D768C2A"/>
    <w:rsid w:val="2D769381"/>
    <w:rsid w:val="2D88BB58"/>
    <w:rsid w:val="2D973620"/>
    <w:rsid w:val="2D9E8AAD"/>
    <w:rsid w:val="2DA1C254"/>
    <w:rsid w:val="2DA7D9C8"/>
    <w:rsid w:val="2DA8290C"/>
    <w:rsid w:val="2DA95BA8"/>
    <w:rsid w:val="2DB437AE"/>
    <w:rsid w:val="2DB67A32"/>
    <w:rsid w:val="2DB7C0D1"/>
    <w:rsid w:val="2DBB0CC6"/>
    <w:rsid w:val="2DBC1552"/>
    <w:rsid w:val="2DC658B2"/>
    <w:rsid w:val="2DC820EA"/>
    <w:rsid w:val="2DC8999F"/>
    <w:rsid w:val="2DD15665"/>
    <w:rsid w:val="2DD36A53"/>
    <w:rsid w:val="2DD71A40"/>
    <w:rsid w:val="2DE1D8CB"/>
    <w:rsid w:val="2DE2ACBB"/>
    <w:rsid w:val="2DE69F57"/>
    <w:rsid w:val="2DEA4706"/>
    <w:rsid w:val="2DEE32C6"/>
    <w:rsid w:val="2DEE4A39"/>
    <w:rsid w:val="2E08C5A7"/>
    <w:rsid w:val="2E0A6758"/>
    <w:rsid w:val="2E159C42"/>
    <w:rsid w:val="2E261482"/>
    <w:rsid w:val="2E277060"/>
    <w:rsid w:val="2E3603C6"/>
    <w:rsid w:val="2E4C0979"/>
    <w:rsid w:val="2E4E771F"/>
    <w:rsid w:val="2E58FF71"/>
    <w:rsid w:val="2E8086D3"/>
    <w:rsid w:val="2E83CA79"/>
    <w:rsid w:val="2E8B7762"/>
    <w:rsid w:val="2E8E9845"/>
    <w:rsid w:val="2EB6FB9C"/>
    <w:rsid w:val="2EB7CBF1"/>
    <w:rsid w:val="2EBF3608"/>
    <w:rsid w:val="2ECECF9A"/>
    <w:rsid w:val="2EDA0060"/>
    <w:rsid w:val="2EDA85D8"/>
    <w:rsid w:val="2EF7598F"/>
    <w:rsid w:val="2EF92A8B"/>
    <w:rsid w:val="2EFFDCA7"/>
    <w:rsid w:val="2F1A1A25"/>
    <w:rsid w:val="2F35B613"/>
    <w:rsid w:val="2F395336"/>
    <w:rsid w:val="2F4CCB7F"/>
    <w:rsid w:val="2F75B2D7"/>
    <w:rsid w:val="2F780793"/>
    <w:rsid w:val="2F7AA11B"/>
    <w:rsid w:val="2F7F8BB1"/>
    <w:rsid w:val="2F9D37BE"/>
    <w:rsid w:val="2F9E67BC"/>
    <w:rsid w:val="2F9F46A4"/>
    <w:rsid w:val="2FA7AE87"/>
    <w:rsid w:val="2FABC4A7"/>
    <w:rsid w:val="2FAC2D9E"/>
    <w:rsid w:val="2FBC023E"/>
    <w:rsid w:val="2FC04F31"/>
    <w:rsid w:val="2FC245E5"/>
    <w:rsid w:val="2FC7345B"/>
    <w:rsid w:val="2FD3A71C"/>
    <w:rsid w:val="2FD6DD0D"/>
    <w:rsid w:val="2FD735FA"/>
    <w:rsid w:val="2FDBBA40"/>
    <w:rsid w:val="2FE47748"/>
    <w:rsid w:val="300179DF"/>
    <w:rsid w:val="301956F6"/>
    <w:rsid w:val="301F7A47"/>
    <w:rsid w:val="302A7D93"/>
    <w:rsid w:val="302AFD4B"/>
    <w:rsid w:val="30306C04"/>
    <w:rsid w:val="30372F94"/>
    <w:rsid w:val="304BACC3"/>
    <w:rsid w:val="30610409"/>
    <w:rsid w:val="306207EA"/>
    <w:rsid w:val="30688984"/>
    <w:rsid w:val="306D10C4"/>
    <w:rsid w:val="3075783C"/>
    <w:rsid w:val="3075A079"/>
    <w:rsid w:val="30788FFD"/>
    <w:rsid w:val="3093FDB1"/>
    <w:rsid w:val="30986E7F"/>
    <w:rsid w:val="309B9A80"/>
    <w:rsid w:val="309E9D4F"/>
    <w:rsid w:val="309EB05A"/>
    <w:rsid w:val="30A1E8EF"/>
    <w:rsid w:val="30A841C6"/>
    <w:rsid w:val="30BF6CF2"/>
    <w:rsid w:val="30CC2275"/>
    <w:rsid w:val="30D22FB4"/>
    <w:rsid w:val="30E8E5DA"/>
    <w:rsid w:val="30ED320D"/>
    <w:rsid w:val="310326CA"/>
    <w:rsid w:val="310517A8"/>
    <w:rsid w:val="310A4E8C"/>
    <w:rsid w:val="3119EE15"/>
    <w:rsid w:val="31247659"/>
    <w:rsid w:val="312A39D6"/>
    <w:rsid w:val="31331BCB"/>
    <w:rsid w:val="31380B66"/>
    <w:rsid w:val="3146B488"/>
    <w:rsid w:val="3148DFA7"/>
    <w:rsid w:val="31493E2F"/>
    <w:rsid w:val="31526B57"/>
    <w:rsid w:val="3154D997"/>
    <w:rsid w:val="3168789C"/>
    <w:rsid w:val="316AF5D7"/>
    <w:rsid w:val="317AB3E8"/>
    <w:rsid w:val="317D4C7D"/>
    <w:rsid w:val="317EA758"/>
    <w:rsid w:val="318FA642"/>
    <w:rsid w:val="318FAFA2"/>
    <w:rsid w:val="31A11FB6"/>
    <w:rsid w:val="31A418CE"/>
    <w:rsid w:val="31AB475E"/>
    <w:rsid w:val="31BAC28B"/>
    <w:rsid w:val="31CF4B37"/>
    <w:rsid w:val="31D45464"/>
    <w:rsid w:val="31D55F7F"/>
    <w:rsid w:val="31DC2D11"/>
    <w:rsid w:val="31E24CA1"/>
    <w:rsid w:val="31F18596"/>
    <w:rsid w:val="31FBE219"/>
    <w:rsid w:val="320C8D29"/>
    <w:rsid w:val="320FF2DC"/>
    <w:rsid w:val="3217EFC8"/>
    <w:rsid w:val="321A2FD5"/>
    <w:rsid w:val="322BFA6B"/>
    <w:rsid w:val="323B513C"/>
    <w:rsid w:val="32430889"/>
    <w:rsid w:val="32579235"/>
    <w:rsid w:val="3259EF2E"/>
    <w:rsid w:val="326530B5"/>
    <w:rsid w:val="326601D4"/>
    <w:rsid w:val="3268D4E9"/>
    <w:rsid w:val="329672B5"/>
    <w:rsid w:val="329706C2"/>
    <w:rsid w:val="32986ECB"/>
    <w:rsid w:val="32D3EBF5"/>
    <w:rsid w:val="32E2A398"/>
    <w:rsid w:val="32FB307D"/>
    <w:rsid w:val="3305F9CD"/>
    <w:rsid w:val="3310C2C1"/>
    <w:rsid w:val="332998F2"/>
    <w:rsid w:val="332A040B"/>
    <w:rsid w:val="33424C4B"/>
    <w:rsid w:val="33621E55"/>
    <w:rsid w:val="3366CCCC"/>
    <w:rsid w:val="33674D3D"/>
    <w:rsid w:val="336F86D2"/>
    <w:rsid w:val="33761059"/>
    <w:rsid w:val="3379E877"/>
    <w:rsid w:val="3383D3FE"/>
    <w:rsid w:val="3393F0A1"/>
    <w:rsid w:val="33AE916B"/>
    <w:rsid w:val="33B1A91B"/>
    <w:rsid w:val="33B7E21B"/>
    <w:rsid w:val="33B86256"/>
    <w:rsid w:val="33C695E2"/>
    <w:rsid w:val="33C9B895"/>
    <w:rsid w:val="33DB6A60"/>
    <w:rsid w:val="33DBE294"/>
    <w:rsid w:val="33E7FE12"/>
    <w:rsid w:val="33FABECF"/>
    <w:rsid w:val="34034E41"/>
    <w:rsid w:val="341A085F"/>
    <w:rsid w:val="342AC7A3"/>
    <w:rsid w:val="342C477B"/>
    <w:rsid w:val="3432BCAC"/>
    <w:rsid w:val="34357926"/>
    <w:rsid w:val="34423B71"/>
    <w:rsid w:val="3442A21F"/>
    <w:rsid w:val="34490DCF"/>
    <w:rsid w:val="34507F9F"/>
    <w:rsid w:val="345D5819"/>
    <w:rsid w:val="3460BA2C"/>
    <w:rsid w:val="3462D558"/>
    <w:rsid w:val="346ABC8D"/>
    <w:rsid w:val="3472EAA0"/>
    <w:rsid w:val="34860370"/>
    <w:rsid w:val="3495B548"/>
    <w:rsid w:val="34ADE9FF"/>
    <w:rsid w:val="34B6CF2B"/>
    <w:rsid w:val="34B8C87C"/>
    <w:rsid w:val="34B9AEA2"/>
    <w:rsid w:val="34CF6F7C"/>
    <w:rsid w:val="34D5CC67"/>
    <w:rsid w:val="34DF5339"/>
    <w:rsid w:val="34E061B6"/>
    <w:rsid w:val="34F80600"/>
    <w:rsid w:val="34F8472B"/>
    <w:rsid w:val="35156558"/>
    <w:rsid w:val="351E9459"/>
    <w:rsid w:val="353D5146"/>
    <w:rsid w:val="353D7691"/>
    <w:rsid w:val="3542990E"/>
    <w:rsid w:val="354603F4"/>
    <w:rsid w:val="35484E0D"/>
    <w:rsid w:val="354DC9C0"/>
    <w:rsid w:val="354FDA0E"/>
    <w:rsid w:val="3557FBCA"/>
    <w:rsid w:val="3561A6F4"/>
    <w:rsid w:val="356EA68A"/>
    <w:rsid w:val="356EE8C2"/>
    <w:rsid w:val="357552D6"/>
    <w:rsid w:val="357737E6"/>
    <w:rsid w:val="359237F9"/>
    <w:rsid w:val="35A27496"/>
    <w:rsid w:val="35ABFA59"/>
    <w:rsid w:val="35B19665"/>
    <w:rsid w:val="35B9CD6A"/>
    <w:rsid w:val="35BE2783"/>
    <w:rsid w:val="35C41217"/>
    <w:rsid w:val="35C60A55"/>
    <w:rsid w:val="35C83AE2"/>
    <w:rsid w:val="35C9A4DF"/>
    <w:rsid w:val="35D1FBE1"/>
    <w:rsid w:val="35F8ADAB"/>
    <w:rsid w:val="35F920C1"/>
    <w:rsid w:val="360A35DD"/>
    <w:rsid w:val="3611793C"/>
    <w:rsid w:val="3613972C"/>
    <w:rsid w:val="362B7449"/>
    <w:rsid w:val="362ECB69"/>
    <w:rsid w:val="363F8FA5"/>
    <w:rsid w:val="364440D2"/>
    <w:rsid w:val="364A4461"/>
    <w:rsid w:val="364C6EE9"/>
    <w:rsid w:val="36538AF8"/>
    <w:rsid w:val="365E9212"/>
    <w:rsid w:val="3660E84F"/>
    <w:rsid w:val="366CD952"/>
    <w:rsid w:val="3676993E"/>
    <w:rsid w:val="367B2BDE"/>
    <w:rsid w:val="36954287"/>
    <w:rsid w:val="3695EE12"/>
    <w:rsid w:val="369A2FE7"/>
    <w:rsid w:val="369B6747"/>
    <w:rsid w:val="369DB994"/>
    <w:rsid w:val="36B4155C"/>
    <w:rsid w:val="36BD8037"/>
    <w:rsid w:val="36CB3D78"/>
    <w:rsid w:val="36E513B6"/>
    <w:rsid w:val="36E65C32"/>
    <w:rsid w:val="36F78C46"/>
    <w:rsid w:val="37065CC1"/>
    <w:rsid w:val="3719434C"/>
    <w:rsid w:val="372266E8"/>
    <w:rsid w:val="374BE495"/>
    <w:rsid w:val="375640CA"/>
    <w:rsid w:val="375D6216"/>
    <w:rsid w:val="377544DB"/>
    <w:rsid w:val="37816CDC"/>
    <w:rsid w:val="3784E809"/>
    <w:rsid w:val="37882D95"/>
    <w:rsid w:val="378BABFF"/>
    <w:rsid w:val="378E812E"/>
    <w:rsid w:val="3790F71A"/>
    <w:rsid w:val="379DA94C"/>
    <w:rsid w:val="37AAAC4E"/>
    <w:rsid w:val="37AC392B"/>
    <w:rsid w:val="37C2D7F4"/>
    <w:rsid w:val="37C92C1E"/>
    <w:rsid w:val="37CEBA53"/>
    <w:rsid w:val="37E433E4"/>
    <w:rsid w:val="37E83503"/>
    <w:rsid w:val="37E83F4A"/>
    <w:rsid w:val="37F7BCB1"/>
    <w:rsid w:val="380CAB34"/>
    <w:rsid w:val="380CDE35"/>
    <w:rsid w:val="3812699F"/>
    <w:rsid w:val="38171FD5"/>
    <w:rsid w:val="382A3E56"/>
    <w:rsid w:val="38330C9A"/>
    <w:rsid w:val="38372A0F"/>
    <w:rsid w:val="383D70CB"/>
    <w:rsid w:val="3840957D"/>
    <w:rsid w:val="3842837E"/>
    <w:rsid w:val="3852C0A2"/>
    <w:rsid w:val="3857FE0C"/>
    <w:rsid w:val="38786BFC"/>
    <w:rsid w:val="387D1D13"/>
    <w:rsid w:val="388AAC41"/>
    <w:rsid w:val="3890EED2"/>
    <w:rsid w:val="3898BB9C"/>
    <w:rsid w:val="38B24A98"/>
    <w:rsid w:val="38BAD9B4"/>
    <w:rsid w:val="38BD1F76"/>
    <w:rsid w:val="38BDF282"/>
    <w:rsid w:val="38C190D4"/>
    <w:rsid w:val="38C4B2D7"/>
    <w:rsid w:val="38C934F0"/>
    <w:rsid w:val="38CB412B"/>
    <w:rsid w:val="38D1AE70"/>
    <w:rsid w:val="38DCA03B"/>
    <w:rsid w:val="38DE1732"/>
    <w:rsid w:val="38E46AE3"/>
    <w:rsid w:val="38E557D8"/>
    <w:rsid w:val="38EA6204"/>
    <w:rsid w:val="38ED4080"/>
    <w:rsid w:val="38FA9E53"/>
    <w:rsid w:val="3903FC45"/>
    <w:rsid w:val="39093993"/>
    <w:rsid w:val="390DCBC1"/>
    <w:rsid w:val="391412FD"/>
    <w:rsid w:val="39181A62"/>
    <w:rsid w:val="391AB34D"/>
    <w:rsid w:val="3928404E"/>
    <w:rsid w:val="392BF68C"/>
    <w:rsid w:val="3932A825"/>
    <w:rsid w:val="393508FC"/>
    <w:rsid w:val="393551A8"/>
    <w:rsid w:val="3940BDA6"/>
    <w:rsid w:val="394BA4FF"/>
    <w:rsid w:val="3955717E"/>
    <w:rsid w:val="3973E5EE"/>
    <w:rsid w:val="39744D14"/>
    <w:rsid w:val="3983E721"/>
    <w:rsid w:val="3983EEA6"/>
    <w:rsid w:val="398B5032"/>
    <w:rsid w:val="3992C447"/>
    <w:rsid w:val="399859FB"/>
    <w:rsid w:val="399C1D07"/>
    <w:rsid w:val="39B17A33"/>
    <w:rsid w:val="39B60C00"/>
    <w:rsid w:val="39B65626"/>
    <w:rsid w:val="39C13A86"/>
    <w:rsid w:val="39D10281"/>
    <w:rsid w:val="39D7D491"/>
    <w:rsid w:val="39D83076"/>
    <w:rsid w:val="39E4C26E"/>
    <w:rsid w:val="39F5841C"/>
    <w:rsid w:val="39F87EFF"/>
    <w:rsid w:val="3A018201"/>
    <w:rsid w:val="3A072ACC"/>
    <w:rsid w:val="3A16BBF7"/>
    <w:rsid w:val="3A1A7222"/>
    <w:rsid w:val="3A246A71"/>
    <w:rsid w:val="3A2773AA"/>
    <w:rsid w:val="3A291BEB"/>
    <w:rsid w:val="3A3ED7BA"/>
    <w:rsid w:val="3A4763B6"/>
    <w:rsid w:val="3A4E9B40"/>
    <w:rsid w:val="3A51F451"/>
    <w:rsid w:val="3A583751"/>
    <w:rsid w:val="3A63B5E0"/>
    <w:rsid w:val="3A651D7D"/>
    <w:rsid w:val="3A6735E4"/>
    <w:rsid w:val="3A6939A8"/>
    <w:rsid w:val="3A6C2CED"/>
    <w:rsid w:val="3A6D5902"/>
    <w:rsid w:val="3A717B50"/>
    <w:rsid w:val="3A731ACC"/>
    <w:rsid w:val="3A763DCC"/>
    <w:rsid w:val="3A7C7BC2"/>
    <w:rsid w:val="3A7DD2B9"/>
    <w:rsid w:val="3A827305"/>
    <w:rsid w:val="3A919AB3"/>
    <w:rsid w:val="3A94596B"/>
    <w:rsid w:val="3A98E15F"/>
    <w:rsid w:val="3AB17CF5"/>
    <w:rsid w:val="3AB71646"/>
    <w:rsid w:val="3AB7356A"/>
    <w:rsid w:val="3AB9B22B"/>
    <w:rsid w:val="3ABF94F4"/>
    <w:rsid w:val="3AC6C7D0"/>
    <w:rsid w:val="3ACB765F"/>
    <w:rsid w:val="3AD31520"/>
    <w:rsid w:val="3ADCC45F"/>
    <w:rsid w:val="3AE0ED23"/>
    <w:rsid w:val="3AE3580B"/>
    <w:rsid w:val="3AE6949D"/>
    <w:rsid w:val="3AEA79C2"/>
    <w:rsid w:val="3AEF52A9"/>
    <w:rsid w:val="3AF4752B"/>
    <w:rsid w:val="3AFCB2B0"/>
    <w:rsid w:val="3AFE8809"/>
    <w:rsid w:val="3B045B60"/>
    <w:rsid w:val="3B0E5836"/>
    <w:rsid w:val="3B11CF42"/>
    <w:rsid w:val="3B168737"/>
    <w:rsid w:val="3B18487C"/>
    <w:rsid w:val="3B2CFAE1"/>
    <w:rsid w:val="3B2D2B98"/>
    <w:rsid w:val="3B3ED760"/>
    <w:rsid w:val="3B3EEEC5"/>
    <w:rsid w:val="3B493DB5"/>
    <w:rsid w:val="3B541CB9"/>
    <w:rsid w:val="3B54294C"/>
    <w:rsid w:val="3B664BB8"/>
    <w:rsid w:val="3B787982"/>
    <w:rsid w:val="3B7C8CD8"/>
    <w:rsid w:val="3B80E04D"/>
    <w:rsid w:val="3B87521E"/>
    <w:rsid w:val="3B964133"/>
    <w:rsid w:val="3B999B6B"/>
    <w:rsid w:val="3B9CAA80"/>
    <w:rsid w:val="3B9D3D86"/>
    <w:rsid w:val="3BA234B7"/>
    <w:rsid w:val="3BA32615"/>
    <w:rsid w:val="3BA44DC4"/>
    <w:rsid w:val="3BA4D07D"/>
    <w:rsid w:val="3BA59925"/>
    <w:rsid w:val="3BA8F25A"/>
    <w:rsid w:val="3BB0A8F3"/>
    <w:rsid w:val="3BB65609"/>
    <w:rsid w:val="3BBF3D61"/>
    <w:rsid w:val="3BD363FF"/>
    <w:rsid w:val="3BE077B2"/>
    <w:rsid w:val="3BF07F02"/>
    <w:rsid w:val="3BF0D8C2"/>
    <w:rsid w:val="3C10D5C9"/>
    <w:rsid w:val="3C10DB23"/>
    <w:rsid w:val="3C21720C"/>
    <w:rsid w:val="3C29C14F"/>
    <w:rsid w:val="3C4ACFFA"/>
    <w:rsid w:val="3C4DF799"/>
    <w:rsid w:val="3C54B56D"/>
    <w:rsid w:val="3C55A352"/>
    <w:rsid w:val="3C6586C4"/>
    <w:rsid w:val="3C69F0B3"/>
    <w:rsid w:val="3C6CA0C3"/>
    <w:rsid w:val="3C78967E"/>
    <w:rsid w:val="3C78FD0E"/>
    <w:rsid w:val="3C811AA8"/>
    <w:rsid w:val="3C86155F"/>
    <w:rsid w:val="3C9D251A"/>
    <w:rsid w:val="3CBA31D6"/>
    <w:rsid w:val="3CBB4B0A"/>
    <w:rsid w:val="3CCE20C5"/>
    <w:rsid w:val="3CD0BB40"/>
    <w:rsid w:val="3CDBB9A2"/>
    <w:rsid w:val="3CE74947"/>
    <w:rsid w:val="3CEFD70E"/>
    <w:rsid w:val="3CF8F42E"/>
    <w:rsid w:val="3D08E6CB"/>
    <w:rsid w:val="3D0FD2B6"/>
    <w:rsid w:val="3D12D549"/>
    <w:rsid w:val="3D13224C"/>
    <w:rsid w:val="3D1A77ED"/>
    <w:rsid w:val="3D3A96E1"/>
    <w:rsid w:val="3D43B347"/>
    <w:rsid w:val="3D49A0BD"/>
    <w:rsid w:val="3D51DE4E"/>
    <w:rsid w:val="3D588B61"/>
    <w:rsid w:val="3D6E05C0"/>
    <w:rsid w:val="3D72EA8E"/>
    <w:rsid w:val="3D81BBE0"/>
    <w:rsid w:val="3D9228EC"/>
    <w:rsid w:val="3D9861C5"/>
    <w:rsid w:val="3D9EAF27"/>
    <w:rsid w:val="3DA15D62"/>
    <w:rsid w:val="3DAB4E8E"/>
    <w:rsid w:val="3DAFF4BE"/>
    <w:rsid w:val="3DB0D412"/>
    <w:rsid w:val="3DD372BB"/>
    <w:rsid w:val="3DD8A817"/>
    <w:rsid w:val="3DDE5126"/>
    <w:rsid w:val="3DEBC67E"/>
    <w:rsid w:val="3DFD4508"/>
    <w:rsid w:val="3E0C202C"/>
    <w:rsid w:val="3E0C8AEC"/>
    <w:rsid w:val="3E0F0F60"/>
    <w:rsid w:val="3E1194EB"/>
    <w:rsid w:val="3E14D201"/>
    <w:rsid w:val="3E1DEEA1"/>
    <w:rsid w:val="3E25F822"/>
    <w:rsid w:val="3E35221E"/>
    <w:rsid w:val="3E464CF8"/>
    <w:rsid w:val="3E468265"/>
    <w:rsid w:val="3E49F8F6"/>
    <w:rsid w:val="3E802892"/>
    <w:rsid w:val="3E81A2BB"/>
    <w:rsid w:val="3EA1AE8A"/>
    <w:rsid w:val="3EA97424"/>
    <w:rsid w:val="3EAFAB2D"/>
    <w:rsid w:val="3EB2679E"/>
    <w:rsid w:val="3EC1A45F"/>
    <w:rsid w:val="3EC8F9AD"/>
    <w:rsid w:val="3ECD3F6D"/>
    <w:rsid w:val="3EE473FD"/>
    <w:rsid w:val="3EE67873"/>
    <w:rsid w:val="3F00802B"/>
    <w:rsid w:val="3F07599D"/>
    <w:rsid w:val="3F1338B6"/>
    <w:rsid w:val="3F1C21BC"/>
    <w:rsid w:val="3F1E2FE5"/>
    <w:rsid w:val="3F2A28A7"/>
    <w:rsid w:val="3F2B8A3B"/>
    <w:rsid w:val="3F30CE0F"/>
    <w:rsid w:val="3F32C191"/>
    <w:rsid w:val="3F4627F9"/>
    <w:rsid w:val="3F4BEC62"/>
    <w:rsid w:val="3F4C2975"/>
    <w:rsid w:val="3F4C92FF"/>
    <w:rsid w:val="3F4FD3C2"/>
    <w:rsid w:val="3F543568"/>
    <w:rsid w:val="3F549112"/>
    <w:rsid w:val="3F5A1161"/>
    <w:rsid w:val="3F711220"/>
    <w:rsid w:val="3F7F54C8"/>
    <w:rsid w:val="3F8DD1D7"/>
    <w:rsid w:val="3F95CB8C"/>
    <w:rsid w:val="3F9B98B1"/>
    <w:rsid w:val="3FA1CBB7"/>
    <w:rsid w:val="3FA9947F"/>
    <w:rsid w:val="3FB00C97"/>
    <w:rsid w:val="3FD2806E"/>
    <w:rsid w:val="3FDC7DE4"/>
    <w:rsid w:val="3FF473A4"/>
    <w:rsid w:val="3FFFEB89"/>
    <w:rsid w:val="4002A2AA"/>
    <w:rsid w:val="400512E8"/>
    <w:rsid w:val="401071FC"/>
    <w:rsid w:val="4020816B"/>
    <w:rsid w:val="403D3270"/>
    <w:rsid w:val="403DFD45"/>
    <w:rsid w:val="40457B96"/>
    <w:rsid w:val="404B8B37"/>
    <w:rsid w:val="405B22FB"/>
    <w:rsid w:val="40628AD2"/>
    <w:rsid w:val="406EDD98"/>
    <w:rsid w:val="40799E9C"/>
    <w:rsid w:val="408B9ED4"/>
    <w:rsid w:val="409A7175"/>
    <w:rsid w:val="40A5ACC9"/>
    <w:rsid w:val="40B3566C"/>
    <w:rsid w:val="40B39EA8"/>
    <w:rsid w:val="40C656A8"/>
    <w:rsid w:val="40C7AB59"/>
    <w:rsid w:val="40D7162D"/>
    <w:rsid w:val="40EDA8E6"/>
    <w:rsid w:val="40FA3691"/>
    <w:rsid w:val="4114AE88"/>
    <w:rsid w:val="41155F63"/>
    <w:rsid w:val="4118C0F1"/>
    <w:rsid w:val="411A50BC"/>
    <w:rsid w:val="4125CC76"/>
    <w:rsid w:val="41299990"/>
    <w:rsid w:val="4132FC59"/>
    <w:rsid w:val="4145C0CE"/>
    <w:rsid w:val="414B9CDA"/>
    <w:rsid w:val="414BA6C7"/>
    <w:rsid w:val="41607757"/>
    <w:rsid w:val="4164C5DD"/>
    <w:rsid w:val="416BE857"/>
    <w:rsid w:val="4177F828"/>
    <w:rsid w:val="41825797"/>
    <w:rsid w:val="418882C4"/>
    <w:rsid w:val="41932861"/>
    <w:rsid w:val="419429FB"/>
    <w:rsid w:val="41AFA38A"/>
    <w:rsid w:val="41B93196"/>
    <w:rsid w:val="41C83EFB"/>
    <w:rsid w:val="41CDD0DE"/>
    <w:rsid w:val="41D234DD"/>
    <w:rsid w:val="41D3A819"/>
    <w:rsid w:val="41DCC853"/>
    <w:rsid w:val="41E14BF7"/>
    <w:rsid w:val="41F41AA3"/>
    <w:rsid w:val="41FD68B1"/>
    <w:rsid w:val="4203F00D"/>
    <w:rsid w:val="42070CCC"/>
    <w:rsid w:val="420AC8B1"/>
    <w:rsid w:val="42122AFC"/>
    <w:rsid w:val="421BA2AF"/>
    <w:rsid w:val="421C8B2A"/>
    <w:rsid w:val="422365F7"/>
    <w:rsid w:val="42261A55"/>
    <w:rsid w:val="4226B15C"/>
    <w:rsid w:val="422869D9"/>
    <w:rsid w:val="422F4178"/>
    <w:rsid w:val="4232A27C"/>
    <w:rsid w:val="423475D0"/>
    <w:rsid w:val="4249EBB9"/>
    <w:rsid w:val="424DDC73"/>
    <w:rsid w:val="425BBF17"/>
    <w:rsid w:val="4260E6AA"/>
    <w:rsid w:val="42614354"/>
    <w:rsid w:val="42764D8E"/>
    <w:rsid w:val="42771C19"/>
    <w:rsid w:val="4282914E"/>
    <w:rsid w:val="4287E443"/>
    <w:rsid w:val="428B2489"/>
    <w:rsid w:val="42A3667D"/>
    <w:rsid w:val="42A7F43C"/>
    <w:rsid w:val="42A90AE6"/>
    <w:rsid w:val="42B2B274"/>
    <w:rsid w:val="42B743E1"/>
    <w:rsid w:val="42BF8036"/>
    <w:rsid w:val="42BFF6D1"/>
    <w:rsid w:val="42C99D0E"/>
    <w:rsid w:val="42CA620F"/>
    <w:rsid w:val="42CA9B49"/>
    <w:rsid w:val="42DD7F8E"/>
    <w:rsid w:val="42E5EA86"/>
    <w:rsid w:val="42E65D1E"/>
    <w:rsid w:val="42EB64A0"/>
    <w:rsid w:val="42FAC403"/>
    <w:rsid w:val="430F10BA"/>
    <w:rsid w:val="43181D5C"/>
    <w:rsid w:val="4328505F"/>
    <w:rsid w:val="432B949B"/>
    <w:rsid w:val="433360D5"/>
    <w:rsid w:val="433F2932"/>
    <w:rsid w:val="433F8CA0"/>
    <w:rsid w:val="43449F81"/>
    <w:rsid w:val="43525DA9"/>
    <w:rsid w:val="4352E55F"/>
    <w:rsid w:val="435597D3"/>
    <w:rsid w:val="435C903A"/>
    <w:rsid w:val="435F3AC3"/>
    <w:rsid w:val="43620F1A"/>
    <w:rsid w:val="4363F97D"/>
    <w:rsid w:val="436AA6B6"/>
    <w:rsid w:val="4372586A"/>
    <w:rsid w:val="438759C1"/>
    <w:rsid w:val="439DA3C2"/>
    <w:rsid w:val="43A66E5D"/>
    <w:rsid w:val="43BEA303"/>
    <w:rsid w:val="43C21410"/>
    <w:rsid w:val="43C2A21C"/>
    <w:rsid w:val="43CB2157"/>
    <w:rsid w:val="43CB2D6E"/>
    <w:rsid w:val="43CBECC5"/>
    <w:rsid w:val="43D55019"/>
    <w:rsid w:val="43E36A7E"/>
    <w:rsid w:val="43EE2091"/>
    <w:rsid w:val="43F1D30D"/>
    <w:rsid w:val="43F7F1DE"/>
    <w:rsid w:val="44006D1F"/>
    <w:rsid w:val="4406BD95"/>
    <w:rsid w:val="44092BCC"/>
    <w:rsid w:val="4415BE49"/>
    <w:rsid w:val="44206A4A"/>
    <w:rsid w:val="44358EDD"/>
    <w:rsid w:val="4436460A"/>
    <w:rsid w:val="4443A7C0"/>
    <w:rsid w:val="445552B4"/>
    <w:rsid w:val="445619EB"/>
    <w:rsid w:val="445ED624"/>
    <w:rsid w:val="445F1D80"/>
    <w:rsid w:val="4465E2B0"/>
    <w:rsid w:val="446730AE"/>
    <w:rsid w:val="4468A2C8"/>
    <w:rsid w:val="44787CD1"/>
    <w:rsid w:val="447A444D"/>
    <w:rsid w:val="448202DC"/>
    <w:rsid w:val="4490BBEC"/>
    <w:rsid w:val="4499E9B0"/>
    <w:rsid w:val="44A7E26F"/>
    <w:rsid w:val="44BAD85F"/>
    <w:rsid w:val="44C2B728"/>
    <w:rsid w:val="44C86A24"/>
    <w:rsid w:val="44DFC681"/>
    <w:rsid w:val="44E80E5D"/>
    <w:rsid w:val="44E889AB"/>
    <w:rsid w:val="4500D052"/>
    <w:rsid w:val="4502C95F"/>
    <w:rsid w:val="450F64E2"/>
    <w:rsid w:val="4515BAB0"/>
    <w:rsid w:val="451DD925"/>
    <w:rsid w:val="451E54F7"/>
    <w:rsid w:val="452A03FF"/>
    <w:rsid w:val="4531B6F7"/>
    <w:rsid w:val="4532169A"/>
    <w:rsid w:val="453A8303"/>
    <w:rsid w:val="453ACF1A"/>
    <w:rsid w:val="453DB5AF"/>
    <w:rsid w:val="454168C0"/>
    <w:rsid w:val="4546F4C6"/>
    <w:rsid w:val="454C3E5B"/>
    <w:rsid w:val="455651DA"/>
    <w:rsid w:val="45595F6F"/>
    <w:rsid w:val="4561B71A"/>
    <w:rsid w:val="4561B90A"/>
    <w:rsid w:val="45653471"/>
    <w:rsid w:val="45671D18"/>
    <w:rsid w:val="456B8F5D"/>
    <w:rsid w:val="456D2EB7"/>
    <w:rsid w:val="45734026"/>
    <w:rsid w:val="45782ECA"/>
    <w:rsid w:val="457FC030"/>
    <w:rsid w:val="458F5681"/>
    <w:rsid w:val="459084A3"/>
    <w:rsid w:val="459115AA"/>
    <w:rsid w:val="459B9733"/>
    <w:rsid w:val="45B68EA2"/>
    <w:rsid w:val="45C38F69"/>
    <w:rsid w:val="45D562BD"/>
    <w:rsid w:val="45E77749"/>
    <w:rsid w:val="45E7C410"/>
    <w:rsid w:val="45EC6754"/>
    <w:rsid w:val="46057396"/>
    <w:rsid w:val="460D5419"/>
    <w:rsid w:val="461EAFCC"/>
    <w:rsid w:val="46290086"/>
    <w:rsid w:val="4630CF3B"/>
    <w:rsid w:val="464E00A5"/>
    <w:rsid w:val="4655E7DD"/>
    <w:rsid w:val="4658FA08"/>
    <w:rsid w:val="46635EF3"/>
    <w:rsid w:val="466BEAA0"/>
    <w:rsid w:val="46745A7B"/>
    <w:rsid w:val="46782D2E"/>
    <w:rsid w:val="467EA619"/>
    <w:rsid w:val="468849D7"/>
    <w:rsid w:val="468926EF"/>
    <w:rsid w:val="468C7032"/>
    <w:rsid w:val="4699EA13"/>
    <w:rsid w:val="46A0838E"/>
    <w:rsid w:val="46A321F3"/>
    <w:rsid w:val="46A8721F"/>
    <w:rsid w:val="46A89694"/>
    <w:rsid w:val="46A9306F"/>
    <w:rsid w:val="46B04818"/>
    <w:rsid w:val="46C8D761"/>
    <w:rsid w:val="46DA7A67"/>
    <w:rsid w:val="46E2F5DF"/>
    <w:rsid w:val="46E68439"/>
    <w:rsid w:val="46EEAE18"/>
    <w:rsid w:val="46F0DD05"/>
    <w:rsid w:val="46F920D9"/>
    <w:rsid w:val="4705E155"/>
    <w:rsid w:val="4709DD8E"/>
    <w:rsid w:val="47151C3C"/>
    <w:rsid w:val="471D6284"/>
    <w:rsid w:val="4721563C"/>
    <w:rsid w:val="47247943"/>
    <w:rsid w:val="472973CF"/>
    <w:rsid w:val="472BCF51"/>
    <w:rsid w:val="473D25A6"/>
    <w:rsid w:val="4741BD4A"/>
    <w:rsid w:val="474229A2"/>
    <w:rsid w:val="4746CF7D"/>
    <w:rsid w:val="474CA330"/>
    <w:rsid w:val="4752FCE6"/>
    <w:rsid w:val="475D634F"/>
    <w:rsid w:val="47620D2E"/>
    <w:rsid w:val="47625DCC"/>
    <w:rsid w:val="476973D2"/>
    <w:rsid w:val="476C0203"/>
    <w:rsid w:val="476FBEA7"/>
    <w:rsid w:val="4771228B"/>
    <w:rsid w:val="4777D06B"/>
    <w:rsid w:val="4796450E"/>
    <w:rsid w:val="47A40911"/>
    <w:rsid w:val="47C76745"/>
    <w:rsid w:val="47CAFECF"/>
    <w:rsid w:val="47D3790D"/>
    <w:rsid w:val="47E14414"/>
    <w:rsid w:val="47F5B6FF"/>
    <w:rsid w:val="47FFB7E5"/>
    <w:rsid w:val="480ACA5A"/>
    <w:rsid w:val="48192C77"/>
    <w:rsid w:val="482D21B8"/>
    <w:rsid w:val="483141A4"/>
    <w:rsid w:val="483CCA9E"/>
    <w:rsid w:val="4843EACE"/>
    <w:rsid w:val="48443BCA"/>
    <w:rsid w:val="4846D655"/>
    <w:rsid w:val="4853B5F8"/>
    <w:rsid w:val="4872AE8C"/>
    <w:rsid w:val="487BB0B4"/>
    <w:rsid w:val="4881CC7F"/>
    <w:rsid w:val="4886E1BE"/>
    <w:rsid w:val="4892643F"/>
    <w:rsid w:val="489F0650"/>
    <w:rsid w:val="48A13560"/>
    <w:rsid w:val="48A871BC"/>
    <w:rsid w:val="48B383E6"/>
    <w:rsid w:val="48BCB9F1"/>
    <w:rsid w:val="48C30B32"/>
    <w:rsid w:val="48C7E8CE"/>
    <w:rsid w:val="48CBD561"/>
    <w:rsid w:val="48E7DC74"/>
    <w:rsid w:val="49020E71"/>
    <w:rsid w:val="4907D975"/>
    <w:rsid w:val="49084BB3"/>
    <w:rsid w:val="4912A801"/>
    <w:rsid w:val="4917B133"/>
    <w:rsid w:val="491C1361"/>
    <w:rsid w:val="492528A7"/>
    <w:rsid w:val="492E5563"/>
    <w:rsid w:val="493D684A"/>
    <w:rsid w:val="493F3323"/>
    <w:rsid w:val="4948AFEA"/>
    <w:rsid w:val="49614C14"/>
    <w:rsid w:val="49655A54"/>
    <w:rsid w:val="49691C91"/>
    <w:rsid w:val="496A5C18"/>
    <w:rsid w:val="496CC043"/>
    <w:rsid w:val="4975DDE9"/>
    <w:rsid w:val="49A56026"/>
    <w:rsid w:val="49AE25E9"/>
    <w:rsid w:val="49AEA7EB"/>
    <w:rsid w:val="49BA5B61"/>
    <w:rsid w:val="49C2D4CB"/>
    <w:rsid w:val="49C46B5F"/>
    <w:rsid w:val="49D61998"/>
    <w:rsid w:val="49E7EF6E"/>
    <w:rsid w:val="49FBF373"/>
    <w:rsid w:val="4A03B2C9"/>
    <w:rsid w:val="4A048FB0"/>
    <w:rsid w:val="4A0DD80A"/>
    <w:rsid w:val="4A0E4E4F"/>
    <w:rsid w:val="4A1126D2"/>
    <w:rsid w:val="4A15118F"/>
    <w:rsid w:val="4A19867B"/>
    <w:rsid w:val="4A1F6712"/>
    <w:rsid w:val="4A1F871F"/>
    <w:rsid w:val="4A2B5560"/>
    <w:rsid w:val="4A2FE3E5"/>
    <w:rsid w:val="4A316ED4"/>
    <w:rsid w:val="4A373455"/>
    <w:rsid w:val="4A39C634"/>
    <w:rsid w:val="4A3B2A68"/>
    <w:rsid w:val="4A3DC3B1"/>
    <w:rsid w:val="4A415808"/>
    <w:rsid w:val="4A435856"/>
    <w:rsid w:val="4A620B98"/>
    <w:rsid w:val="4A66A986"/>
    <w:rsid w:val="4A684A65"/>
    <w:rsid w:val="4A6999B8"/>
    <w:rsid w:val="4A76AA0E"/>
    <w:rsid w:val="4A807C13"/>
    <w:rsid w:val="4A96205C"/>
    <w:rsid w:val="4AABA590"/>
    <w:rsid w:val="4AAD619F"/>
    <w:rsid w:val="4AAE6386"/>
    <w:rsid w:val="4AB451FA"/>
    <w:rsid w:val="4AC82014"/>
    <w:rsid w:val="4ACC0C6F"/>
    <w:rsid w:val="4ACC7A19"/>
    <w:rsid w:val="4AD46525"/>
    <w:rsid w:val="4ADBF00C"/>
    <w:rsid w:val="4AE16221"/>
    <w:rsid w:val="4AED8E5F"/>
    <w:rsid w:val="4AF47977"/>
    <w:rsid w:val="4AF8CD6B"/>
    <w:rsid w:val="4AF8F350"/>
    <w:rsid w:val="4AFA79ED"/>
    <w:rsid w:val="4B086A87"/>
    <w:rsid w:val="4B08AAF7"/>
    <w:rsid w:val="4B12D302"/>
    <w:rsid w:val="4B1DF192"/>
    <w:rsid w:val="4B20416D"/>
    <w:rsid w:val="4B2CAA71"/>
    <w:rsid w:val="4B2E512E"/>
    <w:rsid w:val="4B2F5F5D"/>
    <w:rsid w:val="4B4AAD5E"/>
    <w:rsid w:val="4B4BB524"/>
    <w:rsid w:val="4B59D06C"/>
    <w:rsid w:val="4B615644"/>
    <w:rsid w:val="4B65D5A2"/>
    <w:rsid w:val="4B673124"/>
    <w:rsid w:val="4B6CDFCE"/>
    <w:rsid w:val="4B7BCB58"/>
    <w:rsid w:val="4B8B56BA"/>
    <w:rsid w:val="4B8CA31E"/>
    <w:rsid w:val="4B8D914A"/>
    <w:rsid w:val="4B9344B8"/>
    <w:rsid w:val="4B96A79A"/>
    <w:rsid w:val="4BA0F75F"/>
    <w:rsid w:val="4BB167ED"/>
    <w:rsid w:val="4BB20A2F"/>
    <w:rsid w:val="4BC8DFCA"/>
    <w:rsid w:val="4BD1143B"/>
    <w:rsid w:val="4BD391D2"/>
    <w:rsid w:val="4BE19D2E"/>
    <w:rsid w:val="4BE7DB83"/>
    <w:rsid w:val="4BEB2749"/>
    <w:rsid w:val="4BF7C692"/>
    <w:rsid w:val="4C0064B5"/>
    <w:rsid w:val="4C031C96"/>
    <w:rsid w:val="4C032D55"/>
    <w:rsid w:val="4C04C9E8"/>
    <w:rsid w:val="4C0BA44D"/>
    <w:rsid w:val="4C1216AC"/>
    <w:rsid w:val="4C13447A"/>
    <w:rsid w:val="4C1E1C7F"/>
    <w:rsid w:val="4C1F2F2A"/>
    <w:rsid w:val="4C2728CF"/>
    <w:rsid w:val="4C284036"/>
    <w:rsid w:val="4C3792F1"/>
    <w:rsid w:val="4C3B2760"/>
    <w:rsid w:val="4C444442"/>
    <w:rsid w:val="4C58AD32"/>
    <w:rsid w:val="4C5BA7E7"/>
    <w:rsid w:val="4C5BBBCD"/>
    <w:rsid w:val="4C63A832"/>
    <w:rsid w:val="4C70F868"/>
    <w:rsid w:val="4C724B2D"/>
    <w:rsid w:val="4C73C1B4"/>
    <w:rsid w:val="4C7A8DE2"/>
    <w:rsid w:val="4C7B6B4D"/>
    <w:rsid w:val="4C7BB341"/>
    <w:rsid w:val="4C85CF26"/>
    <w:rsid w:val="4C90FBED"/>
    <w:rsid w:val="4C9B6C30"/>
    <w:rsid w:val="4CAF5699"/>
    <w:rsid w:val="4CB21839"/>
    <w:rsid w:val="4CD08A54"/>
    <w:rsid w:val="4CD4F9F4"/>
    <w:rsid w:val="4CD88F47"/>
    <w:rsid w:val="4CE5A79D"/>
    <w:rsid w:val="4CE7ED3E"/>
    <w:rsid w:val="4CF132D1"/>
    <w:rsid w:val="4CF2E403"/>
    <w:rsid w:val="4CF73331"/>
    <w:rsid w:val="4CF8D20D"/>
    <w:rsid w:val="4CFCC45C"/>
    <w:rsid w:val="4D003222"/>
    <w:rsid w:val="4D02C7A1"/>
    <w:rsid w:val="4D049FFE"/>
    <w:rsid w:val="4D05C92A"/>
    <w:rsid w:val="4D0B58F6"/>
    <w:rsid w:val="4D10B62C"/>
    <w:rsid w:val="4D1FE912"/>
    <w:rsid w:val="4D2BB6B2"/>
    <w:rsid w:val="4D2BC798"/>
    <w:rsid w:val="4D2F976A"/>
    <w:rsid w:val="4D397CC6"/>
    <w:rsid w:val="4D40244A"/>
    <w:rsid w:val="4D4E64DD"/>
    <w:rsid w:val="4D5B5583"/>
    <w:rsid w:val="4D5F9BF6"/>
    <w:rsid w:val="4D659FFD"/>
    <w:rsid w:val="4D671A62"/>
    <w:rsid w:val="4D682C07"/>
    <w:rsid w:val="4D6BB625"/>
    <w:rsid w:val="4D7A3688"/>
    <w:rsid w:val="4D89434E"/>
    <w:rsid w:val="4D914E54"/>
    <w:rsid w:val="4D92D123"/>
    <w:rsid w:val="4D994ECD"/>
    <w:rsid w:val="4DA5F1AB"/>
    <w:rsid w:val="4DCA644A"/>
    <w:rsid w:val="4DE4E2AD"/>
    <w:rsid w:val="4DF328F5"/>
    <w:rsid w:val="4DF32CEE"/>
    <w:rsid w:val="4E13CCCC"/>
    <w:rsid w:val="4E167C1F"/>
    <w:rsid w:val="4E1F73D7"/>
    <w:rsid w:val="4E25AA93"/>
    <w:rsid w:val="4E25FE53"/>
    <w:rsid w:val="4E285F91"/>
    <w:rsid w:val="4E2EB52E"/>
    <w:rsid w:val="4E300AE2"/>
    <w:rsid w:val="4E30119F"/>
    <w:rsid w:val="4E4CC993"/>
    <w:rsid w:val="4E544457"/>
    <w:rsid w:val="4E6E056B"/>
    <w:rsid w:val="4E7F70C0"/>
    <w:rsid w:val="4E908BB5"/>
    <w:rsid w:val="4E961418"/>
    <w:rsid w:val="4E98443A"/>
    <w:rsid w:val="4E9C9569"/>
    <w:rsid w:val="4EA09A7C"/>
    <w:rsid w:val="4EA6C816"/>
    <w:rsid w:val="4EAC6EE6"/>
    <w:rsid w:val="4EB0E2B8"/>
    <w:rsid w:val="4EB2EF88"/>
    <w:rsid w:val="4EB32C52"/>
    <w:rsid w:val="4EB9E1A3"/>
    <w:rsid w:val="4EBBAEC5"/>
    <w:rsid w:val="4EBDEA1E"/>
    <w:rsid w:val="4EC878C6"/>
    <w:rsid w:val="4ECE8BE8"/>
    <w:rsid w:val="4EE31F2C"/>
    <w:rsid w:val="4EE68653"/>
    <w:rsid w:val="4F14E43E"/>
    <w:rsid w:val="4F210732"/>
    <w:rsid w:val="4F288E55"/>
    <w:rsid w:val="4F2F6754"/>
    <w:rsid w:val="4F3049D5"/>
    <w:rsid w:val="4F4B5D53"/>
    <w:rsid w:val="4F4F28F5"/>
    <w:rsid w:val="4F532247"/>
    <w:rsid w:val="4F540FD7"/>
    <w:rsid w:val="4F607EDC"/>
    <w:rsid w:val="4F654F85"/>
    <w:rsid w:val="4F685C98"/>
    <w:rsid w:val="4F73BC3E"/>
    <w:rsid w:val="4F7A48BE"/>
    <w:rsid w:val="4F7AB16C"/>
    <w:rsid w:val="4F7AD856"/>
    <w:rsid w:val="4F7D49E6"/>
    <w:rsid w:val="4F975E86"/>
    <w:rsid w:val="4F9C8CFC"/>
    <w:rsid w:val="4F9E6FE4"/>
    <w:rsid w:val="4FA4B25A"/>
    <w:rsid w:val="4FAD5F30"/>
    <w:rsid w:val="4FB262BF"/>
    <w:rsid w:val="4FB91FA4"/>
    <w:rsid w:val="4FC7A5CF"/>
    <w:rsid w:val="4FC8FBFC"/>
    <w:rsid w:val="4FD49422"/>
    <w:rsid w:val="4FED8135"/>
    <w:rsid w:val="4FFA933B"/>
    <w:rsid w:val="4FFC8D43"/>
    <w:rsid w:val="50016F58"/>
    <w:rsid w:val="5001FD5B"/>
    <w:rsid w:val="5023ABE0"/>
    <w:rsid w:val="502C90B4"/>
    <w:rsid w:val="5030EA9D"/>
    <w:rsid w:val="5031612F"/>
    <w:rsid w:val="503CA84E"/>
    <w:rsid w:val="5048E1C0"/>
    <w:rsid w:val="504D8099"/>
    <w:rsid w:val="5051D27B"/>
    <w:rsid w:val="5053ADA9"/>
    <w:rsid w:val="505EAC73"/>
    <w:rsid w:val="506295DF"/>
    <w:rsid w:val="506369D9"/>
    <w:rsid w:val="50687AEC"/>
    <w:rsid w:val="506961BF"/>
    <w:rsid w:val="506DFA5E"/>
    <w:rsid w:val="50746882"/>
    <w:rsid w:val="507837AB"/>
    <w:rsid w:val="50820F8E"/>
    <w:rsid w:val="509287E8"/>
    <w:rsid w:val="5093AB45"/>
    <w:rsid w:val="50940E9D"/>
    <w:rsid w:val="50941E17"/>
    <w:rsid w:val="50ABC1C5"/>
    <w:rsid w:val="50AC6BD6"/>
    <w:rsid w:val="50BE3037"/>
    <w:rsid w:val="50C2FD24"/>
    <w:rsid w:val="50C4B75B"/>
    <w:rsid w:val="50CFAEBB"/>
    <w:rsid w:val="50D5C64A"/>
    <w:rsid w:val="50D7C7BA"/>
    <w:rsid w:val="50DD43BE"/>
    <w:rsid w:val="50DE88C2"/>
    <w:rsid w:val="50E04946"/>
    <w:rsid w:val="50E5E712"/>
    <w:rsid w:val="50F8F412"/>
    <w:rsid w:val="50FAADF9"/>
    <w:rsid w:val="51074D28"/>
    <w:rsid w:val="51265406"/>
    <w:rsid w:val="512F9A55"/>
    <w:rsid w:val="51449E1F"/>
    <w:rsid w:val="514DF574"/>
    <w:rsid w:val="516E1AB0"/>
    <w:rsid w:val="516F463B"/>
    <w:rsid w:val="517392FB"/>
    <w:rsid w:val="5175322F"/>
    <w:rsid w:val="5179EB73"/>
    <w:rsid w:val="5185162C"/>
    <w:rsid w:val="5194D428"/>
    <w:rsid w:val="519D92B2"/>
    <w:rsid w:val="51A7B463"/>
    <w:rsid w:val="51BC87D7"/>
    <w:rsid w:val="51D0854D"/>
    <w:rsid w:val="51D3DBDF"/>
    <w:rsid w:val="51D655AD"/>
    <w:rsid w:val="51DB43E7"/>
    <w:rsid w:val="51DE604C"/>
    <w:rsid w:val="51EB0288"/>
    <w:rsid w:val="51ECABEC"/>
    <w:rsid w:val="5203105A"/>
    <w:rsid w:val="520CA481"/>
    <w:rsid w:val="5210291B"/>
    <w:rsid w:val="522799B4"/>
    <w:rsid w:val="5229EE38"/>
    <w:rsid w:val="522A3FBF"/>
    <w:rsid w:val="522D3EBB"/>
    <w:rsid w:val="5233F8A3"/>
    <w:rsid w:val="523AC9D0"/>
    <w:rsid w:val="523F24D0"/>
    <w:rsid w:val="5240BB57"/>
    <w:rsid w:val="5241BD9A"/>
    <w:rsid w:val="52473910"/>
    <w:rsid w:val="52682FD3"/>
    <w:rsid w:val="5275D1C9"/>
    <w:rsid w:val="52765080"/>
    <w:rsid w:val="5290061F"/>
    <w:rsid w:val="5296F730"/>
    <w:rsid w:val="529E55CB"/>
    <w:rsid w:val="529E7BBA"/>
    <w:rsid w:val="52A0CF9B"/>
    <w:rsid w:val="52B1BC35"/>
    <w:rsid w:val="52B3F0DA"/>
    <w:rsid w:val="52D72B17"/>
    <w:rsid w:val="52D9BFB6"/>
    <w:rsid w:val="52DB3BCA"/>
    <w:rsid w:val="52DCD778"/>
    <w:rsid w:val="52DEB001"/>
    <w:rsid w:val="52EBFA4B"/>
    <w:rsid w:val="5310288E"/>
    <w:rsid w:val="5310AD42"/>
    <w:rsid w:val="5312D31E"/>
    <w:rsid w:val="531CB320"/>
    <w:rsid w:val="5320964C"/>
    <w:rsid w:val="5320D1A7"/>
    <w:rsid w:val="5324343D"/>
    <w:rsid w:val="5326F8BB"/>
    <w:rsid w:val="5330ED9B"/>
    <w:rsid w:val="5333110D"/>
    <w:rsid w:val="533510E8"/>
    <w:rsid w:val="533FF15F"/>
    <w:rsid w:val="534AC673"/>
    <w:rsid w:val="5354746E"/>
    <w:rsid w:val="53564842"/>
    <w:rsid w:val="53800006"/>
    <w:rsid w:val="538B4E6B"/>
    <w:rsid w:val="53934276"/>
    <w:rsid w:val="5397610B"/>
    <w:rsid w:val="539DDD89"/>
    <w:rsid w:val="539E5A42"/>
    <w:rsid w:val="53A80135"/>
    <w:rsid w:val="53AF1147"/>
    <w:rsid w:val="53B5B51D"/>
    <w:rsid w:val="53C319DF"/>
    <w:rsid w:val="53C9F097"/>
    <w:rsid w:val="53D5BC47"/>
    <w:rsid w:val="53DD35D0"/>
    <w:rsid w:val="53DE3182"/>
    <w:rsid w:val="53EB2F8F"/>
    <w:rsid w:val="53EDA4E5"/>
    <w:rsid w:val="53FBF797"/>
    <w:rsid w:val="5407A610"/>
    <w:rsid w:val="5409DD01"/>
    <w:rsid w:val="540A5E79"/>
    <w:rsid w:val="540B3F7D"/>
    <w:rsid w:val="5414D3EE"/>
    <w:rsid w:val="54201F0E"/>
    <w:rsid w:val="5422E9E3"/>
    <w:rsid w:val="542A1206"/>
    <w:rsid w:val="542B3FEE"/>
    <w:rsid w:val="54315AEB"/>
    <w:rsid w:val="5441519E"/>
    <w:rsid w:val="54468D70"/>
    <w:rsid w:val="546AE105"/>
    <w:rsid w:val="546BF736"/>
    <w:rsid w:val="547FC2D5"/>
    <w:rsid w:val="5485D3E2"/>
    <w:rsid w:val="548E2646"/>
    <w:rsid w:val="5491B353"/>
    <w:rsid w:val="549567E9"/>
    <w:rsid w:val="549EB905"/>
    <w:rsid w:val="549F62E8"/>
    <w:rsid w:val="54A471C7"/>
    <w:rsid w:val="54AAEA45"/>
    <w:rsid w:val="54B27FB3"/>
    <w:rsid w:val="54C0DFDA"/>
    <w:rsid w:val="54CAA588"/>
    <w:rsid w:val="54CB130E"/>
    <w:rsid w:val="54D511E0"/>
    <w:rsid w:val="54D7C211"/>
    <w:rsid w:val="54DF8B8C"/>
    <w:rsid w:val="54E01074"/>
    <w:rsid w:val="54E33209"/>
    <w:rsid w:val="54E58F94"/>
    <w:rsid w:val="54EA0312"/>
    <w:rsid w:val="54EA7814"/>
    <w:rsid w:val="5500A5F5"/>
    <w:rsid w:val="550CC907"/>
    <w:rsid w:val="550D8218"/>
    <w:rsid w:val="5518E0DE"/>
    <w:rsid w:val="5525A72D"/>
    <w:rsid w:val="552FF53E"/>
    <w:rsid w:val="553CCFFE"/>
    <w:rsid w:val="5542CA87"/>
    <w:rsid w:val="554560E2"/>
    <w:rsid w:val="55462B40"/>
    <w:rsid w:val="5549BA47"/>
    <w:rsid w:val="5552544E"/>
    <w:rsid w:val="55536385"/>
    <w:rsid w:val="5554B431"/>
    <w:rsid w:val="555FAE28"/>
    <w:rsid w:val="5560C386"/>
    <w:rsid w:val="55676CA9"/>
    <w:rsid w:val="5579458A"/>
    <w:rsid w:val="557DE271"/>
    <w:rsid w:val="558AD090"/>
    <w:rsid w:val="558E2ECF"/>
    <w:rsid w:val="558F2E23"/>
    <w:rsid w:val="55930462"/>
    <w:rsid w:val="559ED645"/>
    <w:rsid w:val="55A745A9"/>
    <w:rsid w:val="55A74925"/>
    <w:rsid w:val="55AD4A48"/>
    <w:rsid w:val="55B3D97B"/>
    <w:rsid w:val="55BCD2C7"/>
    <w:rsid w:val="55C2A86D"/>
    <w:rsid w:val="55CAA93F"/>
    <w:rsid w:val="55DBC4BA"/>
    <w:rsid w:val="55E85539"/>
    <w:rsid w:val="55EDE214"/>
    <w:rsid w:val="55F6B389"/>
    <w:rsid w:val="55F73D4B"/>
    <w:rsid w:val="55FA077C"/>
    <w:rsid w:val="55FFF215"/>
    <w:rsid w:val="56048331"/>
    <w:rsid w:val="560B64B5"/>
    <w:rsid w:val="560CBE66"/>
    <w:rsid w:val="5610283E"/>
    <w:rsid w:val="561512DC"/>
    <w:rsid w:val="5615BBEC"/>
    <w:rsid w:val="561A6D68"/>
    <w:rsid w:val="561FA5B4"/>
    <w:rsid w:val="5627E12E"/>
    <w:rsid w:val="562CA45E"/>
    <w:rsid w:val="56341362"/>
    <w:rsid w:val="5647CB8A"/>
    <w:rsid w:val="565B7B3C"/>
    <w:rsid w:val="5660A9A0"/>
    <w:rsid w:val="5672802B"/>
    <w:rsid w:val="56773D2E"/>
    <w:rsid w:val="5679F305"/>
    <w:rsid w:val="5686479F"/>
    <w:rsid w:val="56943192"/>
    <w:rsid w:val="56949EE6"/>
    <w:rsid w:val="56988E33"/>
    <w:rsid w:val="56A1F20A"/>
    <w:rsid w:val="56B70818"/>
    <w:rsid w:val="56C58A47"/>
    <w:rsid w:val="56D0B74A"/>
    <w:rsid w:val="56D78637"/>
    <w:rsid w:val="56DE4FBC"/>
    <w:rsid w:val="56DF5D00"/>
    <w:rsid w:val="56E521FB"/>
    <w:rsid w:val="56FF7743"/>
    <w:rsid w:val="57067E3C"/>
    <w:rsid w:val="570B9271"/>
    <w:rsid w:val="570E080F"/>
    <w:rsid w:val="5717DB14"/>
    <w:rsid w:val="572B8AC9"/>
    <w:rsid w:val="572FB9F9"/>
    <w:rsid w:val="573EB2DB"/>
    <w:rsid w:val="574238BB"/>
    <w:rsid w:val="57442B63"/>
    <w:rsid w:val="575EA045"/>
    <w:rsid w:val="575FCE9A"/>
    <w:rsid w:val="576470D6"/>
    <w:rsid w:val="57709610"/>
    <w:rsid w:val="5773382D"/>
    <w:rsid w:val="577943E7"/>
    <w:rsid w:val="577FF119"/>
    <w:rsid w:val="57859056"/>
    <w:rsid w:val="579CF4D6"/>
    <w:rsid w:val="57AA2CE4"/>
    <w:rsid w:val="57B5AAF7"/>
    <w:rsid w:val="57B95E41"/>
    <w:rsid w:val="57D12235"/>
    <w:rsid w:val="57D73A52"/>
    <w:rsid w:val="57E13456"/>
    <w:rsid w:val="57EE7748"/>
    <w:rsid w:val="57EF7973"/>
    <w:rsid w:val="57FD6F5E"/>
    <w:rsid w:val="580BCC84"/>
    <w:rsid w:val="581DA123"/>
    <w:rsid w:val="581F56AC"/>
    <w:rsid w:val="5820B3E2"/>
    <w:rsid w:val="582A0C40"/>
    <w:rsid w:val="582E3C2C"/>
    <w:rsid w:val="583EEE9C"/>
    <w:rsid w:val="5843CE96"/>
    <w:rsid w:val="5857493D"/>
    <w:rsid w:val="585767C9"/>
    <w:rsid w:val="585EA2A5"/>
    <w:rsid w:val="585FF8D3"/>
    <w:rsid w:val="586D8021"/>
    <w:rsid w:val="58717FA5"/>
    <w:rsid w:val="5871FAB3"/>
    <w:rsid w:val="587C28FB"/>
    <w:rsid w:val="587CF1A8"/>
    <w:rsid w:val="5884B511"/>
    <w:rsid w:val="5884CB82"/>
    <w:rsid w:val="588B33A5"/>
    <w:rsid w:val="58926B14"/>
    <w:rsid w:val="58A31F85"/>
    <w:rsid w:val="58C6AFD6"/>
    <w:rsid w:val="58E23888"/>
    <w:rsid w:val="58E6B753"/>
    <w:rsid w:val="58F2FC0E"/>
    <w:rsid w:val="58F4EFB9"/>
    <w:rsid w:val="58F98E5E"/>
    <w:rsid w:val="590007C7"/>
    <w:rsid w:val="591C5B05"/>
    <w:rsid w:val="59257C17"/>
    <w:rsid w:val="5932579B"/>
    <w:rsid w:val="593C832E"/>
    <w:rsid w:val="595059A7"/>
    <w:rsid w:val="59574652"/>
    <w:rsid w:val="5958AFC5"/>
    <w:rsid w:val="59748150"/>
    <w:rsid w:val="59781908"/>
    <w:rsid w:val="59792399"/>
    <w:rsid w:val="597A3E69"/>
    <w:rsid w:val="597B1129"/>
    <w:rsid w:val="5983D4B6"/>
    <w:rsid w:val="5983DF1F"/>
    <w:rsid w:val="598BFC68"/>
    <w:rsid w:val="5991998A"/>
    <w:rsid w:val="59980AC6"/>
    <w:rsid w:val="599EE4A1"/>
    <w:rsid w:val="59A678B1"/>
    <w:rsid w:val="59A77D31"/>
    <w:rsid w:val="59BA5650"/>
    <w:rsid w:val="59BE7545"/>
    <w:rsid w:val="59D9DA85"/>
    <w:rsid w:val="59DE01A0"/>
    <w:rsid w:val="5A027F05"/>
    <w:rsid w:val="5A046BBA"/>
    <w:rsid w:val="5A07EDBB"/>
    <w:rsid w:val="5A151A22"/>
    <w:rsid w:val="5A39321B"/>
    <w:rsid w:val="5A4F66E4"/>
    <w:rsid w:val="5A616D0B"/>
    <w:rsid w:val="5A689275"/>
    <w:rsid w:val="5A6A324A"/>
    <w:rsid w:val="5A7B9D58"/>
    <w:rsid w:val="5A7E880B"/>
    <w:rsid w:val="5A7EF41C"/>
    <w:rsid w:val="5A7FB31F"/>
    <w:rsid w:val="5A86F27E"/>
    <w:rsid w:val="5A955EBF"/>
    <w:rsid w:val="5A9AFA7A"/>
    <w:rsid w:val="5A9B6B6B"/>
    <w:rsid w:val="5A9E7AC6"/>
    <w:rsid w:val="5AA7C532"/>
    <w:rsid w:val="5AAA6DFA"/>
    <w:rsid w:val="5AB0DD6F"/>
    <w:rsid w:val="5AB93AED"/>
    <w:rsid w:val="5AC3FF36"/>
    <w:rsid w:val="5AC43C3D"/>
    <w:rsid w:val="5AC64C50"/>
    <w:rsid w:val="5ADD4E98"/>
    <w:rsid w:val="5AF2733C"/>
    <w:rsid w:val="5AF7C4C6"/>
    <w:rsid w:val="5B2057DA"/>
    <w:rsid w:val="5B258850"/>
    <w:rsid w:val="5B380B35"/>
    <w:rsid w:val="5B3862D6"/>
    <w:rsid w:val="5B40E5D2"/>
    <w:rsid w:val="5B425B9F"/>
    <w:rsid w:val="5B78251F"/>
    <w:rsid w:val="5B7ABE25"/>
    <w:rsid w:val="5B7ADFF2"/>
    <w:rsid w:val="5B946327"/>
    <w:rsid w:val="5B99499B"/>
    <w:rsid w:val="5BB1CEA7"/>
    <w:rsid w:val="5BB1DCE0"/>
    <w:rsid w:val="5BBBAB2F"/>
    <w:rsid w:val="5BC5F207"/>
    <w:rsid w:val="5BD6EED0"/>
    <w:rsid w:val="5BE61BC3"/>
    <w:rsid w:val="5BF2DD08"/>
    <w:rsid w:val="5BF4737D"/>
    <w:rsid w:val="5BF9C4AA"/>
    <w:rsid w:val="5C048F01"/>
    <w:rsid w:val="5C0A2AB3"/>
    <w:rsid w:val="5C0DEEBC"/>
    <w:rsid w:val="5C186B59"/>
    <w:rsid w:val="5C1E8D1E"/>
    <w:rsid w:val="5C280C8E"/>
    <w:rsid w:val="5C2EEC2A"/>
    <w:rsid w:val="5C2F585D"/>
    <w:rsid w:val="5C326D35"/>
    <w:rsid w:val="5C51749A"/>
    <w:rsid w:val="5C6A7F1B"/>
    <w:rsid w:val="5C73FD61"/>
    <w:rsid w:val="5C8052E1"/>
    <w:rsid w:val="5C82653B"/>
    <w:rsid w:val="5C888D92"/>
    <w:rsid w:val="5C88A04F"/>
    <w:rsid w:val="5C9F76CB"/>
    <w:rsid w:val="5CBD309E"/>
    <w:rsid w:val="5CCFE906"/>
    <w:rsid w:val="5CCFEC68"/>
    <w:rsid w:val="5CD43337"/>
    <w:rsid w:val="5CD6C1B4"/>
    <w:rsid w:val="5CEE6CB2"/>
    <w:rsid w:val="5CF215B2"/>
    <w:rsid w:val="5CFE119D"/>
    <w:rsid w:val="5D0569A4"/>
    <w:rsid w:val="5D06EA64"/>
    <w:rsid w:val="5D0F829D"/>
    <w:rsid w:val="5D1EED0A"/>
    <w:rsid w:val="5D1F79D1"/>
    <w:rsid w:val="5D22AF1D"/>
    <w:rsid w:val="5D233E41"/>
    <w:rsid w:val="5D27819F"/>
    <w:rsid w:val="5D2C142B"/>
    <w:rsid w:val="5D3D87C8"/>
    <w:rsid w:val="5D480990"/>
    <w:rsid w:val="5D5040D0"/>
    <w:rsid w:val="5D5A6F51"/>
    <w:rsid w:val="5D64616B"/>
    <w:rsid w:val="5D6D08E4"/>
    <w:rsid w:val="5D722A06"/>
    <w:rsid w:val="5D7504EF"/>
    <w:rsid w:val="5D7C1F11"/>
    <w:rsid w:val="5D9ED7F7"/>
    <w:rsid w:val="5DA0BEE0"/>
    <w:rsid w:val="5DB23CE3"/>
    <w:rsid w:val="5DB3043A"/>
    <w:rsid w:val="5DBC3056"/>
    <w:rsid w:val="5DBC936E"/>
    <w:rsid w:val="5DCF386A"/>
    <w:rsid w:val="5DDA8DA4"/>
    <w:rsid w:val="5DFB79FB"/>
    <w:rsid w:val="5E06FC2F"/>
    <w:rsid w:val="5E3AA818"/>
    <w:rsid w:val="5E3D2FB8"/>
    <w:rsid w:val="5E3D8C43"/>
    <w:rsid w:val="5E422DB3"/>
    <w:rsid w:val="5E493D76"/>
    <w:rsid w:val="5E4EFD16"/>
    <w:rsid w:val="5E5552F4"/>
    <w:rsid w:val="5E611ECD"/>
    <w:rsid w:val="5E62240F"/>
    <w:rsid w:val="5E70AF30"/>
    <w:rsid w:val="5E80EF40"/>
    <w:rsid w:val="5E930889"/>
    <w:rsid w:val="5E9D676C"/>
    <w:rsid w:val="5EA4A81B"/>
    <w:rsid w:val="5EA681F4"/>
    <w:rsid w:val="5EADE992"/>
    <w:rsid w:val="5EB68A7F"/>
    <w:rsid w:val="5EC2D1A9"/>
    <w:rsid w:val="5EC7672E"/>
    <w:rsid w:val="5EC826A7"/>
    <w:rsid w:val="5EC8F871"/>
    <w:rsid w:val="5ED89609"/>
    <w:rsid w:val="5EDC7F50"/>
    <w:rsid w:val="5EDDC398"/>
    <w:rsid w:val="5EE57289"/>
    <w:rsid w:val="5EEEDE55"/>
    <w:rsid w:val="5EEEEB0F"/>
    <w:rsid w:val="5EF114B3"/>
    <w:rsid w:val="5EF40860"/>
    <w:rsid w:val="5EF5A6A8"/>
    <w:rsid w:val="5F07EE47"/>
    <w:rsid w:val="5F0F82A4"/>
    <w:rsid w:val="5F0FEC58"/>
    <w:rsid w:val="5F12395A"/>
    <w:rsid w:val="5F14CBCF"/>
    <w:rsid w:val="5F195B8D"/>
    <w:rsid w:val="5F28FCAE"/>
    <w:rsid w:val="5F2CE2BF"/>
    <w:rsid w:val="5F38AB8D"/>
    <w:rsid w:val="5F467B13"/>
    <w:rsid w:val="5F575D55"/>
    <w:rsid w:val="5F5ABABA"/>
    <w:rsid w:val="5F688CB6"/>
    <w:rsid w:val="5F68DDCB"/>
    <w:rsid w:val="5F6B0560"/>
    <w:rsid w:val="5F75BE12"/>
    <w:rsid w:val="5F76AC4D"/>
    <w:rsid w:val="5F76E0D6"/>
    <w:rsid w:val="5F7A87BF"/>
    <w:rsid w:val="5F8CAC10"/>
    <w:rsid w:val="5F917A13"/>
    <w:rsid w:val="5F92D85A"/>
    <w:rsid w:val="5F970748"/>
    <w:rsid w:val="5F9F7849"/>
    <w:rsid w:val="5FBB9112"/>
    <w:rsid w:val="5FBC00F5"/>
    <w:rsid w:val="5FC1F5B1"/>
    <w:rsid w:val="5FC2A867"/>
    <w:rsid w:val="5FCEF307"/>
    <w:rsid w:val="5FE6438C"/>
    <w:rsid w:val="5FF57715"/>
    <w:rsid w:val="5FF92006"/>
    <w:rsid w:val="6025E745"/>
    <w:rsid w:val="602EDFE6"/>
    <w:rsid w:val="6032B95F"/>
    <w:rsid w:val="60412782"/>
    <w:rsid w:val="6055CB21"/>
    <w:rsid w:val="605C3668"/>
    <w:rsid w:val="60621E46"/>
    <w:rsid w:val="6063B4ED"/>
    <w:rsid w:val="60647B08"/>
    <w:rsid w:val="606B988B"/>
    <w:rsid w:val="6073A70B"/>
    <w:rsid w:val="607A956B"/>
    <w:rsid w:val="607F72BC"/>
    <w:rsid w:val="608032AF"/>
    <w:rsid w:val="6090F39B"/>
    <w:rsid w:val="60A778CF"/>
    <w:rsid w:val="60AFC69D"/>
    <w:rsid w:val="60B274B7"/>
    <w:rsid w:val="60BB65CE"/>
    <w:rsid w:val="60C304DC"/>
    <w:rsid w:val="60D1F3B1"/>
    <w:rsid w:val="60D709F7"/>
    <w:rsid w:val="60D80024"/>
    <w:rsid w:val="60EDB06E"/>
    <w:rsid w:val="60FA2A89"/>
    <w:rsid w:val="61045F10"/>
    <w:rsid w:val="6110EE7F"/>
    <w:rsid w:val="61163469"/>
    <w:rsid w:val="6117913F"/>
    <w:rsid w:val="61189864"/>
    <w:rsid w:val="611E124F"/>
    <w:rsid w:val="61231EA1"/>
    <w:rsid w:val="612CEF0C"/>
    <w:rsid w:val="6133B3FF"/>
    <w:rsid w:val="6139BE08"/>
    <w:rsid w:val="6157406C"/>
    <w:rsid w:val="616BF301"/>
    <w:rsid w:val="6180AA61"/>
    <w:rsid w:val="6187BFB1"/>
    <w:rsid w:val="61889B8D"/>
    <w:rsid w:val="6191A759"/>
    <w:rsid w:val="619258EE"/>
    <w:rsid w:val="61AF3B98"/>
    <w:rsid w:val="61BD64E6"/>
    <w:rsid w:val="61BDA201"/>
    <w:rsid w:val="61C553CD"/>
    <w:rsid w:val="61D0EFEE"/>
    <w:rsid w:val="61D3EB9A"/>
    <w:rsid w:val="61D450BF"/>
    <w:rsid w:val="61D48461"/>
    <w:rsid w:val="61DDB6DD"/>
    <w:rsid w:val="61FCE878"/>
    <w:rsid w:val="62026855"/>
    <w:rsid w:val="620858B4"/>
    <w:rsid w:val="6208A44F"/>
    <w:rsid w:val="621D3FC4"/>
    <w:rsid w:val="62235DCD"/>
    <w:rsid w:val="6226CFD0"/>
    <w:rsid w:val="62270FB7"/>
    <w:rsid w:val="622FBFFF"/>
    <w:rsid w:val="6231E12D"/>
    <w:rsid w:val="6236A21E"/>
    <w:rsid w:val="623944B1"/>
    <w:rsid w:val="624CDC7E"/>
    <w:rsid w:val="624FD3E7"/>
    <w:rsid w:val="626573C0"/>
    <w:rsid w:val="626A9815"/>
    <w:rsid w:val="6289819D"/>
    <w:rsid w:val="62A052FC"/>
    <w:rsid w:val="62A18EA3"/>
    <w:rsid w:val="62AD9FAB"/>
    <w:rsid w:val="62B48FAA"/>
    <w:rsid w:val="62C3A70D"/>
    <w:rsid w:val="62C3D663"/>
    <w:rsid w:val="62C47559"/>
    <w:rsid w:val="62CD9200"/>
    <w:rsid w:val="62D6CC78"/>
    <w:rsid w:val="62EAEB7C"/>
    <w:rsid w:val="62F3CEBA"/>
    <w:rsid w:val="62F9DA99"/>
    <w:rsid w:val="62FC9481"/>
    <w:rsid w:val="62FDB804"/>
    <w:rsid w:val="6301FF8A"/>
    <w:rsid w:val="630339FB"/>
    <w:rsid w:val="63191776"/>
    <w:rsid w:val="631BD90A"/>
    <w:rsid w:val="633953D8"/>
    <w:rsid w:val="63426805"/>
    <w:rsid w:val="634B4414"/>
    <w:rsid w:val="6355093C"/>
    <w:rsid w:val="6355D312"/>
    <w:rsid w:val="635818E1"/>
    <w:rsid w:val="636F2DD1"/>
    <w:rsid w:val="63738DC7"/>
    <w:rsid w:val="638061BC"/>
    <w:rsid w:val="639A5FE8"/>
    <w:rsid w:val="63A3519E"/>
    <w:rsid w:val="63AAD15D"/>
    <w:rsid w:val="63ACF230"/>
    <w:rsid w:val="63C9B9DB"/>
    <w:rsid w:val="63CC11D7"/>
    <w:rsid w:val="63D18ACB"/>
    <w:rsid w:val="63D8BF0B"/>
    <w:rsid w:val="63DD1A11"/>
    <w:rsid w:val="63DDF6D4"/>
    <w:rsid w:val="63E93A99"/>
    <w:rsid w:val="63ED3189"/>
    <w:rsid w:val="63EF65B8"/>
    <w:rsid w:val="63F3874B"/>
    <w:rsid w:val="63FC708B"/>
    <w:rsid w:val="63FFCDB1"/>
    <w:rsid w:val="64049869"/>
    <w:rsid w:val="64062240"/>
    <w:rsid w:val="640654C9"/>
    <w:rsid w:val="640AE4AE"/>
    <w:rsid w:val="642D8485"/>
    <w:rsid w:val="6437531B"/>
    <w:rsid w:val="64388DBF"/>
    <w:rsid w:val="643E7673"/>
    <w:rsid w:val="64423DEB"/>
    <w:rsid w:val="6462B86E"/>
    <w:rsid w:val="64680843"/>
    <w:rsid w:val="647F1A93"/>
    <w:rsid w:val="64846335"/>
    <w:rsid w:val="648AE955"/>
    <w:rsid w:val="648F64C9"/>
    <w:rsid w:val="64A20C8F"/>
    <w:rsid w:val="64A3DF2F"/>
    <w:rsid w:val="64A492FC"/>
    <w:rsid w:val="64AC3BA7"/>
    <w:rsid w:val="64DCD2E4"/>
    <w:rsid w:val="64DE5AA6"/>
    <w:rsid w:val="64EA9E09"/>
    <w:rsid w:val="64F66D3E"/>
    <w:rsid w:val="6505AC57"/>
    <w:rsid w:val="6505E879"/>
    <w:rsid w:val="651CE061"/>
    <w:rsid w:val="651F4B64"/>
    <w:rsid w:val="65201AE8"/>
    <w:rsid w:val="65204B62"/>
    <w:rsid w:val="652C07BF"/>
    <w:rsid w:val="652C5126"/>
    <w:rsid w:val="6533D2AA"/>
    <w:rsid w:val="653BCFD4"/>
    <w:rsid w:val="654E068E"/>
    <w:rsid w:val="655A06D6"/>
    <w:rsid w:val="6566CBAB"/>
    <w:rsid w:val="656BFCE2"/>
    <w:rsid w:val="656FE74C"/>
    <w:rsid w:val="65720E60"/>
    <w:rsid w:val="6574AB03"/>
    <w:rsid w:val="657DD116"/>
    <w:rsid w:val="6583D248"/>
    <w:rsid w:val="6584B1DA"/>
    <w:rsid w:val="65876E83"/>
    <w:rsid w:val="65930B3D"/>
    <w:rsid w:val="6596BD55"/>
    <w:rsid w:val="659C0F29"/>
    <w:rsid w:val="65A1E88F"/>
    <w:rsid w:val="65AB7147"/>
    <w:rsid w:val="65AF14F9"/>
    <w:rsid w:val="65D05732"/>
    <w:rsid w:val="65DC9397"/>
    <w:rsid w:val="65DDDA2B"/>
    <w:rsid w:val="65E8106A"/>
    <w:rsid w:val="65F1EC36"/>
    <w:rsid w:val="65F783A9"/>
    <w:rsid w:val="66034796"/>
    <w:rsid w:val="6606EE15"/>
    <w:rsid w:val="660C80AD"/>
    <w:rsid w:val="660DBDFA"/>
    <w:rsid w:val="6614E565"/>
    <w:rsid w:val="661CDDEE"/>
    <w:rsid w:val="66213BA6"/>
    <w:rsid w:val="6621C481"/>
    <w:rsid w:val="66236F08"/>
    <w:rsid w:val="6628DA8C"/>
    <w:rsid w:val="6631F897"/>
    <w:rsid w:val="664784E5"/>
    <w:rsid w:val="66515FA9"/>
    <w:rsid w:val="6651C102"/>
    <w:rsid w:val="66530458"/>
    <w:rsid w:val="66560C68"/>
    <w:rsid w:val="665F25CC"/>
    <w:rsid w:val="6660DC25"/>
    <w:rsid w:val="6664CBF6"/>
    <w:rsid w:val="6666543D"/>
    <w:rsid w:val="666F4ED3"/>
    <w:rsid w:val="6672AA9D"/>
    <w:rsid w:val="6679A8CD"/>
    <w:rsid w:val="6689E6A3"/>
    <w:rsid w:val="668B2037"/>
    <w:rsid w:val="668FC359"/>
    <w:rsid w:val="66A3FCE1"/>
    <w:rsid w:val="66B1116A"/>
    <w:rsid w:val="66B4BC99"/>
    <w:rsid w:val="66B4CB24"/>
    <w:rsid w:val="66D55FCB"/>
    <w:rsid w:val="66D65CB2"/>
    <w:rsid w:val="66D87608"/>
    <w:rsid w:val="66DAB792"/>
    <w:rsid w:val="66E13F76"/>
    <w:rsid w:val="66E30BE8"/>
    <w:rsid w:val="66E33B0E"/>
    <w:rsid w:val="66EEC83E"/>
    <w:rsid w:val="66FCFE66"/>
    <w:rsid w:val="67081951"/>
    <w:rsid w:val="6719355A"/>
    <w:rsid w:val="6727A5B3"/>
    <w:rsid w:val="674AA048"/>
    <w:rsid w:val="6761C235"/>
    <w:rsid w:val="67651117"/>
    <w:rsid w:val="676BE3E6"/>
    <w:rsid w:val="676CC5D9"/>
    <w:rsid w:val="67768344"/>
    <w:rsid w:val="678DB8AF"/>
    <w:rsid w:val="67918DAF"/>
    <w:rsid w:val="679B5948"/>
    <w:rsid w:val="67AD4C54"/>
    <w:rsid w:val="67B15591"/>
    <w:rsid w:val="67B34DB2"/>
    <w:rsid w:val="67C08391"/>
    <w:rsid w:val="67CB7886"/>
    <w:rsid w:val="67D015CE"/>
    <w:rsid w:val="67D5AC5C"/>
    <w:rsid w:val="67D88EDD"/>
    <w:rsid w:val="67E11BD7"/>
    <w:rsid w:val="67E7B5E8"/>
    <w:rsid w:val="67F4B786"/>
    <w:rsid w:val="67FE05D1"/>
    <w:rsid w:val="6800EE26"/>
    <w:rsid w:val="6800F968"/>
    <w:rsid w:val="6809EB41"/>
    <w:rsid w:val="680ABB40"/>
    <w:rsid w:val="680D5B72"/>
    <w:rsid w:val="681E9F41"/>
    <w:rsid w:val="6821E358"/>
    <w:rsid w:val="6823998F"/>
    <w:rsid w:val="68261113"/>
    <w:rsid w:val="682758CF"/>
    <w:rsid w:val="6832FA87"/>
    <w:rsid w:val="6838DCF9"/>
    <w:rsid w:val="6841E9D0"/>
    <w:rsid w:val="684B6881"/>
    <w:rsid w:val="6854A02C"/>
    <w:rsid w:val="68852B8A"/>
    <w:rsid w:val="6885A750"/>
    <w:rsid w:val="688E84C2"/>
    <w:rsid w:val="689326D4"/>
    <w:rsid w:val="68B823F7"/>
    <w:rsid w:val="68C8E2E0"/>
    <w:rsid w:val="68DF3B54"/>
    <w:rsid w:val="68F2BB3A"/>
    <w:rsid w:val="68F34056"/>
    <w:rsid w:val="68F51D1E"/>
    <w:rsid w:val="68F8A8F3"/>
    <w:rsid w:val="69077816"/>
    <w:rsid w:val="6915215D"/>
    <w:rsid w:val="69157AED"/>
    <w:rsid w:val="691A3A2D"/>
    <w:rsid w:val="691AE8A7"/>
    <w:rsid w:val="692699B3"/>
    <w:rsid w:val="69274D3C"/>
    <w:rsid w:val="694048B6"/>
    <w:rsid w:val="6944B60C"/>
    <w:rsid w:val="695A0DE1"/>
    <w:rsid w:val="695AD933"/>
    <w:rsid w:val="6966CB77"/>
    <w:rsid w:val="6967211D"/>
    <w:rsid w:val="696ACDF9"/>
    <w:rsid w:val="696E25D4"/>
    <w:rsid w:val="69792438"/>
    <w:rsid w:val="69798FF9"/>
    <w:rsid w:val="6988265E"/>
    <w:rsid w:val="69955D5E"/>
    <w:rsid w:val="69956512"/>
    <w:rsid w:val="6995BBD8"/>
    <w:rsid w:val="69A420F6"/>
    <w:rsid w:val="69A560A8"/>
    <w:rsid w:val="69A565CA"/>
    <w:rsid w:val="69A9CB6A"/>
    <w:rsid w:val="69AC6711"/>
    <w:rsid w:val="69AD9651"/>
    <w:rsid w:val="69B0E794"/>
    <w:rsid w:val="69B3CDA1"/>
    <w:rsid w:val="69BAD6AF"/>
    <w:rsid w:val="69C48957"/>
    <w:rsid w:val="69D61E47"/>
    <w:rsid w:val="69DF4B4E"/>
    <w:rsid w:val="69E12A8D"/>
    <w:rsid w:val="69F5D161"/>
    <w:rsid w:val="69F90831"/>
    <w:rsid w:val="6A2022BE"/>
    <w:rsid w:val="6A2CFC9A"/>
    <w:rsid w:val="6A3C5032"/>
    <w:rsid w:val="6A48BA9C"/>
    <w:rsid w:val="6A49037F"/>
    <w:rsid w:val="6A4D7A99"/>
    <w:rsid w:val="6A515759"/>
    <w:rsid w:val="6A605FC0"/>
    <w:rsid w:val="6A61DF24"/>
    <w:rsid w:val="6A7C51C1"/>
    <w:rsid w:val="6A816035"/>
    <w:rsid w:val="6A81DAD9"/>
    <w:rsid w:val="6A887CA0"/>
    <w:rsid w:val="6A8D4968"/>
    <w:rsid w:val="6A93FAA9"/>
    <w:rsid w:val="6A977F1F"/>
    <w:rsid w:val="6A98A85E"/>
    <w:rsid w:val="6A9C26DD"/>
    <w:rsid w:val="6AA350CB"/>
    <w:rsid w:val="6AAB7D09"/>
    <w:rsid w:val="6AADE069"/>
    <w:rsid w:val="6ABF63BF"/>
    <w:rsid w:val="6AC7F79E"/>
    <w:rsid w:val="6AF15708"/>
    <w:rsid w:val="6AF3FADB"/>
    <w:rsid w:val="6B057A6A"/>
    <w:rsid w:val="6B09B308"/>
    <w:rsid w:val="6B16BAC5"/>
    <w:rsid w:val="6B2A9EC7"/>
    <w:rsid w:val="6B2AD3F9"/>
    <w:rsid w:val="6B3422B9"/>
    <w:rsid w:val="6B3A0D1C"/>
    <w:rsid w:val="6B3A1B52"/>
    <w:rsid w:val="6B3B130E"/>
    <w:rsid w:val="6B4E50AF"/>
    <w:rsid w:val="6B4F41AF"/>
    <w:rsid w:val="6B565F77"/>
    <w:rsid w:val="6B57CBA3"/>
    <w:rsid w:val="6B681EB1"/>
    <w:rsid w:val="6B6E8B8C"/>
    <w:rsid w:val="6B7A89AD"/>
    <w:rsid w:val="6B7C6CC6"/>
    <w:rsid w:val="6B845961"/>
    <w:rsid w:val="6B897D73"/>
    <w:rsid w:val="6B94F61F"/>
    <w:rsid w:val="6B9B414B"/>
    <w:rsid w:val="6BA93E58"/>
    <w:rsid w:val="6BBFFBA3"/>
    <w:rsid w:val="6BC568E3"/>
    <w:rsid w:val="6BC62685"/>
    <w:rsid w:val="6BD3E702"/>
    <w:rsid w:val="6BD747A9"/>
    <w:rsid w:val="6BDA24DF"/>
    <w:rsid w:val="6BEEBDAE"/>
    <w:rsid w:val="6BF082B5"/>
    <w:rsid w:val="6BF43760"/>
    <w:rsid w:val="6BF8FCFB"/>
    <w:rsid w:val="6BF93332"/>
    <w:rsid w:val="6BFF3070"/>
    <w:rsid w:val="6C01A21F"/>
    <w:rsid w:val="6C053343"/>
    <w:rsid w:val="6C1654C9"/>
    <w:rsid w:val="6C192307"/>
    <w:rsid w:val="6C2C786B"/>
    <w:rsid w:val="6C4662E9"/>
    <w:rsid w:val="6C4CD23D"/>
    <w:rsid w:val="6C541AA9"/>
    <w:rsid w:val="6C60C461"/>
    <w:rsid w:val="6C7D25EB"/>
    <w:rsid w:val="6C813DBF"/>
    <w:rsid w:val="6C9393CE"/>
    <w:rsid w:val="6CA18052"/>
    <w:rsid w:val="6CB27BBB"/>
    <w:rsid w:val="6CCB966F"/>
    <w:rsid w:val="6CD7309F"/>
    <w:rsid w:val="6CD793E3"/>
    <w:rsid w:val="6CE314C0"/>
    <w:rsid w:val="6CE3A002"/>
    <w:rsid w:val="6CE7C077"/>
    <w:rsid w:val="6CEFEF99"/>
    <w:rsid w:val="6CF1780D"/>
    <w:rsid w:val="6CF1FE02"/>
    <w:rsid w:val="6CF4161E"/>
    <w:rsid w:val="6D0C4F3E"/>
    <w:rsid w:val="6D1C39C0"/>
    <w:rsid w:val="6D239588"/>
    <w:rsid w:val="6D289098"/>
    <w:rsid w:val="6D32B4A2"/>
    <w:rsid w:val="6D3C66A9"/>
    <w:rsid w:val="6D40E768"/>
    <w:rsid w:val="6D417980"/>
    <w:rsid w:val="6D489914"/>
    <w:rsid w:val="6D4A8BD4"/>
    <w:rsid w:val="6D525D60"/>
    <w:rsid w:val="6D5F2F90"/>
    <w:rsid w:val="6D6828F7"/>
    <w:rsid w:val="6D6A1BE2"/>
    <w:rsid w:val="6D71AF5E"/>
    <w:rsid w:val="6D803724"/>
    <w:rsid w:val="6D82406B"/>
    <w:rsid w:val="6D8C48B6"/>
    <w:rsid w:val="6D9831AA"/>
    <w:rsid w:val="6DA373B5"/>
    <w:rsid w:val="6DB28D3F"/>
    <w:rsid w:val="6DB73B7D"/>
    <w:rsid w:val="6DB89D76"/>
    <w:rsid w:val="6DBB5F44"/>
    <w:rsid w:val="6DC5C730"/>
    <w:rsid w:val="6DDDE992"/>
    <w:rsid w:val="6DF01D3C"/>
    <w:rsid w:val="6DF1A5DF"/>
    <w:rsid w:val="6DF39847"/>
    <w:rsid w:val="6E130A0C"/>
    <w:rsid w:val="6E13CF99"/>
    <w:rsid w:val="6E19E186"/>
    <w:rsid w:val="6E3ADD44"/>
    <w:rsid w:val="6E3BE06C"/>
    <w:rsid w:val="6E4B2343"/>
    <w:rsid w:val="6E4C14D7"/>
    <w:rsid w:val="6E611F8B"/>
    <w:rsid w:val="6E6D156B"/>
    <w:rsid w:val="6E715699"/>
    <w:rsid w:val="6E80109C"/>
    <w:rsid w:val="6E9C7AB4"/>
    <w:rsid w:val="6EA16F53"/>
    <w:rsid w:val="6EA3C1A9"/>
    <w:rsid w:val="6EA6B852"/>
    <w:rsid w:val="6EBC97BB"/>
    <w:rsid w:val="6EC213D5"/>
    <w:rsid w:val="6ECC4570"/>
    <w:rsid w:val="6EDBC077"/>
    <w:rsid w:val="6EE232E4"/>
    <w:rsid w:val="6EE5877B"/>
    <w:rsid w:val="6EEE0300"/>
    <w:rsid w:val="6EFD278B"/>
    <w:rsid w:val="6F07B8D0"/>
    <w:rsid w:val="6F0F5405"/>
    <w:rsid w:val="6F104153"/>
    <w:rsid w:val="6F21412B"/>
    <w:rsid w:val="6F2A466F"/>
    <w:rsid w:val="6F2EB28D"/>
    <w:rsid w:val="6F308F0D"/>
    <w:rsid w:val="6F35365C"/>
    <w:rsid w:val="6F37BF60"/>
    <w:rsid w:val="6F3FF1A9"/>
    <w:rsid w:val="6F40DA91"/>
    <w:rsid w:val="6F4463B2"/>
    <w:rsid w:val="6F4CE38A"/>
    <w:rsid w:val="6F5359F0"/>
    <w:rsid w:val="6F566515"/>
    <w:rsid w:val="6F5B5E65"/>
    <w:rsid w:val="6F5C7E51"/>
    <w:rsid w:val="6F5EDB82"/>
    <w:rsid w:val="6F5F85A2"/>
    <w:rsid w:val="6F6D477C"/>
    <w:rsid w:val="6F6D8DAF"/>
    <w:rsid w:val="6F6EE728"/>
    <w:rsid w:val="6F6FC972"/>
    <w:rsid w:val="6F749830"/>
    <w:rsid w:val="6F7829F8"/>
    <w:rsid w:val="6F7F6E60"/>
    <w:rsid w:val="6F985F60"/>
    <w:rsid w:val="6F9BE170"/>
    <w:rsid w:val="6F9DF1C7"/>
    <w:rsid w:val="6F9E0B14"/>
    <w:rsid w:val="6FA33029"/>
    <w:rsid w:val="6FB42D98"/>
    <w:rsid w:val="6FCE4777"/>
    <w:rsid w:val="6FD6516C"/>
    <w:rsid w:val="6FE2FC6C"/>
    <w:rsid w:val="6FEDD6AD"/>
    <w:rsid w:val="6FF14B7B"/>
    <w:rsid w:val="7002BB60"/>
    <w:rsid w:val="70053BFC"/>
    <w:rsid w:val="70089D1B"/>
    <w:rsid w:val="70199229"/>
    <w:rsid w:val="701B2270"/>
    <w:rsid w:val="701FF408"/>
    <w:rsid w:val="702C9DEC"/>
    <w:rsid w:val="702F3D69"/>
    <w:rsid w:val="7031E1AE"/>
    <w:rsid w:val="7034BC14"/>
    <w:rsid w:val="70392EFE"/>
    <w:rsid w:val="703ECA17"/>
    <w:rsid w:val="70551DB2"/>
    <w:rsid w:val="70584412"/>
    <w:rsid w:val="7075A332"/>
    <w:rsid w:val="70781D19"/>
    <w:rsid w:val="7082F50D"/>
    <w:rsid w:val="7083728A"/>
    <w:rsid w:val="708528DF"/>
    <w:rsid w:val="7086CE6E"/>
    <w:rsid w:val="708FC9FE"/>
    <w:rsid w:val="7095942E"/>
    <w:rsid w:val="70A7A30D"/>
    <w:rsid w:val="70A7F403"/>
    <w:rsid w:val="70A83ABE"/>
    <w:rsid w:val="70AB4104"/>
    <w:rsid w:val="70B21E44"/>
    <w:rsid w:val="70BE206A"/>
    <w:rsid w:val="70C179CA"/>
    <w:rsid w:val="70CA0556"/>
    <w:rsid w:val="70DA3E4D"/>
    <w:rsid w:val="70DFE719"/>
    <w:rsid w:val="70E442E6"/>
    <w:rsid w:val="70E9D3A6"/>
    <w:rsid w:val="70EDED43"/>
    <w:rsid w:val="70F21DB3"/>
    <w:rsid w:val="70F28D75"/>
    <w:rsid w:val="70FC6DD1"/>
    <w:rsid w:val="711594D5"/>
    <w:rsid w:val="71233E25"/>
    <w:rsid w:val="71353E7C"/>
    <w:rsid w:val="71443886"/>
    <w:rsid w:val="7149FB06"/>
    <w:rsid w:val="714C0684"/>
    <w:rsid w:val="7150B9A3"/>
    <w:rsid w:val="715FAE1A"/>
    <w:rsid w:val="716B9FCE"/>
    <w:rsid w:val="716BFDC4"/>
    <w:rsid w:val="718F19FE"/>
    <w:rsid w:val="719DD65B"/>
    <w:rsid w:val="71A73A8A"/>
    <w:rsid w:val="71B2C799"/>
    <w:rsid w:val="71B95461"/>
    <w:rsid w:val="71CB7535"/>
    <w:rsid w:val="71CBBAF6"/>
    <w:rsid w:val="71D2FFEC"/>
    <w:rsid w:val="71E411F0"/>
    <w:rsid w:val="71EA7563"/>
    <w:rsid w:val="71EBC69A"/>
    <w:rsid w:val="71FBB82D"/>
    <w:rsid w:val="71FC5780"/>
    <w:rsid w:val="71FD4A66"/>
    <w:rsid w:val="720DCB33"/>
    <w:rsid w:val="72339810"/>
    <w:rsid w:val="72368C38"/>
    <w:rsid w:val="7237E4E3"/>
    <w:rsid w:val="7238AC45"/>
    <w:rsid w:val="7245B1EF"/>
    <w:rsid w:val="724BFE4B"/>
    <w:rsid w:val="72685F85"/>
    <w:rsid w:val="7273E286"/>
    <w:rsid w:val="727ECB71"/>
    <w:rsid w:val="7289B0A7"/>
    <w:rsid w:val="7291E1D5"/>
    <w:rsid w:val="729981CC"/>
    <w:rsid w:val="729FE155"/>
    <w:rsid w:val="72A60855"/>
    <w:rsid w:val="72BA402E"/>
    <w:rsid w:val="72DECC20"/>
    <w:rsid w:val="72E1F290"/>
    <w:rsid w:val="72E4AE7E"/>
    <w:rsid w:val="72E96458"/>
    <w:rsid w:val="72EC2348"/>
    <w:rsid w:val="72EF5019"/>
    <w:rsid w:val="72F9B8E8"/>
    <w:rsid w:val="731AAC0E"/>
    <w:rsid w:val="7325C7E8"/>
    <w:rsid w:val="732C93B4"/>
    <w:rsid w:val="733A59DF"/>
    <w:rsid w:val="733E28F7"/>
    <w:rsid w:val="7340449D"/>
    <w:rsid w:val="734B48C2"/>
    <w:rsid w:val="7357239D"/>
    <w:rsid w:val="7359E32E"/>
    <w:rsid w:val="7359FD7A"/>
    <w:rsid w:val="73613D25"/>
    <w:rsid w:val="7366CCBC"/>
    <w:rsid w:val="7371782D"/>
    <w:rsid w:val="737FE251"/>
    <w:rsid w:val="7381D06E"/>
    <w:rsid w:val="738A9766"/>
    <w:rsid w:val="738DEB5F"/>
    <w:rsid w:val="73989BD5"/>
    <w:rsid w:val="73A073EB"/>
    <w:rsid w:val="73A3C8A8"/>
    <w:rsid w:val="73A9A71F"/>
    <w:rsid w:val="73C21CD2"/>
    <w:rsid w:val="73C34784"/>
    <w:rsid w:val="73D33940"/>
    <w:rsid w:val="73E10CA0"/>
    <w:rsid w:val="73E50583"/>
    <w:rsid w:val="74071B07"/>
    <w:rsid w:val="74072C50"/>
    <w:rsid w:val="740805ED"/>
    <w:rsid w:val="7412395D"/>
    <w:rsid w:val="74246608"/>
    <w:rsid w:val="742C2A69"/>
    <w:rsid w:val="743B97C7"/>
    <w:rsid w:val="744533E8"/>
    <w:rsid w:val="744F31E9"/>
    <w:rsid w:val="7454632E"/>
    <w:rsid w:val="745E08DE"/>
    <w:rsid w:val="7463FA43"/>
    <w:rsid w:val="746C6804"/>
    <w:rsid w:val="746ED317"/>
    <w:rsid w:val="74786383"/>
    <w:rsid w:val="747865EF"/>
    <w:rsid w:val="747899B3"/>
    <w:rsid w:val="7478BC1A"/>
    <w:rsid w:val="74888C21"/>
    <w:rsid w:val="749C2A1A"/>
    <w:rsid w:val="74AB2D0C"/>
    <w:rsid w:val="74AB5AF8"/>
    <w:rsid w:val="74B16C3A"/>
    <w:rsid w:val="74B91517"/>
    <w:rsid w:val="74BBCEEF"/>
    <w:rsid w:val="74BDEF3B"/>
    <w:rsid w:val="74C0454A"/>
    <w:rsid w:val="74C49C45"/>
    <w:rsid w:val="74CF7FF5"/>
    <w:rsid w:val="74D4AADD"/>
    <w:rsid w:val="74ED2C31"/>
    <w:rsid w:val="74F47A55"/>
    <w:rsid w:val="74FC08D4"/>
    <w:rsid w:val="7500B036"/>
    <w:rsid w:val="750AF70D"/>
    <w:rsid w:val="7516165B"/>
    <w:rsid w:val="7527DFF9"/>
    <w:rsid w:val="752AC507"/>
    <w:rsid w:val="752C6EC7"/>
    <w:rsid w:val="753C21B7"/>
    <w:rsid w:val="75449815"/>
    <w:rsid w:val="75463516"/>
    <w:rsid w:val="75563F1E"/>
    <w:rsid w:val="755ECF56"/>
    <w:rsid w:val="756E0470"/>
    <w:rsid w:val="756F336E"/>
    <w:rsid w:val="75721EB4"/>
    <w:rsid w:val="7590559E"/>
    <w:rsid w:val="759985D8"/>
    <w:rsid w:val="759B0D2E"/>
    <w:rsid w:val="75A82276"/>
    <w:rsid w:val="75B7B305"/>
    <w:rsid w:val="75B87CF9"/>
    <w:rsid w:val="75B972D7"/>
    <w:rsid w:val="75BE2D29"/>
    <w:rsid w:val="75E5EAD0"/>
    <w:rsid w:val="75F297BE"/>
    <w:rsid w:val="75FCB7C4"/>
    <w:rsid w:val="7602D513"/>
    <w:rsid w:val="76193460"/>
    <w:rsid w:val="7620C882"/>
    <w:rsid w:val="7630237A"/>
    <w:rsid w:val="76381B1C"/>
    <w:rsid w:val="7646FD6D"/>
    <w:rsid w:val="764A82F6"/>
    <w:rsid w:val="764AF8B4"/>
    <w:rsid w:val="7650AF7F"/>
    <w:rsid w:val="7650D841"/>
    <w:rsid w:val="7661E2B5"/>
    <w:rsid w:val="76651EBE"/>
    <w:rsid w:val="766740B1"/>
    <w:rsid w:val="766AB8A4"/>
    <w:rsid w:val="766C3BC0"/>
    <w:rsid w:val="7681CB83"/>
    <w:rsid w:val="76837C28"/>
    <w:rsid w:val="7687F572"/>
    <w:rsid w:val="7688FC92"/>
    <w:rsid w:val="768CBD01"/>
    <w:rsid w:val="769E5114"/>
    <w:rsid w:val="76A285E2"/>
    <w:rsid w:val="76A9489C"/>
    <w:rsid w:val="76AB2BEA"/>
    <w:rsid w:val="76AE7D4B"/>
    <w:rsid w:val="76AFA3A2"/>
    <w:rsid w:val="76BE2AF8"/>
    <w:rsid w:val="76C61D41"/>
    <w:rsid w:val="76CAE063"/>
    <w:rsid w:val="76CE9B23"/>
    <w:rsid w:val="76CED761"/>
    <w:rsid w:val="76D88975"/>
    <w:rsid w:val="76DCBAA9"/>
    <w:rsid w:val="76F2EAF4"/>
    <w:rsid w:val="76F857EE"/>
    <w:rsid w:val="76F97A0E"/>
    <w:rsid w:val="76FB2F9F"/>
    <w:rsid w:val="7703C3F7"/>
    <w:rsid w:val="770605E3"/>
    <w:rsid w:val="77141490"/>
    <w:rsid w:val="771AA949"/>
    <w:rsid w:val="772C133B"/>
    <w:rsid w:val="774527CC"/>
    <w:rsid w:val="7753027E"/>
    <w:rsid w:val="77601F7C"/>
    <w:rsid w:val="776329BE"/>
    <w:rsid w:val="7769EA77"/>
    <w:rsid w:val="778BD31E"/>
    <w:rsid w:val="7792F8C8"/>
    <w:rsid w:val="77973C8F"/>
    <w:rsid w:val="779F05CF"/>
    <w:rsid w:val="779FF430"/>
    <w:rsid w:val="77A4FDC9"/>
    <w:rsid w:val="77A93FF4"/>
    <w:rsid w:val="77BDA395"/>
    <w:rsid w:val="77CC041E"/>
    <w:rsid w:val="77CCC93A"/>
    <w:rsid w:val="77ED83F1"/>
    <w:rsid w:val="77F903FF"/>
    <w:rsid w:val="7801C8D3"/>
    <w:rsid w:val="780BF453"/>
    <w:rsid w:val="7819EEAF"/>
    <w:rsid w:val="7822050B"/>
    <w:rsid w:val="78339C9D"/>
    <w:rsid w:val="783CF393"/>
    <w:rsid w:val="784EE53B"/>
    <w:rsid w:val="785061E5"/>
    <w:rsid w:val="78549E1F"/>
    <w:rsid w:val="785A574D"/>
    <w:rsid w:val="785C0428"/>
    <w:rsid w:val="7874AFA3"/>
    <w:rsid w:val="7878DE59"/>
    <w:rsid w:val="788AF0F0"/>
    <w:rsid w:val="788BE024"/>
    <w:rsid w:val="788F8061"/>
    <w:rsid w:val="7894FD3F"/>
    <w:rsid w:val="78A2A90B"/>
    <w:rsid w:val="78AECD8D"/>
    <w:rsid w:val="78B36B6E"/>
    <w:rsid w:val="78D6D435"/>
    <w:rsid w:val="78E086AF"/>
    <w:rsid w:val="78E119F9"/>
    <w:rsid w:val="78E6F4F8"/>
    <w:rsid w:val="78EBF7B9"/>
    <w:rsid w:val="78EE19B5"/>
    <w:rsid w:val="78F6F71F"/>
    <w:rsid w:val="78F70E31"/>
    <w:rsid w:val="78FD9D0C"/>
    <w:rsid w:val="78FFEBE7"/>
    <w:rsid w:val="79032AA1"/>
    <w:rsid w:val="7912F14F"/>
    <w:rsid w:val="79157936"/>
    <w:rsid w:val="791962D1"/>
    <w:rsid w:val="791F42FF"/>
    <w:rsid w:val="791F5FEB"/>
    <w:rsid w:val="792A530C"/>
    <w:rsid w:val="7930EFFC"/>
    <w:rsid w:val="79344511"/>
    <w:rsid w:val="7938BA75"/>
    <w:rsid w:val="794C2D02"/>
    <w:rsid w:val="796EAA1B"/>
    <w:rsid w:val="79705CEE"/>
    <w:rsid w:val="797CF476"/>
    <w:rsid w:val="798C2006"/>
    <w:rsid w:val="799009D5"/>
    <w:rsid w:val="79996825"/>
    <w:rsid w:val="799D7733"/>
    <w:rsid w:val="79A314AA"/>
    <w:rsid w:val="79ACBD82"/>
    <w:rsid w:val="79B61B32"/>
    <w:rsid w:val="79BA031E"/>
    <w:rsid w:val="79BF6967"/>
    <w:rsid w:val="79C21145"/>
    <w:rsid w:val="79D1A8C7"/>
    <w:rsid w:val="79D6204D"/>
    <w:rsid w:val="79DA6D0D"/>
    <w:rsid w:val="79DAEE2B"/>
    <w:rsid w:val="79DC6A10"/>
    <w:rsid w:val="79E3317D"/>
    <w:rsid w:val="79F0E756"/>
    <w:rsid w:val="79F3D37C"/>
    <w:rsid w:val="79F61C81"/>
    <w:rsid w:val="7A005AE4"/>
    <w:rsid w:val="7A00A368"/>
    <w:rsid w:val="7A0520F3"/>
    <w:rsid w:val="7A0760A1"/>
    <w:rsid w:val="7A0CA023"/>
    <w:rsid w:val="7A159CAC"/>
    <w:rsid w:val="7A237680"/>
    <w:rsid w:val="7A239E04"/>
    <w:rsid w:val="7A252088"/>
    <w:rsid w:val="7A255023"/>
    <w:rsid w:val="7A3E8DAA"/>
    <w:rsid w:val="7A49E317"/>
    <w:rsid w:val="7A4CCA37"/>
    <w:rsid w:val="7A58E0F3"/>
    <w:rsid w:val="7A5D4373"/>
    <w:rsid w:val="7A680A1D"/>
    <w:rsid w:val="7A721DBA"/>
    <w:rsid w:val="7A79B9F0"/>
    <w:rsid w:val="7A7DCDF9"/>
    <w:rsid w:val="7A852DC1"/>
    <w:rsid w:val="7A8F52DB"/>
    <w:rsid w:val="7A9476FB"/>
    <w:rsid w:val="7A996247"/>
    <w:rsid w:val="7A996F92"/>
    <w:rsid w:val="7AAF0A3D"/>
    <w:rsid w:val="7AB71E55"/>
    <w:rsid w:val="7ABA402F"/>
    <w:rsid w:val="7B123611"/>
    <w:rsid w:val="7B125F19"/>
    <w:rsid w:val="7B1ADD5F"/>
    <w:rsid w:val="7B208892"/>
    <w:rsid w:val="7B2E895E"/>
    <w:rsid w:val="7B3311D0"/>
    <w:rsid w:val="7B3A5E1A"/>
    <w:rsid w:val="7B42D986"/>
    <w:rsid w:val="7B454E8A"/>
    <w:rsid w:val="7B478E87"/>
    <w:rsid w:val="7B56A26F"/>
    <w:rsid w:val="7B5B7BBE"/>
    <w:rsid w:val="7B5BEA8B"/>
    <w:rsid w:val="7B5D35F8"/>
    <w:rsid w:val="7B71F38C"/>
    <w:rsid w:val="7B7C5E41"/>
    <w:rsid w:val="7B919366"/>
    <w:rsid w:val="7B9D86F4"/>
    <w:rsid w:val="7BB09152"/>
    <w:rsid w:val="7BB9A567"/>
    <w:rsid w:val="7BBECAD9"/>
    <w:rsid w:val="7BCE5CC5"/>
    <w:rsid w:val="7BD1E3D3"/>
    <w:rsid w:val="7BFCBB32"/>
    <w:rsid w:val="7C06559B"/>
    <w:rsid w:val="7C0AB339"/>
    <w:rsid w:val="7C11A471"/>
    <w:rsid w:val="7C11EA6A"/>
    <w:rsid w:val="7C1E9315"/>
    <w:rsid w:val="7C268288"/>
    <w:rsid w:val="7C2FB3BF"/>
    <w:rsid w:val="7C378C4D"/>
    <w:rsid w:val="7C392EB7"/>
    <w:rsid w:val="7C4A8EA0"/>
    <w:rsid w:val="7C506A13"/>
    <w:rsid w:val="7C5EA1DF"/>
    <w:rsid w:val="7C600F89"/>
    <w:rsid w:val="7C68981C"/>
    <w:rsid w:val="7C7231B2"/>
    <w:rsid w:val="7C7FD21D"/>
    <w:rsid w:val="7C93F95A"/>
    <w:rsid w:val="7C98A77F"/>
    <w:rsid w:val="7C9D5740"/>
    <w:rsid w:val="7C9DE131"/>
    <w:rsid w:val="7C9EFBBD"/>
    <w:rsid w:val="7CA36025"/>
    <w:rsid w:val="7CA4EB34"/>
    <w:rsid w:val="7CB1453B"/>
    <w:rsid w:val="7CB3E00A"/>
    <w:rsid w:val="7CB406B9"/>
    <w:rsid w:val="7CB83BD7"/>
    <w:rsid w:val="7CB9DFA4"/>
    <w:rsid w:val="7CE28DED"/>
    <w:rsid w:val="7CE3FC37"/>
    <w:rsid w:val="7CEE8C3E"/>
    <w:rsid w:val="7CF47A07"/>
    <w:rsid w:val="7CFE2B26"/>
    <w:rsid w:val="7CFEFC1B"/>
    <w:rsid w:val="7CFF6F8E"/>
    <w:rsid w:val="7D07A8CE"/>
    <w:rsid w:val="7D1064B6"/>
    <w:rsid w:val="7D12F025"/>
    <w:rsid w:val="7D22E8D4"/>
    <w:rsid w:val="7D2AF46D"/>
    <w:rsid w:val="7D2B3BCA"/>
    <w:rsid w:val="7D33095B"/>
    <w:rsid w:val="7D47BFB6"/>
    <w:rsid w:val="7D490C1E"/>
    <w:rsid w:val="7D5898E5"/>
    <w:rsid w:val="7D5919B7"/>
    <w:rsid w:val="7D60DF7A"/>
    <w:rsid w:val="7D645C7C"/>
    <w:rsid w:val="7D678FB3"/>
    <w:rsid w:val="7D6B8CDA"/>
    <w:rsid w:val="7D91E1EE"/>
    <w:rsid w:val="7DA1DE28"/>
    <w:rsid w:val="7DA8BEC1"/>
    <w:rsid w:val="7DAF1870"/>
    <w:rsid w:val="7DB2B4FE"/>
    <w:rsid w:val="7DB4FFCE"/>
    <w:rsid w:val="7DB99745"/>
    <w:rsid w:val="7DC05FAA"/>
    <w:rsid w:val="7DC2C29D"/>
    <w:rsid w:val="7DC47E97"/>
    <w:rsid w:val="7DC6AECF"/>
    <w:rsid w:val="7DD1F485"/>
    <w:rsid w:val="7DE60251"/>
    <w:rsid w:val="7DEC0109"/>
    <w:rsid w:val="7DFB7F02"/>
    <w:rsid w:val="7E04A38E"/>
    <w:rsid w:val="7E067603"/>
    <w:rsid w:val="7E0C8561"/>
    <w:rsid w:val="7E0E72D1"/>
    <w:rsid w:val="7E10E9EE"/>
    <w:rsid w:val="7E1B6CE2"/>
    <w:rsid w:val="7E1B7AA8"/>
    <w:rsid w:val="7E1D9215"/>
    <w:rsid w:val="7E22506B"/>
    <w:rsid w:val="7E27BB1B"/>
    <w:rsid w:val="7E2A1AB7"/>
    <w:rsid w:val="7E2EFCD7"/>
    <w:rsid w:val="7E2FC9BB"/>
    <w:rsid w:val="7E356FD0"/>
    <w:rsid w:val="7E4AFDB3"/>
    <w:rsid w:val="7E4ED280"/>
    <w:rsid w:val="7E5C733C"/>
    <w:rsid w:val="7E6A3669"/>
    <w:rsid w:val="7E793CCD"/>
    <w:rsid w:val="7E7DF2B5"/>
    <w:rsid w:val="7E7F923B"/>
    <w:rsid w:val="7E8B804C"/>
    <w:rsid w:val="7E8EABD7"/>
    <w:rsid w:val="7E930E06"/>
    <w:rsid w:val="7E994D00"/>
    <w:rsid w:val="7E9F0D83"/>
    <w:rsid w:val="7EA85EAD"/>
    <w:rsid w:val="7EABDD51"/>
    <w:rsid w:val="7EB666E8"/>
    <w:rsid w:val="7EB7C49D"/>
    <w:rsid w:val="7EB8825A"/>
    <w:rsid w:val="7EB921B4"/>
    <w:rsid w:val="7EB96CA9"/>
    <w:rsid w:val="7EC0E9E7"/>
    <w:rsid w:val="7EC57E1E"/>
    <w:rsid w:val="7EC646FE"/>
    <w:rsid w:val="7ED4AE77"/>
    <w:rsid w:val="7ED7EC66"/>
    <w:rsid w:val="7ED92A93"/>
    <w:rsid w:val="7EE146BA"/>
    <w:rsid w:val="7EF1F867"/>
    <w:rsid w:val="7EF20874"/>
    <w:rsid w:val="7EF70F27"/>
    <w:rsid w:val="7EFC1589"/>
    <w:rsid w:val="7EFFF2FE"/>
    <w:rsid w:val="7F009D2F"/>
    <w:rsid w:val="7F08602B"/>
    <w:rsid w:val="7F0B0C9E"/>
    <w:rsid w:val="7F0B77E5"/>
    <w:rsid w:val="7F1B32A3"/>
    <w:rsid w:val="7F259BF6"/>
    <w:rsid w:val="7F2A1DBE"/>
    <w:rsid w:val="7F2C558E"/>
    <w:rsid w:val="7F31A835"/>
    <w:rsid w:val="7F55A8A1"/>
    <w:rsid w:val="7F57405A"/>
    <w:rsid w:val="7F617E55"/>
    <w:rsid w:val="7F69AD1E"/>
    <w:rsid w:val="7F7064DD"/>
    <w:rsid w:val="7F7BDBD2"/>
    <w:rsid w:val="7F7E3D38"/>
    <w:rsid w:val="7F824735"/>
    <w:rsid w:val="7F8C9D1B"/>
    <w:rsid w:val="7F8FFD62"/>
    <w:rsid w:val="7FB4ED13"/>
    <w:rsid w:val="7FC033D6"/>
    <w:rsid w:val="7FC5376D"/>
    <w:rsid w:val="7FC561A8"/>
    <w:rsid w:val="7FC78D11"/>
    <w:rsid w:val="7FCCB335"/>
    <w:rsid w:val="7FD1B481"/>
    <w:rsid w:val="7FD9B6C0"/>
    <w:rsid w:val="7FDBC3E3"/>
    <w:rsid w:val="7FE89BF3"/>
    <w:rsid w:val="7FEEE93C"/>
    <w:rsid w:val="7FF02268"/>
    <w:rsid w:val="7FF10894"/>
    <w:rsid w:val="7FF609C2"/>
    <w:rsid w:val="7FF6AED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FB3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iPriority="7" w:unhideWhenUsed="1"/>
    <w:lsdException w:name="List Number 3" w:semiHidden="1" w:uiPriority="7"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4"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semiHidden="1" w:uiPriority="9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AC7"/>
    <w:pPr>
      <w:keepLines/>
      <w:spacing w:before="120" w:after="120" w:line="252" w:lineRule="auto"/>
    </w:pPr>
    <w:rPr>
      <w:color w:val="232B39" w:themeColor="text1"/>
    </w:rPr>
  </w:style>
  <w:style w:type="paragraph" w:styleId="Heading1">
    <w:name w:val="heading 1"/>
    <w:next w:val="Normal"/>
    <w:link w:val="Heading1Char"/>
    <w:qFormat/>
    <w:rsid w:val="0098080C"/>
    <w:pPr>
      <w:keepNext/>
      <w:keepLines/>
      <w:spacing w:before="360" w:after="120"/>
      <w:outlineLvl w:val="0"/>
    </w:pPr>
    <w:rPr>
      <w:rFonts w:asciiTheme="majorHAnsi" w:eastAsiaTheme="majorEastAsia" w:hAnsiTheme="majorHAnsi" w:cstheme="majorBidi"/>
      <w:color w:val="232B39" w:themeColor="text1"/>
      <w:sz w:val="36"/>
      <w:szCs w:val="28"/>
    </w:rPr>
  </w:style>
  <w:style w:type="paragraph" w:styleId="Heading2">
    <w:name w:val="heading 2"/>
    <w:basedOn w:val="Normal"/>
    <w:next w:val="Normal"/>
    <w:link w:val="Heading2Char"/>
    <w:qFormat/>
    <w:rsid w:val="00E77A73"/>
    <w:pPr>
      <w:keepNext/>
      <w:spacing w:before="28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qFormat/>
    <w:rsid w:val="00E77A73"/>
    <w:pPr>
      <w:keepNext/>
      <w:spacing w:before="24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DF1F4F"/>
    <w:pPr>
      <w:keepNext/>
      <w:spacing w:before="200"/>
      <w:ind w:left="792"/>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98080C"/>
    <w:pPr>
      <w:keepNext/>
      <w:spacing w:before="6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3324A3"/>
    <w:pPr>
      <w:keepNext/>
      <w:numPr>
        <w:ilvl w:val="5"/>
        <w:numId w:val="2"/>
      </w:numPr>
      <w:spacing w:before="200" w:after="100" w:line="276" w:lineRule="auto"/>
      <w:ind w:left="1704" w:hanging="284"/>
      <w:outlineLvl w:val="5"/>
    </w:pPr>
    <w:rPr>
      <w:rFonts w:asciiTheme="majorHAnsi" w:eastAsiaTheme="majorEastAsia" w:hAnsiTheme="majorHAnsi" w:cstheme="majorBidi"/>
      <w:i/>
      <w:iCs/>
      <w:color w:val="420C4E" w:themeColor="accent1" w:themeShade="7F"/>
      <w:spacing w:val="2"/>
    </w:rPr>
  </w:style>
  <w:style w:type="paragraph" w:styleId="Heading7">
    <w:name w:val="heading 7"/>
    <w:basedOn w:val="Normal"/>
    <w:next w:val="Normal"/>
    <w:link w:val="Heading7Char"/>
    <w:uiPriority w:val="9"/>
    <w:semiHidden/>
    <w:rsid w:val="003324A3"/>
    <w:pPr>
      <w:keepNext/>
      <w:numPr>
        <w:ilvl w:val="6"/>
        <w:numId w:val="2"/>
      </w:numPr>
      <w:spacing w:before="200" w:after="100" w:line="276" w:lineRule="auto"/>
      <w:ind w:left="1988" w:hanging="284"/>
      <w:outlineLvl w:val="6"/>
    </w:pPr>
    <w:rPr>
      <w:rFonts w:asciiTheme="majorHAnsi" w:eastAsiaTheme="majorEastAsia" w:hAnsiTheme="majorHAnsi" w:cstheme="majorBidi"/>
      <w:i/>
      <w:iCs/>
      <w:color w:val="4B5B79" w:themeColor="text1" w:themeTint="BF"/>
      <w:spacing w:val="2"/>
    </w:rPr>
  </w:style>
  <w:style w:type="paragraph" w:styleId="Heading8">
    <w:name w:val="heading 8"/>
    <w:basedOn w:val="Normal"/>
    <w:next w:val="Normal"/>
    <w:link w:val="Heading8Char"/>
    <w:uiPriority w:val="9"/>
    <w:semiHidden/>
    <w:unhideWhenUsed/>
    <w:rsid w:val="003324A3"/>
    <w:pPr>
      <w:keepNext/>
      <w:numPr>
        <w:ilvl w:val="7"/>
        <w:numId w:val="2"/>
      </w:numPr>
      <w:spacing w:before="200" w:after="100" w:line="276" w:lineRule="auto"/>
      <w:ind w:left="2272" w:hanging="284"/>
      <w:outlineLvl w:val="7"/>
    </w:pPr>
    <w:rPr>
      <w:rFonts w:asciiTheme="majorHAnsi" w:eastAsiaTheme="majorEastAsia" w:hAnsiTheme="majorHAnsi" w:cstheme="majorBidi"/>
      <w:color w:val="4B5B79" w:themeColor="text1" w:themeTint="BF"/>
      <w:spacing w:val="2"/>
    </w:rPr>
  </w:style>
  <w:style w:type="paragraph" w:styleId="Heading9">
    <w:name w:val="heading 9"/>
    <w:basedOn w:val="Normal"/>
    <w:next w:val="Normal"/>
    <w:link w:val="Heading9Char"/>
    <w:uiPriority w:val="9"/>
    <w:semiHidden/>
    <w:unhideWhenUsed/>
    <w:rsid w:val="003324A3"/>
    <w:pPr>
      <w:keepNext/>
      <w:numPr>
        <w:ilvl w:val="8"/>
        <w:numId w:val="2"/>
      </w:numPr>
      <w:spacing w:before="200" w:after="100" w:line="276" w:lineRule="auto"/>
      <w:ind w:left="2556" w:hanging="284"/>
      <w:outlineLvl w:val="8"/>
    </w:pPr>
    <w:rPr>
      <w:rFonts w:asciiTheme="majorHAnsi" w:eastAsiaTheme="majorEastAsia" w:hAnsiTheme="majorHAnsi" w:cstheme="majorBidi"/>
      <w:i/>
      <w:iCs/>
      <w:color w:val="4B5B79" w:themeColor="text1" w:themeTint="BF"/>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77A73"/>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E77A73"/>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E77A73"/>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98080C"/>
    <w:pPr>
      <w:pBdr>
        <w:bottom w:val="single" w:sz="12" w:space="4" w:color="auto"/>
      </w:pBdr>
      <w:tabs>
        <w:tab w:val="right" w:pos="9000"/>
      </w:tabs>
      <w:spacing w:before="240"/>
      <w:ind w:right="29"/>
    </w:pPr>
    <w:rPr>
      <w:sz w:val="24"/>
      <w:szCs w:val="24"/>
    </w:rPr>
  </w:style>
  <w:style w:type="paragraph" w:styleId="TOC2">
    <w:name w:val="toc 2"/>
    <w:next w:val="Normal"/>
    <w:uiPriority w:val="39"/>
    <w:rsid w:val="00D70663"/>
    <w:pPr>
      <w:tabs>
        <w:tab w:val="left" w:pos="1814"/>
        <w:tab w:val="right" w:pos="9000"/>
      </w:tabs>
      <w:spacing w:after="100"/>
      <w:ind w:left="936" w:right="432" w:hanging="504"/>
      <w:contextualSpacing/>
    </w:pPr>
    <w:rPr>
      <w:noProof/>
      <w:sz w:val="21"/>
      <w:szCs w:val="22"/>
    </w:rPr>
  </w:style>
  <w:style w:type="paragraph" w:styleId="TOC3">
    <w:name w:val="toc 3"/>
    <w:basedOn w:val="Normal"/>
    <w:next w:val="Normal"/>
    <w:uiPriority w:val="39"/>
    <w:rsid w:val="00D70663"/>
    <w:pPr>
      <w:tabs>
        <w:tab w:val="left" w:pos="1814"/>
        <w:tab w:val="right" w:pos="9000"/>
      </w:tabs>
      <w:spacing w:before="0"/>
      <w:ind w:left="1368" w:right="432" w:hanging="360"/>
      <w:contextualSpacing/>
    </w:pPr>
    <w:rPr>
      <w:noProof/>
      <w:color w:val="auto"/>
      <w:sz w:val="18"/>
      <w:szCs w:val="22"/>
    </w:rPr>
  </w:style>
  <w:style w:type="paragraph" w:styleId="Index1">
    <w:name w:val="index 1"/>
    <w:basedOn w:val="Normal"/>
    <w:next w:val="Normal"/>
    <w:uiPriority w:val="99"/>
    <w:semiHidden/>
    <w:rsid w:val="00E77A73"/>
    <w:pPr>
      <w:spacing w:after="60" w:line="240" w:lineRule="auto"/>
    </w:pPr>
    <w:rPr>
      <w:sz w:val="16"/>
    </w:rPr>
  </w:style>
  <w:style w:type="paragraph" w:styleId="Index2">
    <w:name w:val="index 2"/>
    <w:basedOn w:val="Normal"/>
    <w:next w:val="Normal"/>
    <w:uiPriority w:val="99"/>
    <w:semiHidden/>
    <w:rsid w:val="00E77A73"/>
    <w:pPr>
      <w:spacing w:after="0" w:line="240" w:lineRule="auto"/>
      <w:ind w:left="216"/>
    </w:pPr>
    <w:rPr>
      <w:sz w:val="16"/>
      <w:szCs w:val="16"/>
    </w:rPr>
  </w:style>
  <w:style w:type="character" w:styleId="Hyperlink">
    <w:name w:val="Hyperlink"/>
    <w:basedOn w:val="DefaultParagraphFont"/>
    <w:uiPriority w:val="99"/>
    <w:rsid w:val="00FB54B8"/>
    <w:rPr>
      <w:color w:val="4D4D4D"/>
      <w:u w:val="single"/>
    </w:rPr>
  </w:style>
  <w:style w:type="character" w:customStyle="1" w:styleId="Heading1Char">
    <w:name w:val="Heading 1 Char"/>
    <w:basedOn w:val="DefaultParagraphFont"/>
    <w:link w:val="Heading1"/>
    <w:rsid w:val="009A16B2"/>
    <w:rPr>
      <w:rFonts w:asciiTheme="majorHAnsi" w:eastAsiaTheme="majorEastAsia" w:hAnsiTheme="majorHAnsi" w:cstheme="majorBidi"/>
      <w:color w:val="232B39" w:themeColor="text1"/>
      <w:sz w:val="36"/>
      <w:szCs w:val="28"/>
    </w:rPr>
  </w:style>
  <w:style w:type="character" w:customStyle="1" w:styleId="Heading2Char">
    <w:name w:val="Heading 2 Char"/>
    <w:basedOn w:val="DefaultParagraphFont"/>
    <w:link w:val="Heading2"/>
    <w:rsid w:val="00E77A73"/>
    <w:rPr>
      <w:rFonts w:asciiTheme="majorHAnsi" w:eastAsiaTheme="majorEastAsia" w:hAnsiTheme="majorHAnsi" w:cstheme="majorBidi"/>
      <w:color w:val="232B39" w:themeColor="text1"/>
      <w:sz w:val="28"/>
      <w:szCs w:val="26"/>
    </w:rPr>
  </w:style>
  <w:style w:type="paragraph" w:customStyle="1" w:styleId="Bullet1">
    <w:name w:val="Bullet 1"/>
    <w:uiPriority w:val="1"/>
    <w:qFormat/>
    <w:rsid w:val="0098080C"/>
    <w:pPr>
      <w:keepLines/>
      <w:numPr>
        <w:numId w:val="11"/>
      </w:numPr>
      <w:spacing w:before="100" w:after="100" w:line="264" w:lineRule="auto"/>
      <w:contextualSpacing/>
    </w:pPr>
    <w:rPr>
      <w:rFonts w:eastAsia="Times New Roman" w:cs="Calibri"/>
      <w:color w:val="232B39" w:themeColor="text1"/>
    </w:rPr>
  </w:style>
  <w:style w:type="paragraph" w:customStyle="1" w:styleId="Bullet2">
    <w:name w:val="Bullet 2"/>
    <w:basedOn w:val="Bullet1"/>
    <w:uiPriority w:val="1"/>
    <w:qFormat/>
    <w:rsid w:val="0098080C"/>
    <w:pPr>
      <w:numPr>
        <w:ilvl w:val="1"/>
      </w:numPr>
    </w:pPr>
  </w:style>
  <w:style w:type="paragraph" w:customStyle="1" w:styleId="Bulletindent">
    <w:name w:val="Bullet indent"/>
    <w:basedOn w:val="Bullet2"/>
    <w:uiPriority w:val="9"/>
    <w:qFormat/>
    <w:rsid w:val="0065558D"/>
    <w:pPr>
      <w:numPr>
        <w:ilvl w:val="2"/>
      </w:numPr>
      <w:spacing w:before="60" w:after="60" w:line="252" w:lineRule="auto"/>
      <w:contextualSpacing w:val="0"/>
    </w:pPr>
  </w:style>
  <w:style w:type="paragraph" w:customStyle="1" w:styleId="Heading1numbered">
    <w:name w:val="Heading 1 numbered"/>
    <w:basedOn w:val="Heading1"/>
    <w:next w:val="NormalIndent"/>
    <w:uiPriority w:val="8"/>
    <w:qFormat/>
    <w:rsid w:val="0098080C"/>
    <w:pPr>
      <w:numPr>
        <w:ilvl w:val="2"/>
        <w:numId w:val="12"/>
      </w:numPr>
    </w:pPr>
  </w:style>
  <w:style w:type="paragraph" w:customStyle="1" w:styleId="Heading2numbered">
    <w:name w:val="Heading 2 numbered"/>
    <w:basedOn w:val="Heading2"/>
    <w:next w:val="NormalIndent"/>
    <w:uiPriority w:val="8"/>
    <w:qFormat/>
    <w:rsid w:val="0098080C"/>
    <w:pPr>
      <w:numPr>
        <w:ilvl w:val="3"/>
        <w:numId w:val="12"/>
      </w:numPr>
    </w:pPr>
  </w:style>
  <w:style w:type="paragraph" w:customStyle="1" w:styleId="Heading3numbered">
    <w:name w:val="Heading 3 numbered"/>
    <w:basedOn w:val="Heading3"/>
    <w:next w:val="NormalIndent"/>
    <w:uiPriority w:val="8"/>
    <w:qFormat/>
    <w:rsid w:val="0098080C"/>
    <w:pPr>
      <w:numPr>
        <w:ilvl w:val="4"/>
        <w:numId w:val="12"/>
      </w:numPr>
    </w:pPr>
  </w:style>
  <w:style w:type="character" w:customStyle="1" w:styleId="Heading3Char">
    <w:name w:val="Heading 3 Char"/>
    <w:basedOn w:val="DefaultParagraphFont"/>
    <w:link w:val="Heading3"/>
    <w:rsid w:val="00E77A73"/>
    <w:rPr>
      <w:rFonts w:asciiTheme="majorHAnsi" w:eastAsiaTheme="majorEastAsia" w:hAnsiTheme="majorHAnsi" w:cstheme="majorBidi"/>
      <w:color w:val="232B39" w:themeColor="text1"/>
      <w:sz w:val="24"/>
      <w:szCs w:val="24"/>
    </w:rPr>
  </w:style>
  <w:style w:type="paragraph" w:customStyle="1" w:styleId="Heading4numbered">
    <w:name w:val="Heading 4 numbered"/>
    <w:basedOn w:val="Heading4"/>
    <w:next w:val="NormalIndent"/>
    <w:uiPriority w:val="8"/>
    <w:qFormat/>
    <w:rsid w:val="0098080C"/>
    <w:pPr>
      <w:numPr>
        <w:ilvl w:val="5"/>
        <w:numId w:val="12"/>
      </w:numPr>
    </w:pPr>
  </w:style>
  <w:style w:type="character" w:customStyle="1" w:styleId="Heading4Char">
    <w:name w:val="Heading 4 Char"/>
    <w:basedOn w:val="DefaultParagraphFont"/>
    <w:link w:val="Heading4"/>
    <w:rsid w:val="00E77A73"/>
    <w:rPr>
      <w:rFonts w:asciiTheme="majorHAnsi" w:eastAsiaTheme="majorEastAsia" w:hAnsiTheme="majorHAnsi" w:cstheme="majorBidi"/>
      <w:iCs/>
      <w:color w:val="232B39" w:themeColor="text1"/>
      <w:sz w:val="21"/>
      <w:szCs w:val="21"/>
    </w:rPr>
  </w:style>
  <w:style w:type="paragraph" w:styleId="NormalIndent">
    <w:name w:val="Normal Indent"/>
    <w:basedOn w:val="Normal"/>
    <w:uiPriority w:val="9"/>
    <w:qFormat/>
    <w:rsid w:val="00E77A73"/>
    <w:pPr>
      <w:ind w:left="792"/>
    </w:pPr>
  </w:style>
  <w:style w:type="paragraph" w:customStyle="1" w:styleId="NoteNormal">
    <w:name w:val="Note Normal"/>
    <w:basedOn w:val="Normal"/>
    <w:rsid w:val="00E77A73"/>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qFormat/>
    <w:rsid w:val="0098080C"/>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DF186C"/>
    <w:pPr>
      <w:shd w:val="clear" w:color="auto" w:fill="232B39" w:themeFill="text1"/>
      <w:spacing w:before="60" w:after="120" w:line="440" w:lineRule="exact"/>
      <w:ind w:right="2995"/>
    </w:pPr>
    <w:rPr>
      <w:rFonts w:eastAsia="Times New Roman" w:cstheme="majorHAnsi"/>
      <w:color w:val="FFFFFF" w:themeColor="background1"/>
      <w:sz w:val="36"/>
      <w:szCs w:val="36"/>
    </w:rPr>
  </w:style>
  <w:style w:type="character" w:customStyle="1" w:styleId="SubtitleChar">
    <w:name w:val="Subtitle Char"/>
    <w:basedOn w:val="DefaultParagraphFont"/>
    <w:link w:val="Subtitle"/>
    <w:uiPriority w:val="45"/>
    <w:rsid w:val="00E77A73"/>
    <w:rPr>
      <w:rFonts w:eastAsia="Times New Roman" w:cstheme="majorHAnsi"/>
      <w:color w:val="FFFFFF" w:themeColor="background1"/>
      <w:sz w:val="36"/>
      <w:szCs w:val="36"/>
      <w:shd w:val="clear" w:color="auto" w:fill="232B39" w:themeFill="text1"/>
    </w:rPr>
  </w:style>
  <w:style w:type="character" w:styleId="UnresolvedMention">
    <w:name w:val="Unresolved Mention"/>
    <w:basedOn w:val="DefaultParagraphFont"/>
    <w:uiPriority w:val="99"/>
    <w:unhideWhenUsed/>
    <w:rsid w:val="00B95EFE"/>
    <w:rPr>
      <w:color w:val="605E5C"/>
      <w:shd w:val="clear" w:color="auto" w:fill="E1DFDD"/>
    </w:rPr>
  </w:style>
  <w:style w:type="paragraph" w:styleId="Title">
    <w:name w:val="Title"/>
    <w:next w:val="Subtitle"/>
    <w:link w:val="TitleChar"/>
    <w:uiPriority w:val="44"/>
    <w:qFormat/>
    <w:rsid w:val="00DF186C"/>
    <w:pPr>
      <w:shd w:val="clear" w:color="auto" w:fill="232B39" w:themeFill="text1"/>
      <w:spacing w:after="280" w:line="192" w:lineRule="auto"/>
      <w:ind w:right="2909"/>
    </w:pPr>
    <w:rPr>
      <w:rFonts w:asciiTheme="majorHAnsi" w:eastAsia="Times New Roman" w:hAnsiTheme="majorHAnsi" w:cstheme="majorHAnsi"/>
      <w:bCs/>
      <w:color w:val="FFFFFF" w:themeColor="background1"/>
      <w:sz w:val="60"/>
      <w:szCs w:val="60"/>
    </w:rPr>
  </w:style>
  <w:style w:type="character" w:customStyle="1" w:styleId="TitleChar">
    <w:name w:val="Title Char"/>
    <w:basedOn w:val="DefaultParagraphFont"/>
    <w:link w:val="Title"/>
    <w:uiPriority w:val="44"/>
    <w:rsid w:val="00E77A73"/>
    <w:rPr>
      <w:rFonts w:asciiTheme="majorHAnsi" w:eastAsia="Times New Roman" w:hAnsiTheme="majorHAnsi" w:cstheme="majorHAnsi"/>
      <w:bCs/>
      <w:color w:val="FFFFFF" w:themeColor="background1"/>
      <w:sz w:val="60"/>
      <w:szCs w:val="60"/>
      <w:shd w:val="clear" w:color="auto" w:fill="232B39" w:themeFill="text1"/>
    </w:rPr>
  </w:style>
  <w:style w:type="paragraph" w:styleId="BalloonText">
    <w:name w:val="Balloon Text"/>
    <w:basedOn w:val="Normal"/>
    <w:link w:val="BalloonTextChar"/>
    <w:uiPriority w:val="99"/>
    <w:semiHidden/>
    <w:rsid w:val="00E77A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A73"/>
    <w:rPr>
      <w:rFonts w:ascii="Tahoma" w:hAnsi="Tahoma" w:cs="Tahoma"/>
      <w:color w:val="232B39" w:themeColor="text1"/>
      <w:sz w:val="16"/>
      <w:szCs w:val="16"/>
    </w:rPr>
  </w:style>
  <w:style w:type="paragraph" w:customStyle="1" w:styleId="Bulletindent2">
    <w:name w:val="Bullet indent 2"/>
    <w:basedOn w:val="Normal"/>
    <w:uiPriority w:val="9"/>
    <w:qFormat/>
    <w:rsid w:val="0098080C"/>
    <w:pPr>
      <w:numPr>
        <w:ilvl w:val="3"/>
        <w:numId w:val="11"/>
      </w:numPr>
      <w:spacing w:before="100"/>
      <w:contextualSpacing/>
    </w:pPr>
  </w:style>
  <w:style w:type="paragraph" w:styleId="IndexHeading">
    <w:name w:val="index heading"/>
    <w:basedOn w:val="Normal"/>
    <w:next w:val="Index1"/>
    <w:uiPriority w:val="99"/>
    <w:semiHidden/>
    <w:rsid w:val="00E77A73"/>
    <w:rPr>
      <w:rFonts w:asciiTheme="majorHAnsi" w:eastAsiaTheme="majorEastAsia" w:hAnsiTheme="majorHAnsi" w:cstheme="majorBidi"/>
      <w:b/>
      <w:bCs/>
    </w:rPr>
  </w:style>
  <w:style w:type="paragraph" w:styleId="Header">
    <w:name w:val="header"/>
    <w:basedOn w:val="Normal"/>
    <w:link w:val="HeaderChar"/>
    <w:uiPriority w:val="99"/>
    <w:rsid w:val="00E77A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7A73"/>
    <w:rPr>
      <w:color w:val="232B39" w:themeColor="text1"/>
    </w:rPr>
  </w:style>
  <w:style w:type="paragraph" w:styleId="Footer">
    <w:name w:val="footer"/>
    <w:basedOn w:val="Normal"/>
    <w:link w:val="FooterChar"/>
    <w:uiPriority w:val="99"/>
    <w:rsid w:val="00E77A7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E77A73"/>
    <w:rPr>
      <w:noProof/>
      <w:color w:val="232B39" w:themeColor="text1"/>
      <w:sz w:val="18"/>
      <w:szCs w:val="18"/>
    </w:rPr>
  </w:style>
  <w:style w:type="character" w:styleId="PageNumber">
    <w:name w:val="page number"/>
    <w:uiPriority w:val="99"/>
    <w:rsid w:val="00E77A73"/>
    <w:rPr>
      <w:rFonts w:asciiTheme="minorHAnsi" w:hAnsiTheme="minorHAnsi"/>
      <w:b w:val="0"/>
      <w:color w:val="232B39" w:themeColor="text1"/>
    </w:rPr>
  </w:style>
  <w:style w:type="paragraph" w:styleId="TOCHeading">
    <w:name w:val="TOC Heading"/>
    <w:basedOn w:val="Heading1"/>
    <w:next w:val="Normal"/>
    <w:uiPriority w:val="38"/>
    <w:rsid w:val="00E77A73"/>
    <w:pPr>
      <w:spacing w:before="440" w:after="440"/>
      <w:outlineLvl w:val="9"/>
    </w:pPr>
    <w:rPr>
      <w:spacing w:val="2"/>
    </w:rPr>
  </w:style>
  <w:style w:type="paragraph" w:customStyle="1" w:styleId="NormalTight">
    <w:name w:val="Normal Tight"/>
    <w:uiPriority w:val="99"/>
    <w:semiHidden/>
    <w:rsid w:val="00E77A73"/>
    <w:pPr>
      <w:spacing w:after="0" w:line="240" w:lineRule="auto"/>
      <w:ind w:right="2366"/>
    </w:pPr>
    <w:rPr>
      <w:rFonts w:eastAsia="Times New Roman" w:cs="Calibri"/>
      <w:sz w:val="18"/>
      <w:szCs w:val="19"/>
      <w:lang w:eastAsia="en-US"/>
    </w:rPr>
  </w:style>
  <w:style w:type="paragraph" w:customStyle="1" w:styleId="Insidecoverspacer">
    <w:name w:val="Inside cover spacer"/>
    <w:basedOn w:val="NormalTight"/>
    <w:uiPriority w:val="99"/>
    <w:semiHidden/>
    <w:qFormat/>
    <w:rsid w:val="00E77A73"/>
    <w:pPr>
      <w:spacing w:before="3800"/>
      <w:ind w:right="1382"/>
    </w:pPr>
  </w:style>
  <w:style w:type="paragraph" w:styleId="TOC4">
    <w:name w:val="toc 4"/>
    <w:basedOn w:val="TOC1"/>
    <w:next w:val="Normal"/>
    <w:uiPriority w:val="39"/>
    <w:rsid w:val="0098080C"/>
    <w:pPr>
      <w:spacing w:before="280"/>
      <w:ind w:left="446" w:hanging="446"/>
    </w:pPr>
    <w:rPr>
      <w:noProof/>
      <w:lang w:eastAsia="en-US"/>
    </w:rPr>
  </w:style>
  <w:style w:type="paragraph" w:styleId="TOC5">
    <w:name w:val="toc 5"/>
    <w:basedOn w:val="TOC2"/>
    <w:next w:val="Normal"/>
    <w:uiPriority w:val="39"/>
    <w:rsid w:val="00404DFE"/>
    <w:pPr>
      <w:ind w:left="1814" w:right="26" w:hanging="1368"/>
    </w:pPr>
    <w:rPr>
      <w:sz w:val="20"/>
    </w:rPr>
  </w:style>
  <w:style w:type="paragraph" w:styleId="TOC6">
    <w:name w:val="toc 6"/>
    <w:basedOn w:val="TOC3"/>
    <w:next w:val="Normal"/>
    <w:uiPriority w:val="39"/>
    <w:rsid w:val="00E77A73"/>
    <w:pPr>
      <w:ind w:left="1800" w:hanging="720"/>
    </w:pPr>
    <w:rPr>
      <w:lang w:eastAsia="en-US"/>
    </w:rPr>
  </w:style>
  <w:style w:type="table" w:customStyle="1" w:styleId="DTFtexttable">
    <w:name w:val="DTF text table"/>
    <w:basedOn w:val="TableNormal"/>
    <w:uiPriority w:val="99"/>
    <w:rsid w:val="003C7509"/>
    <w:pPr>
      <w:spacing w:before="30" w:after="30" w:line="264" w:lineRule="auto"/>
    </w:pPr>
    <w:rPr>
      <w:rFonts w:eastAsiaTheme="minorHAnsi"/>
      <w:spacing w:val="2"/>
      <w:sz w:val="17"/>
      <w:szCs w:val="21"/>
      <w:lang w:eastAsia="en-US"/>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E77A73"/>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98080C"/>
    <w:pPr>
      <w:spacing w:before="60" w:after="60"/>
    </w:pPr>
    <w:rPr>
      <w:sz w:val="17"/>
    </w:rPr>
  </w:style>
  <w:style w:type="paragraph" w:customStyle="1" w:styleId="Tabletextright">
    <w:name w:val="Table text right"/>
    <w:basedOn w:val="Tabletext"/>
    <w:uiPriority w:val="5"/>
    <w:qFormat/>
    <w:rsid w:val="00E77A73"/>
    <w:pPr>
      <w:jc w:val="right"/>
    </w:pPr>
  </w:style>
  <w:style w:type="paragraph" w:customStyle="1" w:styleId="Listnumindent2">
    <w:name w:val="List num indent 2"/>
    <w:basedOn w:val="Normal"/>
    <w:uiPriority w:val="9"/>
    <w:qFormat/>
    <w:rsid w:val="0098080C"/>
    <w:pPr>
      <w:numPr>
        <w:ilvl w:val="7"/>
        <w:numId w:val="12"/>
      </w:numPr>
      <w:spacing w:before="100"/>
      <w:contextualSpacing/>
    </w:pPr>
  </w:style>
  <w:style w:type="paragraph" w:customStyle="1" w:styleId="Listnumindent">
    <w:name w:val="List num indent"/>
    <w:basedOn w:val="Normal"/>
    <w:uiPriority w:val="9"/>
    <w:qFormat/>
    <w:rsid w:val="0098080C"/>
    <w:pPr>
      <w:numPr>
        <w:ilvl w:val="6"/>
        <w:numId w:val="12"/>
      </w:numPr>
      <w:spacing w:before="100"/>
    </w:pPr>
  </w:style>
  <w:style w:type="paragraph" w:customStyle="1" w:styleId="Listnum">
    <w:name w:val="List num"/>
    <w:basedOn w:val="Normal"/>
    <w:link w:val="ListnumChar"/>
    <w:uiPriority w:val="2"/>
    <w:qFormat/>
    <w:rsid w:val="0098080C"/>
    <w:pPr>
      <w:numPr>
        <w:numId w:val="12"/>
      </w:numPr>
    </w:pPr>
  </w:style>
  <w:style w:type="paragraph" w:customStyle="1" w:styleId="Listnum2">
    <w:name w:val="List num 2"/>
    <w:basedOn w:val="Normal"/>
    <w:uiPriority w:val="2"/>
    <w:qFormat/>
    <w:rsid w:val="0098080C"/>
    <w:pPr>
      <w:numPr>
        <w:ilvl w:val="1"/>
        <w:numId w:val="12"/>
      </w:numPr>
    </w:pPr>
  </w:style>
  <w:style w:type="paragraph" w:customStyle="1" w:styleId="Tabletextcentred">
    <w:name w:val="Table text centred"/>
    <w:basedOn w:val="Tabletext"/>
    <w:uiPriority w:val="5"/>
    <w:qFormat/>
    <w:rsid w:val="00E77A73"/>
    <w:pPr>
      <w:jc w:val="center"/>
    </w:pPr>
  </w:style>
  <w:style w:type="paragraph" w:customStyle="1" w:styleId="Tableheader">
    <w:name w:val="Table header"/>
    <w:basedOn w:val="Tabletext"/>
    <w:uiPriority w:val="5"/>
    <w:qFormat/>
    <w:rsid w:val="0098080C"/>
    <w:pPr>
      <w:keepNext/>
      <w:spacing w:before="120"/>
    </w:pPr>
    <w:rPr>
      <w:rFonts w:eastAsiaTheme="minorHAnsi"/>
      <w:color w:val="FFFFFF" w:themeColor="background1"/>
      <w:spacing w:val="2"/>
      <w:sz w:val="18"/>
      <w:szCs w:val="18"/>
      <w:lang w:eastAsia="en-US"/>
    </w:rPr>
  </w:style>
  <w:style w:type="paragraph" w:customStyle="1" w:styleId="Tablebullet">
    <w:name w:val="Table bullet"/>
    <w:basedOn w:val="Tabletext"/>
    <w:uiPriority w:val="6"/>
    <w:rsid w:val="003274F9"/>
    <w:pPr>
      <w:numPr>
        <w:numId w:val="5"/>
      </w:numPr>
    </w:pPr>
  </w:style>
  <w:style w:type="paragraph" w:customStyle="1" w:styleId="Tabledash">
    <w:name w:val="Table dash"/>
    <w:basedOn w:val="Tablebullet"/>
    <w:uiPriority w:val="6"/>
    <w:rsid w:val="003274F9"/>
    <w:pPr>
      <w:keepLines w:val="0"/>
      <w:numPr>
        <w:ilvl w:val="1"/>
      </w:numPr>
    </w:pPr>
  </w:style>
  <w:style w:type="paragraph" w:customStyle="1" w:styleId="Tabletextindent">
    <w:name w:val="Table text indent"/>
    <w:basedOn w:val="Tabletext"/>
    <w:uiPriority w:val="5"/>
    <w:qFormat/>
    <w:rsid w:val="00E77A73"/>
    <w:pPr>
      <w:ind w:left="288"/>
    </w:pPr>
  </w:style>
  <w:style w:type="paragraph" w:customStyle="1" w:styleId="Numpara">
    <w:name w:val="Num para"/>
    <w:basedOn w:val="ListParagraph"/>
    <w:uiPriority w:val="2"/>
    <w:qFormat/>
    <w:rsid w:val="0098080C"/>
    <w:pPr>
      <w:tabs>
        <w:tab w:val="left" w:pos="540"/>
      </w:tabs>
      <w:ind w:left="360" w:hanging="360"/>
    </w:pPr>
  </w:style>
  <w:style w:type="paragraph" w:styleId="FootnoteText">
    <w:name w:val="footnote text"/>
    <w:basedOn w:val="Normal"/>
    <w:link w:val="FootnoteTextChar"/>
    <w:uiPriority w:val="99"/>
    <w:semiHidden/>
    <w:rsid w:val="00E77A73"/>
    <w:pPr>
      <w:spacing w:before="0" w:after="0" w:line="240" w:lineRule="auto"/>
    </w:pPr>
    <w:rPr>
      <w:sz w:val="17"/>
    </w:rPr>
  </w:style>
  <w:style w:type="character" w:customStyle="1" w:styleId="FootnoteTextChar">
    <w:name w:val="Footnote Text Char"/>
    <w:basedOn w:val="DefaultParagraphFont"/>
    <w:link w:val="FootnoteText"/>
    <w:uiPriority w:val="99"/>
    <w:semiHidden/>
    <w:rsid w:val="00E77A73"/>
    <w:rPr>
      <w:color w:val="232B39" w:themeColor="text1"/>
      <w:sz w:val="17"/>
    </w:rPr>
  </w:style>
  <w:style w:type="character" w:styleId="FootnoteReference">
    <w:name w:val="footnote reference"/>
    <w:basedOn w:val="DefaultParagraphFont"/>
    <w:uiPriority w:val="99"/>
    <w:rsid w:val="00E77A73"/>
    <w:rPr>
      <w:vertAlign w:val="superscript"/>
    </w:rPr>
  </w:style>
  <w:style w:type="table" w:customStyle="1" w:styleId="DTFtexttableindent">
    <w:name w:val="DTF text table indent"/>
    <w:basedOn w:val="DTFtexttable"/>
    <w:uiPriority w:val="99"/>
    <w:rsid w:val="00DF1F4F"/>
    <w:pPr>
      <w:spacing w:after="0" w:line="240" w:lineRule="auto"/>
    </w:pPr>
    <w:tblPr>
      <w:tblInd w:w="792"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77A73"/>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FFFFFF" w:themeColor="background1"/>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98080C"/>
    <w:pPr>
      <w:numPr>
        <w:ilvl w:val="8"/>
        <w:numId w:val="12"/>
      </w:numPr>
      <w:tabs>
        <w:tab w:val="clear" w:pos="540"/>
      </w:tabs>
    </w:pPr>
  </w:style>
  <w:style w:type="paragraph" w:customStyle="1" w:styleId="NoteNormalindent">
    <w:name w:val="Note Normal indent"/>
    <w:basedOn w:val="NoteNormal"/>
    <w:uiPriority w:val="9"/>
    <w:rsid w:val="00E77A73"/>
    <w:pPr>
      <w:ind w:left="792"/>
    </w:pPr>
  </w:style>
  <w:style w:type="paragraph" w:customStyle="1" w:styleId="Tablenum1">
    <w:name w:val="Table num 1"/>
    <w:basedOn w:val="Normal"/>
    <w:uiPriority w:val="6"/>
    <w:rsid w:val="00E77A73"/>
    <w:pPr>
      <w:numPr>
        <w:ilvl w:val="2"/>
        <w:numId w:val="5"/>
      </w:numPr>
      <w:spacing w:before="60" w:after="60"/>
    </w:pPr>
    <w:rPr>
      <w:sz w:val="17"/>
    </w:rPr>
  </w:style>
  <w:style w:type="paragraph" w:customStyle="1" w:styleId="Tablenum2">
    <w:name w:val="Table num 2"/>
    <w:basedOn w:val="Normal"/>
    <w:uiPriority w:val="6"/>
    <w:rsid w:val="00E77A73"/>
    <w:pPr>
      <w:numPr>
        <w:ilvl w:val="3"/>
        <w:numId w:val="5"/>
      </w:numPr>
      <w:spacing w:before="60" w:after="60"/>
    </w:pPr>
    <w:rPr>
      <w:sz w:val="17"/>
    </w:rPr>
  </w:style>
  <w:style w:type="paragraph" w:styleId="Caption">
    <w:name w:val="caption"/>
    <w:basedOn w:val="Normal"/>
    <w:next w:val="Normal"/>
    <w:uiPriority w:val="5"/>
    <w:rsid w:val="00E77A73"/>
    <w:pPr>
      <w:keepNext/>
      <w:spacing w:before="200" w:after="60" w:line="240" w:lineRule="auto"/>
    </w:pPr>
    <w:rPr>
      <w:rFonts w:asciiTheme="majorHAnsi" w:hAnsiTheme="majorHAnsi"/>
      <w:sz w:val="18"/>
      <w:szCs w:val="18"/>
    </w:rPr>
  </w:style>
  <w:style w:type="character" w:styleId="PlaceholderText">
    <w:name w:val="Placeholder Text"/>
    <w:basedOn w:val="DefaultParagraphFont"/>
    <w:uiPriority w:val="99"/>
    <w:semiHidden/>
    <w:rsid w:val="00E77A73"/>
    <w:rPr>
      <w:color w:val="808080"/>
    </w:rPr>
  </w:style>
  <w:style w:type="paragraph" w:customStyle="1" w:styleId="ReportDate">
    <w:name w:val="ReportDate"/>
    <w:uiPriority w:val="79"/>
    <w:semiHidden/>
    <w:rsid w:val="00E77A73"/>
    <w:pPr>
      <w:spacing w:before="160" w:after="60" w:line="240" w:lineRule="auto"/>
      <w:ind w:right="2909"/>
      <w:jc w:val="right"/>
    </w:pPr>
    <w:rPr>
      <w:rFonts w:asciiTheme="majorHAnsi" w:hAnsiTheme="majorHAnsi"/>
      <w:bCs/>
      <w:caps/>
      <w:color w:val="FFFFFF" w:themeColor="background1"/>
    </w:rPr>
  </w:style>
  <w:style w:type="paragraph" w:customStyle="1" w:styleId="CM">
    <w:name w:val="CM"/>
    <w:next w:val="Title"/>
    <w:uiPriority w:val="79"/>
    <w:semiHidden/>
    <w:rsid w:val="00E77A73"/>
    <w:pPr>
      <w:spacing w:after="2200" w:line="240" w:lineRule="auto"/>
      <w:ind w:right="2909"/>
      <w:jc w:val="right"/>
    </w:pPr>
    <w:rPr>
      <w:caps/>
    </w:rPr>
  </w:style>
  <w:style w:type="character" w:customStyle="1" w:styleId="Heading5Char">
    <w:name w:val="Heading 5 Char"/>
    <w:basedOn w:val="DefaultParagraphFont"/>
    <w:link w:val="Heading5"/>
    <w:rsid w:val="000D5CB8"/>
    <w:rPr>
      <w:rFonts w:asciiTheme="majorHAnsi" w:eastAsiaTheme="majorEastAsia" w:hAnsiTheme="majorHAnsi" w:cstheme="majorBidi"/>
      <w:color w:val="232B39" w:themeColor="text1"/>
    </w:rPr>
  </w:style>
  <w:style w:type="paragraph" w:customStyle="1" w:styleId="CoverSpacer">
    <w:name w:val="CoverSpacer"/>
    <w:basedOn w:val="Normal"/>
    <w:semiHidden/>
    <w:qFormat/>
    <w:rsid w:val="00E77A73"/>
    <w:pPr>
      <w:spacing w:before="4600" w:after="0"/>
    </w:pPr>
  </w:style>
  <w:style w:type="table" w:styleId="PlainTable4">
    <w:name w:val="Plain Table 4"/>
    <w:basedOn w:val="TableNormal"/>
    <w:uiPriority w:val="44"/>
    <w:rsid w:val="00E77A7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E77A73"/>
    <w:pPr>
      <w:spacing w:before="240"/>
      <w:ind w:left="792"/>
    </w:pPr>
  </w:style>
  <w:style w:type="paragraph" w:styleId="Quote">
    <w:name w:val="Quote"/>
    <w:basedOn w:val="Normal"/>
    <w:next w:val="Normal"/>
    <w:link w:val="QuoteChar"/>
    <w:uiPriority w:val="14"/>
    <w:qFormat/>
    <w:rsid w:val="00F24A9E"/>
    <w:pPr>
      <w:pBdr>
        <w:top w:val="single" w:sz="12" w:space="6" w:color="87189D" w:themeColor="accent1"/>
        <w:bottom w:val="single" w:sz="12" w:space="4" w:color="87189D" w:themeColor="accent1"/>
      </w:pBdr>
      <w:tabs>
        <w:tab w:val="right" w:pos="8162"/>
      </w:tabs>
      <w:spacing w:before="200" w:after="200" w:line="276" w:lineRule="auto"/>
      <w:ind w:left="1267" w:right="864"/>
    </w:pPr>
    <w:rPr>
      <w:i/>
      <w:iCs/>
      <w:sz w:val="18"/>
      <w:szCs w:val="18"/>
    </w:rPr>
  </w:style>
  <w:style w:type="character" w:customStyle="1" w:styleId="QuoteChar">
    <w:name w:val="Quote Char"/>
    <w:basedOn w:val="DefaultParagraphFont"/>
    <w:link w:val="Quote"/>
    <w:uiPriority w:val="14"/>
    <w:rsid w:val="002770AB"/>
    <w:rPr>
      <w:i/>
      <w:iCs/>
      <w:color w:val="232B39" w:themeColor="text1"/>
      <w:sz w:val="18"/>
      <w:szCs w:val="18"/>
    </w:rPr>
  </w:style>
  <w:style w:type="character" w:styleId="FollowedHyperlink">
    <w:name w:val="FollowedHyperlink"/>
    <w:basedOn w:val="DefaultParagraphFont"/>
    <w:uiPriority w:val="99"/>
    <w:semiHidden/>
    <w:rsid w:val="00E77A73"/>
    <w:rPr>
      <w:color w:val="808080" w:themeColor="background1" w:themeShade="80"/>
      <w:u w:val="none"/>
    </w:rPr>
  </w:style>
  <w:style w:type="character" w:styleId="CommentReference">
    <w:name w:val="annotation reference"/>
    <w:basedOn w:val="DefaultParagraphFont"/>
    <w:uiPriority w:val="99"/>
    <w:semiHidden/>
    <w:unhideWhenUsed/>
    <w:rsid w:val="004D525A"/>
    <w:rPr>
      <w:sz w:val="16"/>
      <w:szCs w:val="16"/>
    </w:rPr>
  </w:style>
  <w:style w:type="paragraph" w:styleId="CommentSubject">
    <w:name w:val="annotation subject"/>
    <w:basedOn w:val="Normal"/>
    <w:next w:val="Normal"/>
    <w:link w:val="CommentSubjectChar"/>
    <w:uiPriority w:val="99"/>
    <w:semiHidden/>
    <w:unhideWhenUsed/>
    <w:rsid w:val="00620E90"/>
    <w:rPr>
      <w:b/>
      <w:bCs/>
    </w:rPr>
  </w:style>
  <w:style w:type="character" w:customStyle="1" w:styleId="CommentSubjectChar">
    <w:name w:val="Comment Subject Char"/>
    <w:basedOn w:val="DefaultParagraphFont"/>
    <w:link w:val="CommentSubject"/>
    <w:uiPriority w:val="99"/>
    <w:semiHidden/>
    <w:rsid w:val="00620E90"/>
    <w:rPr>
      <w:rFonts w:eastAsiaTheme="minorHAnsi"/>
      <w:b/>
      <w:bCs/>
      <w:color w:val="232B39" w:themeColor="text1"/>
      <w:lang w:eastAsia="en-US"/>
    </w:rPr>
  </w:style>
  <w:style w:type="character" w:customStyle="1" w:styleId="Heading6Char">
    <w:name w:val="Heading 6 Char"/>
    <w:basedOn w:val="DefaultParagraphFont"/>
    <w:link w:val="Heading6"/>
    <w:uiPriority w:val="9"/>
    <w:semiHidden/>
    <w:rsid w:val="00281C60"/>
    <w:rPr>
      <w:rFonts w:asciiTheme="majorHAnsi" w:eastAsiaTheme="majorEastAsia" w:hAnsiTheme="majorHAnsi" w:cstheme="majorBidi"/>
      <w:i/>
      <w:iCs/>
      <w:color w:val="420C4E" w:themeColor="accent1" w:themeShade="7F"/>
      <w:spacing w:val="2"/>
    </w:rPr>
  </w:style>
  <w:style w:type="character" w:customStyle="1" w:styleId="Heading7Char">
    <w:name w:val="Heading 7 Char"/>
    <w:basedOn w:val="DefaultParagraphFont"/>
    <w:link w:val="Heading7"/>
    <w:uiPriority w:val="9"/>
    <w:semiHidden/>
    <w:rsid w:val="00281C60"/>
    <w:rPr>
      <w:rFonts w:asciiTheme="majorHAnsi" w:eastAsiaTheme="majorEastAsia" w:hAnsiTheme="majorHAnsi" w:cstheme="majorBidi"/>
      <w:i/>
      <w:iCs/>
      <w:color w:val="4B5B79" w:themeColor="text1" w:themeTint="BF"/>
      <w:spacing w:val="2"/>
    </w:rPr>
  </w:style>
  <w:style w:type="character" w:customStyle="1" w:styleId="Heading8Char">
    <w:name w:val="Heading 8 Char"/>
    <w:basedOn w:val="DefaultParagraphFont"/>
    <w:link w:val="Heading8"/>
    <w:uiPriority w:val="9"/>
    <w:semiHidden/>
    <w:rsid w:val="003324A3"/>
    <w:rPr>
      <w:rFonts w:asciiTheme="majorHAnsi" w:eastAsiaTheme="majorEastAsia" w:hAnsiTheme="majorHAnsi" w:cstheme="majorBidi"/>
      <w:color w:val="4B5B79" w:themeColor="text1" w:themeTint="BF"/>
      <w:spacing w:val="2"/>
    </w:rPr>
  </w:style>
  <w:style w:type="character" w:customStyle="1" w:styleId="Heading9Char">
    <w:name w:val="Heading 9 Char"/>
    <w:basedOn w:val="DefaultParagraphFont"/>
    <w:link w:val="Heading9"/>
    <w:uiPriority w:val="9"/>
    <w:semiHidden/>
    <w:rsid w:val="003324A3"/>
    <w:rPr>
      <w:rFonts w:asciiTheme="majorHAnsi" w:eastAsiaTheme="majorEastAsia" w:hAnsiTheme="majorHAnsi" w:cstheme="majorBidi"/>
      <w:i/>
      <w:iCs/>
      <w:color w:val="4B5B79" w:themeColor="text1" w:themeTint="BF"/>
      <w:spacing w:val="2"/>
    </w:rPr>
  </w:style>
  <w:style w:type="table" w:styleId="TableGrid">
    <w:name w:val="Table Grid"/>
    <w:basedOn w:val="TableNormal"/>
    <w:uiPriority w:val="59"/>
    <w:rsid w:val="003324A3"/>
    <w:pPr>
      <w:spacing w:before="20" w:after="20" w:line="240" w:lineRule="auto"/>
    </w:pPr>
    <w:rPr>
      <w:rFonts w:eastAsiaTheme="minorHAnsi"/>
      <w:spacing w:val="2"/>
      <w:sz w:val="17"/>
      <w:szCs w:val="21"/>
      <w:lang w:eastAsia="en-US"/>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CellMar>
        <w:left w:w="57" w:type="dxa"/>
        <w:right w:w="57" w:type="dxa"/>
      </w:tblCellMar>
    </w:tblPr>
    <w:tcPr>
      <w:shd w:val="clear" w:color="auto" w:fill="D9D9D6"/>
    </w:tcPr>
    <w:tblStylePr w:type="firstRow">
      <w:pPr>
        <w:keepNext/>
        <w:keepLines/>
        <w:widowControl/>
        <w:wordWrap/>
        <w:spacing w:beforeLines="0" w:before="120" w:beforeAutospacing="0" w:afterLines="0" w:after="30" w:afterAutospacing="0"/>
        <w:jc w:val="left"/>
      </w:pPr>
      <w:rPr>
        <w:b/>
        <w:i w:val="0"/>
        <w:color w:val="FFFFFF" w:themeColor="background1"/>
      </w:rPr>
      <w:tblPr/>
      <w:tcPr>
        <w:shd w:val="clear" w:color="auto" w:fill="53565A"/>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D9D9D6"/>
      </w:tcPr>
    </w:tblStylePr>
    <w:tblStylePr w:type="band1Vert">
      <w:pPr>
        <w:jc w:val="left"/>
      </w:pPr>
    </w:tblStylePr>
    <w:tblStylePr w:type="band2Vert">
      <w:pPr>
        <w:jc w:val="left"/>
      </w:pPr>
    </w:tblStylePr>
    <w:tblStylePr w:type="band2Horz">
      <w:pPr>
        <w:jc w:val="left"/>
      </w:pPr>
    </w:tblStylePr>
  </w:style>
  <w:style w:type="character" w:customStyle="1" w:styleId="UnresolvedMention1">
    <w:name w:val="Unresolved Mention1"/>
    <w:basedOn w:val="DefaultParagraphFont"/>
    <w:uiPriority w:val="99"/>
    <w:semiHidden/>
    <w:unhideWhenUsed/>
    <w:rsid w:val="003324A3"/>
    <w:rPr>
      <w:color w:val="605E5C"/>
      <w:shd w:val="clear" w:color="auto" w:fill="E1DFDD"/>
    </w:rPr>
  </w:style>
  <w:style w:type="paragraph" w:customStyle="1" w:styleId="Source">
    <w:name w:val="Source"/>
    <w:basedOn w:val="Normal"/>
    <w:next w:val="Note"/>
    <w:uiPriority w:val="51"/>
    <w:semiHidden/>
    <w:qFormat/>
    <w:rsid w:val="003324A3"/>
    <w:pPr>
      <w:spacing w:before="20" w:after="60" w:line="276" w:lineRule="auto"/>
    </w:pPr>
    <w:rPr>
      <w:rFonts w:asciiTheme="majorHAnsi" w:hAnsiTheme="majorHAnsi"/>
      <w:i/>
      <w:color w:val="auto"/>
      <w:spacing w:val="-2"/>
      <w:sz w:val="14"/>
    </w:rPr>
  </w:style>
  <w:style w:type="paragraph" w:customStyle="1" w:styleId="Note">
    <w:name w:val="Note"/>
    <w:basedOn w:val="Normal"/>
    <w:link w:val="NoteChar"/>
    <w:uiPriority w:val="52"/>
    <w:semiHidden/>
    <w:qFormat/>
    <w:rsid w:val="003324A3"/>
    <w:pPr>
      <w:spacing w:before="20" w:after="100" w:line="276" w:lineRule="auto"/>
      <w:ind w:left="284" w:hanging="284"/>
      <w:contextualSpacing/>
    </w:pPr>
    <w:rPr>
      <w:rFonts w:asciiTheme="majorHAnsi" w:hAnsiTheme="majorHAnsi"/>
      <w:i/>
      <w:color w:val="auto"/>
      <w:spacing w:val="-2"/>
      <w:sz w:val="14"/>
    </w:rPr>
  </w:style>
  <w:style w:type="paragraph" w:customStyle="1" w:styleId="HighlightBoxText">
    <w:name w:val="Highlight Box Text"/>
    <w:basedOn w:val="Normal"/>
    <w:uiPriority w:val="60"/>
    <w:qFormat/>
    <w:rsid w:val="00BE2139"/>
    <w:pPr>
      <w:pBdr>
        <w:top w:val="single" w:sz="8" w:space="3" w:color="87189D" w:themeColor="accent1"/>
        <w:left w:val="single" w:sz="8" w:space="5" w:color="87189D" w:themeColor="accent1"/>
        <w:bottom w:val="single" w:sz="8" w:space="3" w:color="87189D" w:themeColor="accent1"/>
        <w:right w:val="single" w:sz="8" w:space="5" w:color="87189D" w:themeColor="accent1"/>
      </w:pBdr>
      <w:shd w:val="clear" w:color="auto" w:fill="E7D1EB" w:themeFill="background2"/>
      <w:spacing w:before="160" w:after="100" w:line="240" w:lineRule="auto"/>
      <w:ind w:left="792"/>
    </w:pPr>
    <w:rPr>
      <w:color w:val="auto"/>
      <w:spacing w:val="2"/>
    </w:rPr>
  </w:style>
  <w:style w:type="table" w:styleId="LightShading-Accent1">
    <w:name w:val="Light Shading Accent 1"/>
    <w:basedOn w:val="TableNormal"/>
    <w:uiPriority w:val="60"/>
    <w:rsid w:val="003324A3"/>
    <w:pPr>
      <w:spacing w:before="160" w:after="100" w:line="264" w:lineRule="auto"/>
    </w:pPr>
    <w:rPr>
      <w:rFonts w:eastAsiaTheme="minorHAnsi"/>
      <w:color w:val="641275" w:themeColor="accent1" w:themeShade="BF"/>
      <w:lang w:eastAsia="en-US"/>
    </w:rPr>
    <w:tblPr>
      <w:tblStyleRowBandSize w:val="1"/>
      <w:tblStyleColBandSize w:val="1"/>
      <w:tblBorders>
        <w:top w:val="single" w:sz="8" w:space="0" w:color="87189D" w:themeColor="accent1"/>
        <w:bottom w:val="single" w:sz="8" w:space="0" w:color="87189D" w:themeColor="accent1"/>
      </w:tblBorders>
    </w:tblPr>
    <w:tblStylePr w:type="firstRow">
      <w:pPr>
        <w:spacing w:before="0" w:after="0" w:line="240" w:lineRule="auto"/>
      </w:pPr>
      <w:rPr>
        <w:b/>
        <w:bCs/>
      </w:rPr>
      <w:tblPr/>
      <w:tcPr>
        <w:tcBorders>
          <w:top w:val="single" w:sz="8" w:space="0" w:color="87189D" w:themeColor="accent1"/>
          <w:left w:val="nil"/>
          <w:bottom w:val="single" w:sz="8" w:space="0" w:color="87189D" w:themeColor="accent1"/>
          <w:right w:val="nil"/>
          <w:insideH w:val="nil"/>
          <w:insideV w:val="nil"/>
        </w:tcBorders>
      </w:tcPr>
    </w:tblStylePr>
    <w:tblStylePr w:type="lastRow">
      <w:pPr>
        <w:spacing w:before="0" w:after="0" w:line="240" w:lineRule="auto"/>
      </w:pPr>
      <w:rPr>
        <w:b/>
        <w:bCs/>
      </w:rPr>
      <w:tblPr/>
      <w:tcPr>
        <w:tcBorders>
          <w:top w:val="single" w:sz="8" w:space="0" w:color="87189D" w:themeColor="accent1"/>
          <w:left w:val="nil"/>
          <w:bottom w:val="single" w:sz="8" w:space="0" w:color="87189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B8F4" w:themeFill="accent1" w:themeFillTint="3F"/>
      </w:tcPr>
    </w:tblStylePr>
    <w:tblStylePr w:type="band1Horz">
      <w:tblPr/>
      <w:tcPr>
        <w:tcBorders>
          <w:left w:val="nil"/>
          <w:right w:val="nil"/>
          <w:insideH w:val="nil"/>
          <w:insideV w:val="nil"/>
        </w:tcBorders>
        <w:shd w:val="clear" w:color="auto" w:fill="EAB8F4" w:themeFill="accent1" w:themeFillTint="3F"/>
      </w:tcPr>
    </w:tblStylePr>
  </w:style>
  <w:style w:type="table" w:styleId="LightShading-Accent4">
    <w:name w:val="Light Shading Accent 4"/>
    <w:basedOn w:val="TableNormal"/>
    <w:uiPriority w:val="60"/>
    <w:rsid w:val="003324A3"/>
    <w:pPr>
      <w:spacing w:before="160" w:after="100" w:line="264" w:lineRule="auto"/>
    </w:pPr>
    <w:rPr>
      <w:rFonts w:eastAsiaTheme="minorHAnsi"/>
      <w:color w:val="9B9FA4" w:themeColor="accent4" w:themeShade="BF"/>
      <w:lang w:eastAsia="en-US"/>
    </w:rPr>
    <w:tblPr>
      <w:tblStyleRowBandSize w:val="1"/>
      <w:tblStyleColBandSize w:val="1"/>
      <w:tblBorders>
        <w:top w:val="single" w:sz="8" w:space="0" w:color="D3D5D7" w:themeColor="accent4"/>
        <w:bottom w:val="single" w:sz="8" w:space="0" w:color="D3D5D7" w:themeColor="accent4"/>
      </w:tblBorders>
    </w:tblPr>
    <w:tblStylePr w:type="firstRow">
      <w:pPr>
        <w:spacing w:before="0" w:after="0" w:line="240" w:lineRule="auto"/>
      </w:pPr>
      <w:rPr>
        <w:b/>
        <w:bCs/>
      </w:rPr>
      <w:tblPr/>
      <w:tcPr>
        <w:tcBorders>
          <w:top w:val="single" w:sz="8" w:space="0" w:color="D3D5D7" w:themeColor="accent4"/>
          <w:left w:val="nil"/>
          <w:bottom w:val="single" w:sz="8" w:space="0" w:color="D3D5D7" w:themeColor="accent4"/>
          <w:right w:val="nil"/>
          <w:insideH w:val="nil"/>
          <w:insideV w:val="nil"/>
        </w:tcBorders>
      </w:tcPr>
    </w:tblStylePr>
    <w:tblStylePr w:type="lastRow">
      <w:pPr>
        <w:spacing w:before="0" w:after="0" w:line="240" w:lineRule="auto"/>
      </w:pPr>
      <w:rPr>
        <w:b/>
        <w:bCs/>
      </w:rPr>
      <w:tblPr/>
      <w:tcPr>
        <w:tcBorders>
          <w:top w:val="single" w:sz="8" w:space="0" w:color="D3D5D7" w:themeColor="accent4"/>
          <w:left w:val="nil"/>
          <w:bottom w:val="single" w:sz="8" w:space="0" w:color="D3D5D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4F5" w:themeFill="accent4" w:themeFillTint="3F"/>
      </w:tcPr>
    </w:tblStylePr>
    <w:tblStylePr w:type="band1Horz">
      <w:tblPr/>
      <w:tcPr>
        <w:tcBorders>
          <w:left w:val="nil"/>
          <w:right w:val="nil"/>
          <w:insideH w:val="nil"/>
          <w:insideV w:val="nil"/>
        </w:tcBorders>
        <w:shd w:val="clear" w:color="auto" w:fill="F4F4F5" w:themeFill="accent4" w:themeFillTint="3F"/>
      </w:tcPr>
    </w:tblStylePr>
  </w:style>
  <w:style w:type="paragraph" w:customStyle="1" w:styleId="DecimalAligned">
    <w:name w:val="Decimal Aligned"/>
    <w:basedOn w:val="Normal"/>
    <w:uiPriority w:val="40"/>
    <w:semiHidden/>
    <w:rsid w:val="003324A3"/>
    <w:pPr>
      <w:tabs>
        <w:tab w:val="decimal" w:pos="360"/>
      </w:tabs>
      <w:spacing w:before="160" w:after="200" w:line="276" w:lineRule="auto"/>
    </w:pPr>
    <w:rPr>
      <w:color w:val="auto"/>
      <w:spacing w:val="2"/>
      <w:lang w:val="en-US" w:eastAsia="ja-JP"/>
    </w:rPr>
  </w:style>
  <w:style w:type="table" w:styleId="MediumShading2-Accent5">
    <w:name w:val="Medium Shading 2 Accent 5"/>
    <w:basedOn w:val="TableNormal"/>
    <w:uiPriority w:val="64"/>
    <w:rsid w:val="003324A3"/>
    <w:pPr>
      <w:spacing w:before="160" w:after="100" w:line="264" w:lineRule="auto"/>
    </w:pPr>
    <w:rPr>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AC7"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AC7" w:themeFill="accent5"/>
      </w:tcPr>
    </w:tblStylePr>
    <w:tblStylePr w:type="lastCol">
      <w:rPr>
        <w:b/>
        <w:bCs/>
        <w:color w:val="FFFFFF" w:themeColor="background1"/>
      </w:rPr>
      <w:tblPr/>
      <w:tcPr>
        <w:tcBorders>
          <w:left w:val="nil"/>
          <w:right w:val="nil"/>
          <w:insideH w:val="nil"/>
          <w:insideV w:val="nil"/>
        </w:tcBorders>
        <w:shd w:val="clear" w:color="auto" w:fill="00BAC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styleId="111111">
    <w:name w:val="Outline List 2"/>
    <w:basedOn w:val="NoList"/>
    <w:uiPriority w:val="99"/>
    <w:semiHidden/>
    <w:unhideWhenUsed/>
    <w:rsid w:val="003324A3"/>
    <w:pPr>
      <w:numPr>
        <w:numId w:val="7"/>
      </w:numPr>
    </w:pPr>
  </w:style>
  <w:style w:type="character" w:customStyle="1" w:styleId="FooteroddChar">
    <w:name w:val="Footer (odd) Char"/>
    <w:basedOn w:val="DefaultParagraphFont"/>
    <w:link w:val="Footerodd"/>
    <w:uiPriority w:val="84"/>
    <w:rsid w:val="003324A3"/>
    <w:rPr>
      <w:rFonts w:asciiTheme="majorHAnsi" w:hAnsiTheme="majorHAnsi"/>
      <w:noProof/>
      <w:spacing w:val="2"/>
      <w:sz w:val="18"/>
      <w:szCs w:val="18"/>
    </w:rPr>
  </w:style>
  <w:style w:type="paragraph" w:customStyle="1" w:styleId="Footerodd">
    <w:name w:val="Footer (odd)"/>
    <w:basedOn w:val="Footer"/>
    <w:link w:val="FooteroddChar"/>
    <w:uiPriority w:val="84"/>
    <w:rsid w:val="003324A3"/>
    <w:pPr>
      <w:tabs>
        <w:tab w:val="clear" w:pos="9026"/>
        <w:tab w:val="right" w:pos="9084"/>
      </w:tabs>
    </w:pPr>
    <w:rPr>
      <w:rFonts w:asciiTheme="majorHAnsi" w:hAnsiTheme="majorHAnsi"/>
      <w:color w:val="auto"/>
      <w:spacing w:val="2"/>
    </w:rPr>
  </w:style>
  <w:style w:type="paragraph" w:customStyle="1" w:styleId="NoteDash">
    <w:name w:val="Note Dash"/>
    <w:basedOn w:val="Note"/>
    <w:next w:val="Note"/>
    <w:uiPriority w:val="53"/>
    <w:semiHidden/>
    <w:rsid w:val="003324A3"/>
    <w:pPr>
      <w:ind w:left="0" w:firstLine="0"/>
    </w:pPr>
  </w:style>
  <w:style w:type="character" w:customStyle="1" w:styleId="NoteChar">
    <w:name w:val="Note Char"/>
    <w:basedOn w:val="DefaultParagraphFont"/>
    <w:link w:val="Note"/>
    <w:uiPriority w:val="52"/>
    <w:semiHidden/>
    <w:rsid w:val="003324A3"/>
    <w:rPr>
      <w:rFonts w:asciiTheme="majorHAnsi" w:hAnsiTheme="majorHAnsi"/>
      <w:i/>
      <w:spacing w:val="-2"/>
      <w:sz w:val="14"/>
    </w:rPr>
  </w:style>
  <w:style w:type="paragraph" w:customStyle="1" w:styleId="HighlightBoxHeading">
    <w:name w:val="Highlight Box Heading"/>
    <w:basedOn w:val="HighlightBoxText"/>
    <w:next w:val="HighlightBoxText"/>
    <w:uiPriority w:val="59"/>
    <w:qFormat/>
    <w:rsid w:val="00BE2139"/>
    <w:pPr>
      <w:keepNext/>
    </w:pPr>
    <w:rPr>
      <w:rFonts w:asciiTheme="majorHAnsi" w:hAnsiTheme="majorHAnsi"/>
      <w:szCs w:val="24"/>
    </w:rPr>
  </w:style>
  <w:style w:type="paragraph" w:customStyle="1" w:styleId="HighlightBoxBullet">
    <w:name w:val="Highlight Box Bullet"/>
    <w:basedOn w:val="Normal"/>
    <w:uiPriority w:val="61"/>
    <w:qFormat/>
    <w:rsid w:val="00C72879"/>
    <w:pPr>
      <w:numPr>
        <w:numId w:val="3"/>
      </w:numPr>
      <w:pBdr>
        <w:top w:val="single" w:sz="8" w:space="3" w:color="87189D" w:themeColor="accent1"/>
        <w:left w:val="single" w:sz="8" w:space="5" w:color="87189D" w:themeColor="accent1"/>
        <w:bottom w:val="single" w:sz="8" w:space="3" w:color="87189D" w:themeColor="accent1"/>
        <w:right w:val="single" w:sz="8" w:space="5" w:color="87189D" w:themeColor="accent1"/>
      </w:pBdr>
      <w:shd w:val="clear" w:color="auto" w:fill="E7D1EB" w:themeFill="background2"/>
      <w:spacing w:before="60" w:after="60" w:line="240" w:lineRule="auto"/>
      <w:ind w:left="1080" w:hanging="288"/>
    </w:pPr>
    <w:rPr>
      <w:color w:val="auto"/>
      <w:spacing w:val="2"/>
    </w:rPr>
  </w:style>
  <w:style w:type="paragraph" w:customStyle="1" w:styleId="TableHeading">
    <w:name w:val="Table Heading"/>
    <w:basedOn w:val="Normal"/>
    <w:next w:val="Normal"/>
    <w:uiPriority w:val="49"/>
    <w:semiHidden/>
    <w:qFormat/>
    <w:rsid w:val="003324A3"/>
    <w:pPr>
      <w:keepNext/>
      <w:tabs>
        <w:tab w:val="left" w:pos="1134"/>
        <w:tab w:val="right" w:pos="9639"/>
        <w:tab w:val="right" w:pos="14742"/>
      </w:tabs>
      <w:spacing w:before="240" w:line="276" w:lineRule="auto"/>
      <w:ind w:left="1134" w:hanging="1134"/>
    </w:pPr>
    <w:rPr>
      <w:rFonts w:asciiTheme="majorHAnsi" w:hAnsiTheme="majorHAnsi"/>
      <w:b/>
      <w:color w:val="auto"/>
      <w:spacing w:val="2"/>
    </w:rPr>
  </w:style>
  <w:style w:type="table" w:styleId="LightShading-Accent2">
    <w:name w:val="Light Shading Accent 2"/>
    <w:basedOn w:val="TableNormal"/>
    <w:uiPriority w:val="60"/>
    <w:rsid w:val="003324A3"/>
    <w:pPr>
      <w:spacing w:before="160" w:after="100" w:line="264" w:lineRule="auto"/>
    </w:pPr>
    <w:rPr>
      <w:rFonts w:eastAsiaTheme="minorHAnsi"/>
      <w:color w:val="843E92" w:themeColor="accent2" w:themeShade="BF"/>
      <w:lang w:eastAsia="en-US"/>
    </w:rPr>
    <w:tblPr>
      <w:tblStyleRowBandSize w:val="1"/>
      <w:tblStyleColBandSize w:val="1"/>
      <w:tblBorders>
        <w:top w:val="single" w:sz="8" w:space="0" w:color="AB5DBA" w:themeColor="accent2"/>
        <w:bottom w:val="single" w:sz="8" w:space="0" w:color="AB5DBA" w:themeColor="accent2"/>
      </w:tblBorders>
    </w:tblPr>
    <w:tblStylePr w:type="firstRow">
      <w:pPr>
        <w:spacing w:before="0" w:after="0" w:line="240" w:lineRule="auto"/>
      </w:pPr>
      <w:rPr>
        <w:b/>
        <w:bCs/>
      </w:rPr>
      <w:tblPr/>
      <w:tcPr>
        <w:tcBorders>
          <w:top w:val="single" w:sz="8" w:space="0" w:color="AB5DBA" w:themeColor="accent2"/>
          <w:left w:val="nil"/>
          <w:bottom w:val="single" w:sz="8" w:space="0" w:color="AB5DBA" w:themeColor="accent2"/>
          <w:right w:val="nil"/>
          <w:insideH w:val="nil"/>
          <w:insideV w:val="nil"/>
        </w:tcBorders>
      </w:tcPr>
    </w:tblStylePr>
    <w:tblStylePr w:type="lastRow">
      <w:pPr>
        <w:spacing w:before="0" w:after="0" w:line="240" w:lineRule="auto"/>
      </w:pPr>
      <w:rPr>
        <w:b/>
        <w:bCs/>
      </w:rPr>
      <w:tblPr/>
      <w:tcPr>
        <w:tcBorders>
          <w:top w:val="single" w:sz="8" w:space="0" w:color="AB5DBA" w:themeColor="accent2"/>
          <w:left w:val="nil"/>
          <w:bottom w:val="single" w:sz="8" w:space="0" w:color="AB5DB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6EE" w:themeFill="accent2" w:themeFillTint="3F"/>
      </w:tcPr>
    </w:tblStylePr>
    <w:tblStylePr w:type="band1Horz">
      <w:tblPr/>
      <w:tcPr>
        <w:tcBorders>
          <w:left w:val="nil"/>
          <w:right w:val="nil"/>
          <w:insideH w:val="nil"/>
          <w:insideV w:val="nil"/>
        </w:tcBorders>
        <w:shd w:val="clear" w:color="auto" w:fill="EAD6EE" w:themeFill="accent2" w:themeFillTint="3F"/>
      </w:tcPr>
    </w:tblStylePr>
  </w:style>
  <w:style w:type="numbering" w:customStyle="1" w:styleId="Number">
    <w:name w:val="Number"/>
    <w:uiPriority w:val="99"/>
    <w:rsid w:val="003324A3"/>
    <w:pPr>
      <w:numPr>
        <w:numId w:val="6"/>
      </w:numPr>
    </w:pPr>
  </w:style>
  <w:style w:type="table" w:styleId="LightList">
    <w:name w:val="Light List"/>
    <w:basedOn w:val="TableNormal"/>
    <w:uiPriority w:val="61"/>
    <w:rsid w:val="003324A3"/>
    <w:pPr>
      <w:spacing w:before="160" w:after="100" w:line="264" w:lineRule="auto"/>
    </w:pPr>
    <w:rPr>
      <w:rFonts w:eastAsiaTheme="minorHAnsi"/>
      <w:lang w:eastAsia="en-US"/>
    </w:rPr>
    <w:tblPr>
      <w:tblStyleRowBandSize w:val="1"/>
      <w:tblStyleColBandSize w:val="1"/>
      <w:tblBorders>
        <w:top w:val="single" w:sz="8" w:space="0" w:color="232B39" w:themeColor="text1"/>
        <w:left w:val="single" w:sz="8" w:space="0" w:color="232B39" w:themeColor="text1"/>
        <w:bottom w:val="single" w:sz="8" w:space="0" w:color="232B39" w:themeColor="text1"/>
        <w:right w:val="single" w:sz="8" w:space="0" w:color="232B39" w:themeColor="text1"/>
      </w:tblBorders>
    </w:tblPr>
    <w:tblStylePr w:type="firstRow">
      <w:pPr>
        <w:spacing w:before="0" w:after="0" w:line="240" w:lineRule="auto"/>
      </w:pPr>
      <w:rPr>
        <w:b/>
        <w:bCs/>
        <w:color w:val="FFFFFF" w:themeColor="background1"/>
      </w:rPr>
      <w:tblPr/>
      <w:tcPr>
        <w:shd w:val="clear" w:color="auto" w:fill="232B39" w:themeFill="text1"/>
      </w:tcPr>
    </w:tblStylePr>
    <w:tblStylePr w:type="lastRow">
      <w:pPr>
        <w:spacing w:before="0" w:after="0" w:line="240" w:lineRule="auto"/>
      </w:pPr>
      <w:rPr>
        <w:b/>
        <w:bCs/>
      </w:rPr>
      <w:tblPr/>
      <w:tcPr>
        <w:tcBorders>
          <w:top w:val="double" w:sz="6" w:space="0" w:color="232B39" w:themeColor="text1"/>
          <w:left w:val="single" w:sz="8" w:space="0" w:color="232B39" w:themeColor="text1"/>
          <w:bottom w:val="single" w:sz="8" w:space="0" w:color="232B39" w:themeColor="text1"/>
          <w:right w:val="single" w:sz="8" w:space="0" w:color="232B39" w:themeColor="text1"/>
        </w:tcBorders>
      </w:tcPr>
    </w:tblStylePr>
    <w:tblStylePr w:type="firstCol">
      <w:rPr>
        <w:b/>
        <w:bCs/>
      </w:rPr>
    </w:tblStylePr>
    <w:tblStylePr w:type="lastCol">
      <w:rPr>
        <w:b/>
        <w:bCs/>
      </w:rPr>
    </w:tblStylePr>
    <w:tblStylePr w:type="band1Vert">
      <w:tblPr/>
      <w:tcPr>
        <w:tcBorders>
          <w:top w:val="single" w:sz="8" w:space="0" w:color="232B39" w:themeColor="text1"/>
          <w:left w:val="single" w:sz="8" w:space="0" w:color="232B39" w:themeColor="text1"/>
          <w:bottom w:val="single" w:sz="8" w:space="0" w:color="232B39" w:themeColor="text1"/>
          <w:right w:val="single" w:sz="8" w:space="0" w:color="232B39" w:themeColor="text1"/>
        </w:tcBorders>
      </w:tcPr>
    </w:tblStylePr>
    <w:tblStylePr w:type="band1Horz">
      <w:tblPr/>
      <w:tcPr>
        <w:tcBorders>
          <w:top w:val="single" w:sz="8" w:space="0" w:color="232B39" w:themeColor="text1"/>
          <w:left w:val="single" w:sz="8" w:space="0" w:color="232B39" w:themeColor="text1"/>
          <w:bottom w:val="single" w:sz="8" w:space="0" w:color="232B39" w:themeColor="text1"/>
          <w:right w:val="single" w:sz="8" w:space="0" w:color="232B39" w:themeColor="text1"/>
        </w:tcBorders>
      </w:tcPr>
    </w:tblStylePr>
  </w:style>
  <w:style w:type="paragraph" w:customStyle="1" w:styleId="Footereven">
    <w:name w:val="Footer (even)"/>
    <w:basedOn w:val="Footerodd"/>
    <w:link w:val="FooterevenChar"/>
    <w:uiPriority w:val="84"/>
    <w:rsid w:val="003324A3"/>
    <w:rPr>
      <w:color w:val="232B39" w:themeColor="text1"/>
    </w:rPr>
  </w:style>
  <w:style w:type="paragraph" w:styleId="TableofFigures">
    <w:name w:val="table of figures"/>
    <w:basedOn w:val="Normal"/>
    <w:next w:val="Normal"/>
    <w:uiPriority w:val="99"/>
    <w:unhideWhenUsed/>
    <w:rsid w:val="00B52DAC"/>
    <w:pPr>
      <w:spacing w:before="50" w:after="50"/>
      <w:ind w:left="965" w:hanging="965"/>
    </w:pPr>
  </w:style>
  <w:style w:type="paragraph" w:styleId="TOC7">
    <w:name w:val="toc 7"/>
    <w:basedOn w:val="Normal"/>
    <w:next w:val="Normal"/>
    <w:autoRedefine/>
    <w:uiPriority w:val="39"/>
    <w:semiHidden/>
    <w:rsid w:val="003324A3"/>
    <w:pPr>
      <w:spacing w:before="160" w:after="100" w:line="276" w:lineRule="auto"/>
      <w:ind w:left="1320"/>
    </w:pPr>
    <w:rPr>
      <w:color w:val="auto"/>
      <w:spacing w:val="2"/>
    </w:rPr>
  </w:style>
  <w:style w:type="numbering" w:styleId="1ai">
    <w:name w:val="Outline List 1"/>
    <w:basedOn w:val="NoList"/>
    <w:uiPriority w:val="99"/>
    <w:semiHidden/>
    <w:unhideWhenUsed/>
    <w:rsid w:val="003324A3"/>
    <w:pPr>
      <w:numPr>
        <w:numId w:val="8"/>
      </w:numPr>
    </w:pPr>
  </w:style>
  <w:style w:type="paragraph" w:styleId="Bibliography">
    <w:name w:val="Bibliography"/>
    <w:basedOn w:val="Normal"/>
    <w:next w:val="Normal"/>
    <w:uiPriority w:val="37"/>
    <w:semiHidden/>
    <w:unhideWhenUsed/>
    <w:rsid w:val="003324A3"/>
    <w:pPr>
      <w:spacing w:before="160" w:after="100" w:line="276" w:lineRule="auto"/>
    </w:pPr>
    <w:rPr>
      <w:color w:val="auto"/>
      <w:spacing w:val="2"/>
    </w:rPr>
  </w:style>
  <w:style w:type="paragraph" w:styleId="BlockText">
    <w:name w:val="Block Text"/>
    <w:basedOn w:val="Normal"/>
    <w:uiPriority w:val="99"/>
    <w:semiHidden/>
    <w:unhideWhenUsed/>
    <w:rsid w:val="003324A3"/>
    <w:pPr>
      <w:pBdr>
        <w:top w:val="single" w:sz="2" w:space="10" w:color="87189D" w:themeColor="accent1" w:shadow="1"/>
        <w:left w:val="single" w:sz="2" w:space="10" w:color="87189D" w:themeColor="accent1" w:shadow="1"/>
        <w:bottom w:val="single" w:sz="2" w:space="10" w:color="87189D" w:themeColor="accent1" w:shadow="1"/>
        <w:right w:val="single" w:sz="2" w:space="10" w:color="87189D" w:themeColor="accent1" w:shadow="1"/>
      </w:pBdr>
      <w:spacing w:before="160" w:after="100" w:line="276" w:lineRule="auto"/>
      <w:ind w:left="1152" w:right="1152"/>
    </w:pPr>
    <w:rPr>
      <w:i/>
      <w:iCs/>
      <w:color w:val="87189D" w:themeColor="accent1"/>
      <w:spacing w:val="2"/>
    </w:rPr>
  </w:style>
  <w:style w:type="paragraph" w:styleId="BodyText2">
    <w:name w:val="Body Text 2"/>
    <w:basedOn w:val="Normal"/>
    <w:link w:val="BodyText2Char"/>
    <w:uiPriority w:val="99"/>
    <w:semiHidden/>
    <w:unhideWhenUsed/>
    <w:rsid w:val="003324A3"/>
    <w:pPr>
      <w:spacing w:before="160" w:line="480" w:lineRule="auto"/>
    </w:pPr>
    <w:rPr>
      <w:color w:val="auto"/>
      <w:spacing w:val="2"/>
    </w:rPr>
  </w:style>
  <w:style w:type="character" w:customStyle="1" w:styleId="BodyText2Char">
    <w:name w:val="Body Text 2 Char"/>
    <w:basedOn w:val="DefaultParagraphFont"/>
    <w:link w:val="BodyText2"/>
    <w:uiPriority w:val="99"/>
    <w:semiHidden/>
    <w:rsid w:val="003324A3"/>
    <w:rPr>
      <w:spacing w:val="2"/>
    </w:rPr>
  </w:style>
  <w:style w:type="paragraph" w:styleId="BodyText3">
    <w:name w:val="Body Text 3"/>
    <w:basedOn w:val="Normal"/>
    <w:link w:val="BodyText3Char"/>
    <w:uiPriority w:val="99"/>
    <w:semiHidden/>
    <w:unhideWhenUsed/>
    <w:rsid w:val="003324A3"/>
    <w:pPr>
      <w:spacing w:before="160" w:line="276" w:lineRule="auto"/>
    </w:pPr>
    <w:rPr>
      <w:color w:val="auto"/>
      <w:spacing w:val="2"/>
      <w:sz w:val="16"/>
      <w:szCs w:val="16"/>
    </w:rPr>
  </w:style>
  <w:style w:type="character" w:customStyle="1" w:styleId="BodyText3Char">
    <w:name w:val="Body Text 3 Char"/>
    <w:basedOn w:val="DefaultParagraphFont"/>
    <w:link w:val="BodyText3"/>
    <w:uiPriority w:val="99"/>
    <w:semiHidden/>
    <w:rsid w:val="003324A3"/>
    <w:rPr>
      <w:spacing w:val="2"/>
      <w:sz w:val="16"/>
      <w:szCs w:val="16"/>
    </w:rPr>
  </w:style>
  <w:style w:type="paragraph" w:styleId="BodyTextFirstIndent">
    <w:name w:val="Body Text First Indent"/>
    <w:basedOn w:val="Normal"/>
    <w:link w:val="BodyTextFirstIndentChar"/>
    <w:uiPriority w:val="99"/>
    <w:semiHidden/>
    <w:unhideWhenUsed/>
    <w:rsid w:val="00174DC8"/>
    <w:pPr>
      <w:spacing w:after="0"/>
      <w:ind w:firstLine="360"/>
    </w:pPr>
    <w:rPr>
      <w:color w:val="auto"/>
    </w:rPr>
  </w:style>
  <w:style w:type="character" w:customStyle="1" w:styleId="BodyTextFirstIndentChar">
    <w:name w:val="Body Text First Indent Char"/>
    <w:basedOn w:val="DefaultParagraphFont"/>
    <w:link w:val="BodyTextFirstIndent"/>
    <w:uiPriority w:val="99"/>
    <w:semiHidden/>
    <w:rsid w:val="00174DC8"/>
    <w:rPr>
      <w:rFonts w:ascii="Calibri" w:eastAsia="Times New Roman" w:hAnsi="Calibri" w:cs="Calibri"/>
      <w:color w:val="232B39" w:themeColor="text1"/>
      <w:sz w:val="22"/>
      <w:szCs w:val="22"/>
    </w:rPr>
  </w:style>
  <w:style w:type="paragraph" w:styleId="BodyTextIndent">
    <w:name w:val="Body Text Indent"/>
    <w:basedOn w:val="Normal"/>
    <w:link w:val="BodyTextIndentChar"/>
    <w:uiPriority w:val="99"/>
    <w:semiHidden/>
    <w:unhideWhenUsed/>
    <w:rsid w:val="003324A3"/>
    <w:pPr>
      <w:spacing w:before="160" w:line="276" w:lineRule="auto"/>
      <w:ind w:left="283"/>
    </w:pPr>
    <w:rPr>
      <w:color w:val="auto"/>
      <w:spacing w:val="2"/>
    </w:rPr>
  </w:style>
  <w:style w:type="character" w:customStyle="1" w:styleId="BodyTextIndentChar">
    <w:name w:val="Body Text Indent Char"/>
    <w:basedOn w:val="DefaultParagraphFont"/>
    <w:link w:val="BodyTextIndent"/>
    <w:uiPriority w:val="99"/>
    <w:semiHidden/>
    <w:rsid w:val="003324A3"/>
    <w:rPr>
      <w:spacing w:val="2"/>
    </w:rPr>
  </w:style>
  <w:style w:type="paragraph" w:styleId="BodyTextFirstIndent2">
    <w:name w:val="Body Text First Indent 2"/>
    <w:basedOn w:val="BodyTextIndent"/>
    <w:link w:val="BodyTextFirstIndent2Char"/>
    <w:uiPriority w:val="99"/>
    <w:semiHidden/>
    <w:unhideWhenUsed/>
    <w:rsid w:val="003324A3"/>
    <w:pPr>
      <w:spacing w:after="0"/>
      <w:ind w:left="360" w:firstLine="360"/>
    </w:pPr>
  </w:style>
  <w:style w:type="character" w:customStyle="1" w:styleId="BodyTextFirstIndent2Char">
    <w:name w:val="Body Text First Indent 2 Char"/>
    <w:basedOn w:val="BodyTextIndentChar"/>
    <w:link w:val="BodyTextFirstIndent2"/>
    <w:uiPriority w:val="99"/>
    <w:semiHidden/>
    <w:rsid w:val="003324A3"/>
    <w:rPr>
      <w:spacing w:val="2"/>
    </w:rPr>
  </w:style>
  <w:style w:type="paragraph" w:styleId="BodyTextIndent2">
    <w:name w:val="Body Text Indent 2"/>
    <w:basedOn w:val="Normal"/>
    <w:link w:val="BodyTextIndent2Char"/>
    <w:uiPriority w:val="99"/>
    <w:semiHidden/>
    <w:unhideWhenUsed/>
    <w:rsid w:val="003324A3"/>
    <w:pPr>
      <w:spacing w:before="160" w:line="480" w:lineRule="auto"/>
      <w:ind w:left="283"/>
    </w:pPr>
    <w:rPr>
      <w:color w:val="auto"/>
      <w:spacing w:val="2"/>
    </w:rPr>
  </w:style>
  <w:style w:type="character" w:customStyle="1" w:styleId="BodyTextIndent2Char">
    <w:name w:val="Body Text Indent 2 Char"/>
    <w:basedOn w:val="DefaultParagraphFont"/>
    <w:link w:val="BodyTextIndent2"/>
    <w:uiPriority w:val="99"/>
    <w:semiHidden/>
    <w:rsid w:val="003324A3"/>
    <w:rPr>
      <w:spacing w:val="2"/>
    </w:rPr>
  </w:style>
  <w:style w:type="paragraph" w:styleId="BodyTextIndent3">
    <w:name w:val="Body Text Indent 3"/>
    <w:basedOn w:val="Normal"/>
    <w:link w:val="BodyTextIndent3Char"/>
    <w:uiPriority w:val="99"/>
    <w:semiHidden/>
    <w:unhideWhenUsed/>
    <w:rsid w:val="003324A3"/>
    <w:pPr>
      <w:spacing w:before="160" w:line="276" w:lineRule="auto"/>
      <w:ind w:left="283"/>
    </w:pPr>
    <w:rPr>
      <w:color w:val="auto"/>
      <w:spacing w:val="2"/>
      <w:sz w:val="16"/>
      <w:szCs w:val="16"/>
    </w:rPr>
  </w:style>
  <w:style w:type="character" w:customStyle="1" w:styleId="BodyTextIndent3Char">
    <w:name w:val="Body Text Indent 3 Char"/>
    <w:basedOn w:val="DefaultParagraphFont"/>
    <w:link w:val="BodyTextIndent3"/>
    <w:uiPriority w:val="99"/>
    <w:semiHidden/>
    <w:rsid w:val="003324A3"/>
    <w:rPr>
      <w:spacing w:val="2"/>
      <w:sz w:val="16"/>
      <w:szCs w:val="16"/>
    </w:rPr>
  </w:style>
  <w:style w:type="character" w:styleId="BookTitle">
    <w:name w:val="Book Title"/>
    <w:basedOn w:val="DefaultParagraphFont"/>
    <w:uiPriority w:val="33"/>
    <w:semiHidden/>
    <w:rsid w:val="003324A3"/>
    <w:rPr>
      <w:b/>
      <w:bCs/>
      <w:smallCaps/>
      <w:spacing w:val="5"/>
    </w:rPr>
  </w:style>
  <w:style w:type="paragraph" w:styleId="Closing">
    <w:name w:val="Closing"/>
    <w:basedOn w:val="Normal"/>
    <w:link w:val="ClosingChar"/>
    <w:uiPriority w:val="99"/>
    <w:semiHidden/>
    <w:unhideWhenUsed/>
    <w:rsid w:val="003324A3"/>
    <w:pPr>
      <w:spacing w:before="0" w:after="100" w:line="276" w:lineRule="auto"/>
      <w:ind w:left="4252"/>
    </w:pPr>
    <w:rPr>
      <w:color w:val="auto"/>
      <w:spacing w:val="2"/>
    </w:rPr>
  </w:style>
  <w:style w:type="character" w:customStyle="1" w:styleId="ClosingChar">
    <w:name w:val="Closing Char"/>
    <w:basedOn w:val="DefaultParagraphFont"/>
    <w:link w:val="Closing"/>
    <w:uiPriority w:val="99"/>
    <w:semiHidden/>
    <w:rsid w:val="003324A3"/>
    <w:rPr>
      <w:spacing w:val="2"/>
    </w:rPr>
  </w:style>
  <w:style w:type="table" w:styleId="ColorfulGrid">
    <w:name w:val="Colorful Grid"/>
    <w:basedOn w:val="TableNormal"/>
    <w:uiPriority w:val="73"/>
    <w:rsid w:val="003324A3"/>
    <w:pPr>
      <w:spacing w:after="100" w:line="264" w:lineRule="auto"/>
    </w:pPr>
    <w:rPr>
      <w:rFonts w:eastAsiaTheme="minorHAnsi"/>
      <w:color w:val="232B39" w:themeColor="text1"/>
      <w:lang w:eastAsia="en-US"/>
    </w:rPr>
    <w:tblPr>
      <w:tblStyleRowBandSize w:val="1"/>
      <w:tblStyleColBandSize w:val="1"/>
      <w:tblBorders>
        <w:insideH w:val="single" w:sz="4" w:space="0" w:color="FFFFFF" w:themeColor="background1"/>
      </w:tblBorders>
    </w:tblPr>
    <w:tcPr>
      <w:shd w:val="clear" w:color="auto" w:fill="CBD2DF" w:themeFill="text1" w:themeFillTint="33"/>
    </w:tcPr>
    <w:tblStylePr w:type="firstRow">
      <w:rPr>
        <w:b/>
        <w:bCs/>
      </w:rPr>
      <w:tblPr/>
      <w:tcPr>
        <w:shd w:val="clear" w:color="auto" w:fill="97A5BF" w:themeFill="text1" w:themeFillTint="66"/>
      </w:tcPr>
    </w:tblStylePr>
    <w:tblStylePr w:type="lastRow">
      <w:rPr>
        <w:b/>
        <w:bCs/>
        <w:color w:val="232B39" w:themeColor="text1"/>
      </w:rPr>
      <w:tblPr/>
      <w:tcPr>
        <w:shd w:val="clear" w:color="auto" w:fill="97A5BF" w:themeFill="text1" w:themeFillTint="66"/>
      </w:tcPr>
    </w:tblStylePr>
    <w:tblStylePr w:type="firstCol">
      <w:rPr>
        <w:color w:val="FFFFFF" w:themeColor="background1"/>
      </w:rPr>
      <w:tblPr/>
      <w:tcPr>
        <w:shd w:val="clear" w:color="auto" w:fill="1A202A" w:themeFill="text1" w:themeFillShade="BF"/>
      </w:tcPr>
    </w:tblStylePr>
    <w:tblStylePr w:type="lastCol">
      <w:rPr>
        <w:color w:val="FFFFFF" w:themeColor="background1"/>
      </w:rPr>
      <w:tblPr/>
      <w:tcPr>
        <w:shd w:val="clear" w:color="auto" w:fill="1A202A" w:themeFill="text1" w:themeFillShade="BF"/>
      </w:tcPr>
    </w:tblStylePr>
    <w:tblStylePr w:type="band1Vert">
      <w:tblPr/>
      <w:tcPr>
        <w:shd w:val="clear" w:color="auto" w:fill="7D8FAF" w:themeFill="text1" w:themeFillTint="7F"/>
      </w:tcPr>
    </w:tblStylePr>
    <w:tblStylePr w:type="band1Horz">
      <w:tblPr/>
      <w:tcPr>
        <w:shd w:val="clear" w:color="auto" w:fill="7D8FAF" w:themeFill="text1" w:themeFillTint="7F"/>
      </w:tcPr>
    </w:tblStylePr>
  </w:style>
  <w:style w:type="table" w:styleId="ColorfulGrid-Accent1">
    <w:name w:val="Colorful Grid Accent 1"/>
    <w:basedOn w:val="TableNormal"/>
    <w:uiPriority w:val="73"/>
    <w:rsid w:val="003324A3"/>
    <w:pPr>
      <w:spacing w:after="100" w:line="264" w:lineRule="auto"/>
    </w:pPr>
    <w:rPr>
      <w:rFonts w:eastAsiaTheme="minorHAnsi"/>
      <w:color w:val="232B39" w:themeColor="text1"/>
      <w:lang w:eastAsia="en-US"/>
    </w:rPr>
    <w:tblPr>
      <w:tblStyleRowBandSize w:val="1"/>
      <w:tblStyleColBandSize w:val="1"/>
      <w:tblBorders>
        <w:insideH w:val="single" w:sz="4" w:space="0" w:color="FFFFFF" w:themeColor="background1"/>
      </w:tblBorders>
    </w:tblPr>
    <w:tcPr>
      <w:shd w:val="clear" w:color="auto" w:fill="EEC5F6" w:themeFill="accent1" w:themeFillTint="33"/>
    </w:tcPr>
    <w:tblStylePr w:type="firstRow">
      <w:rPr>
        <w:b/>
        <w:bCs/>
      </w:rPr>
      <w:tblPr/>
      <w:tcPr>
        <w:shd w:val="clear" w:color="auto" w:fill="DD8CED" w:themeFill="accent1" w:themeFillTint="66"/>
      </w:tcPr>
    </w:tblStylePr>
    <w:tblStylePr w:type="lastRow">
      <w:rPr>
        <w:b/>
        <w:bCs/>
        <w:color w:val="232B39" w:themeColor="text1"/>
      </w:rPr>
      <w:tblPr/>
      <w:tcPr>
        <w:shd w:val="clear" w:color="auto" w:fill="DD8CED" w:themeFill="accent1" w:themeFillTint="66"/>
      </w:tcPr>
    </w:tblStylePr>
    <w:tblStylePr w:type="firstCol">
      <w:rPr>
        <w:color w:val="FFFFFF" w:themeColor="background1"/>
      </w:rPr>
      <w:tblPr/>
      <w:tcPr>
        <w:shd w:val="clear" w:color="auto" w:fill="641275" w:themeFill="accent1" w:themeFillShade="BF"/>
      </w:tcPr>
    </w:tblStylePr>
    <w:tblStylePr w:type="lastCol">
      <w:rPr>
        <w:color w:val="FFFFFF" w:themeColor="background1"/>
      </w:rPr>
      <w:tblPr/>
      <w:tcPr>
        <w:shd w:val="clear" w:color="auto" w:fill="641275" w:themeFill="accent1" w:themeFillShade="BF"/>
      </w:tcPr>
    </w:tblStylePr>
    <w:tblStylePr w:type="band1Vert">
      <w:tblPr/>
      <w:tcPr>
        <w:shd w:val="clear" w:color="auto" w:fill="D470E9" w:themeFill="accent1" w:themeFillTint="7F"/>
      </w:tcPr>
    </w:tblStylePr>
    <w:tblStylePr w:type="band1Horz">
      <w:tblPr/>
      <w:tcPr>
        <w:shd w:val="clear" w:color="auto" w:fill="D470E9" w:themeFill="accent1" w:themeFillTint="7F"/>
      </w:tcPr>
    </w:tblStylePr>
  </w:style>
  <w:style w:type="table" w:styleId="ColorfulGrid-Accent2">
    <w:name w:val="Colorful Grid Accent 2"/>
    <w:basedOn w:val="TableNormal"/>
    <w:uiPriority w:val="73"/>
    <w:rsid w:val="003324A3"/>
    <w:pPr>
      <w:spacing w:after="100" w:line="264" w:lineRule="auto"/>
    </w:pPr>
    <w:rPr>
      <w:rFonts w:eastAsiaTheme="minorHAnsi"/>
      <w:color w:val="232B39" w:themeColor="text1"/>
      <w:lang w:eastAsia="en-US"/>
    </w:rPr>
    <w:tblPr>
      <w:tblStyleRowBandSize w:val="1"/>
      <w:tblStyleColBandSize w:val="1"/>
      <w:tblBorders>
        <w:insideH w:val="single" w:sz="4" w:space="0" w:color="FFFFFF" w:themeColor="background1"/>
      </w:tblBorders>
    </w:tblPr>
    <w:tcPr>
      <w:shd w:val="clear" w:color="auto" w:fill="EEDEF1" w:themeFill="accent2" w:themeFillTint="33"/>
    </w:tcPr>
    <w:tblStylePr w:type="firstRow">
      <w:rPr>
        <w:b/>
        <w:bCs/>
      </w:rPr>
      <w:tblPr/>
      <w:tcPr>
        <w:shd w:val="clear" w:color="auto" w:fill="DDBEE3" w:themeFill="accent2" w:themeFillTint="66"/>
      </w:tcPr>
    </w:tblStylePr>
    <w:tblStylePr w:type="lastRow">
      <w:rPr>
        <w:b/>
        <w:bCs/>
        <w:color w:val="232B39" w:themeColor="text1"/>
      </w:rPr>
      <w:tblPr/>
      <w:tcPr>
        <w:shd w:val="clear" w:color="auto" w:fill="DDBEE3" w:themeFill="accent2" w:themeFillTint="66"/>
      </w:tcPr>
    </w:tblStylePr>
    <w:tblStylePr w:type="firstCol">
      <w:rPr>
        <w:color w:val="FFFFFF" w:themeColor="background1"/>
      </w:rPr>
      <w:tblPr/>
      <w:tcPr>
        <w:shd w:val="clear" w:color="auto" w:fill="843E92" w:themeFill="accent2" w:themeFillShade="BF"/>
      </w:tcPr>
    </w:tblStylePr>
    <w:tblStylePr w:type="lastCol">
      <w:rPr>
        <w:color w:val="FFFFFF" w:themeColor="background1"/>
      </w:rPr>
      <w:tblPr/>
      <w:tcPr>
        <w:shd w:val="clear" w:color="auto" w:fill="843E92" w:themeFill="accent2" w:themeFillShade="BF"/>
      </w:tcPr>
    </w:tblStylePr>
    <w:tblStylePr w:type="band1Vert">
      <w:tblPr/>
      <w:tcPr>
        <w:shd w:val="clear" w:color="auto" w:fill="D4AEDC" w:themeFill="accent2" w:themeFillTint="7F"/>
      </w:tcPr>
    </w:tblStylePr>
    <w:tblStylePr w:type="band1Horz">
      <w:tblPr/>
      <w:tcPr>
        <w:shd w:val="clear" w:color="auto" w:fill="D4AEDC" w:themeFill="accent2" w:themeFillTint="7F"/>
      </w:tcPr>
    </w:tblStylePr>
  </w:style>
  <w:style w:type="table" w:styleId="ColorfulGrid-Accent3">
    <w:name w:val="Colorful Grid Accent 3"/>
    <w:basedOn w:val="TableNormal"/>
    <w:uiPriority w:val="73"/>
    <w:rsid w:val="003324A3"/>
    <w:pPr>
      <w:spacing w:after="100" w:line="264" w:lineRule="auto"/>
    </w:pPr>
    <w:rPr>
      <w:rFonts w:eastAsiaTheme="minorHAnsi"/>
      <w:color w:val="232B39" w:themeColor="text1"/>
      <w:lang w:eastAsia="en-US"/>
    </w:rPr>
    <w:tblPr>
      <w:tblStyleRowBandSize w:val="1"/>
      <w:tblStyleColBandSize w:val="1"/>
      <w:tblBorders>
        <w:insideH w:val="single" w:sz="4" w:space="0" w:color="FFFFFF" w:themeColor="background1"/>
      </w:tblBorders>
    </w:tblPr>
    <w:tcPr>
      <w:shd w:val="clear" w:color="auto" w:fill="E9C8EB" w:themeFill="accent3" w:themeFillTint="33"/>
    </w:tcPr>
    <w:tblStylePr w:type="firstRow">
      <w:rPr>
        <w:b/>
        <w:bCs/>
      </w:rPr>
      <w:tblPr/>
      <w:tcPr>
        <w:shd w:val="clear" w:color="auto" w:fill="D493D7" w:themeFill="accent3" w:themeFillTint="66"/>
      </w:tcPr>
    </w:tblStylePr>
    <w:tblStylePr w:type="lastRow">
      <w:rPr>
        <w:b/>
        <w:bCs/>
        <w:color w:val="232B39" w:themeColor="text1"/>
      </w:rPr>
      <w:tblPr/>
      <w:tcPr>
        <w:shd w:val="clear" w:color="auto" w:fill="D493D7" w:themeFill="accent3" w:themeFillTint="66"/>
      </w:tcPr>
    </w:tblStylePr>
    <w:tblStylePr w:type="firstCol">
      <w:rPr>
        <w:color w:val="FFFFFF" w:themeColor="background1"/>
      </w:rPr>
      <w:tblPr/>
      <w:tcPr>
        <w:shd w:val="clear" w:color="auto" w:fill="4A1C4C" w:themeFill="accent3" w:themeFillShade="BF"/>
      </w:tcPr>
    </w:tblStylePr>
    <w:tblStylePr w:type="lastCol">
      <w:rPr>
        <w:color w:val="FFFFFF" w:themeColor="background1"/>
      </w:rPr>
      <w:tblPr/>
      <w:tcPr>
        <w:shd w:val="clear" w:color="auto" w:fill="4A1C4C" w:themeFill="accent3" w:themeFillShade="BF"/>
      </w:tcPr>
    </w:tblStylePr>
    <w:tblStylePr w:type="band1Vert">
      <w:tblPr/>
      <w:tcPr>
        <w:shd w:val="clear" w:color="auto" w:fill="C978CD" w:themeFill="accent3" w:themeFillTint="7F"/>
      </w:tcPr>
    </w:tblStylePr>
    <w:tblStylePr w:type="band1Horz">
      <w:tblPr/>
      <w:tcPr>
        <w:shd w:val="clear" w:color="auto" w:fill="C978CD" w:themeFill="accent3" w:themeFillTint="7F"/>
      </w:tcPr>
    </w:tblStylePr>
  </w:style>
  <w:style w:type="table" w:styleId="ColorfulGrid-Accent4">
    <w:name w:val="Colorful Grid Accent 4"/>
    <w:basedOn w:val="TableNormal"/>
    <w:uiPriority w:val="73"/>
    <w:rsid w:val="003324A3"/>
    <w:pPr>
      <w:spacing w:after="100" w:line="264" w:lineRule="auto"/>
    </w:pPr>
    <w:rPr>
      <w:rFonts w:eastAsiaTheme="minorHAnsi"/>
      <w:color w:val="232B39" w:themeColor="text1"/>
      <w:lang w:eastAsia="en-US"/>
    </w:rPr>
    <w:tblPr>
      <w:tblStyleRowBandSize w:val="1"/>
      <w:tblStyleColBandSize w:val="1"/>
      <w:tblBorders>
        <w:insideH w:val="single" w:sz="4" w:space="0" w:color="FFFFFF" w:themeColor="background1"/>
      </w:tblBorders>
    </w:tblPr>
    <w:tcPr>
      <w:shd w:val="clear" w:color="auto" w:fill="F6F6F7" w:themeFill="accent4" w:themeFillTint="33"/>
    </w:tcPr>
    <w:tblStylePr w:type="firstRow">
      <w:rPr>
        <w:b/>
        <w:bCs/>
      </w:rPr>
      <w:tblPr/>
      <w:tcPr>
        <w:shd w:val="clear" w:color="auto" w:fill="EDEEEF" w:themeFill="accent4" w:themeFillTint="66"/>
      </w:tcPr>
    </w:tblStylePr>
    <w:tblStylePr w:type="lastRow">
      <w:rPr>
        <w:b/>
        <w:bCs/>
        <w:color w:val="232B39" w:themeColor="text1"/>
      </w:rPr>
      <w:tblPr/>
      <w:tcPr>
        <w:shd w:val="clear" w:color="auto" w:fill="EDEEEF" w:themeFill="accent4" w:themeFillTint="66"/>
      </w:tcPr>
    </w:tblStylePr>
    <w:tblStylePr w:type="firstCol">
      <w:rPr>
        <w:color w:val="FFFFFF" w:themeColor="background1"/>
      </w:rPr>
      <w:tblPr/>
      <w:tcPr>
        <w:shd w:val="clear" w:color="auto" w:fill="9B9FA4" w:themeFill="accent4" w:themeFillShade="BF"/>
      </w:tcPr>
    </w:tblStylePr>
    <w:tblStylePr w:type="lastCol">
      <w:rPr>
        <w:color w:val="FFFFFF" w:themeColor="background1"/>
      </w:rPr>
      <w:tblPr/>
      <w:tcPr>
        <w:shd w:val="clear" w:color="auto" w:fill="9B9FA4" w:themeFill="accent4" w:themeFillShade="BF"/>
      </w:tcPr>
    </w:tblStylePr>
    <w:tblStylePr w:type="band1Vert">
      <w:tblPr/>
      <w:tcPr>
        <w:shd w:val="clear" w:color="auto" w:fill="E9E9EB" w:themeFill="accent4" w:themeFillTint="7F"/>
      </w:tcPr>
    </w:tblStylePr>
    <w:tblStylePr w:type="band1Horz">
      <w:tblPr/>
      <w:tcPr>
        <w:shd w:val="clear" w:color="auto" w:fill="E9E9EB" w:themeFill="accent4" w:themeFillTint="7F"/>
      </w:tcPr>
    </w:tblStylePr>
  </w:style>
  <w:style w:type="table" w:styleId="ColorfulGrid-Accent5">
    <w:name w:val="Colorful Grid Accent 5"/>
    <w:basedOn w:val="TableNormal"/>
    <w:uiPriority w:val="73"/>
    <w:rsid w:val="003324A3"/>
    <w:pPr>
      <w:spacing w:after="100" w:line="264" w:lineRule="auto"/>
    </w:pPr>
    <w:rPr>
      <w:rFonts w:eastAsiaTheme="minorHAnsi"/>
      <w:color w:val="232B39" w:themeColor="text1"/>
      <w:lang w:eastAsia="en-US"/>
    </w:rPr>
    <w:tblPr>
      <w:tblStyleRowBandSize w:val="1"/>
      <w:tblStyleColBandSize w:val="1"/>
      <w:tblBorders>
        <w:insideH w:val="single" w:sz="4" w:space="0" w:color="FFFFFF" w:themeColor="background1"/>
      </w:tblBorders>
    </w:tblPr>
    <w:tcPr>
      <w:shd w:val="clear" w:color="auto" w:fill="C0FAFF" w:themeFill="accent5" w:themeFillTint="33"/>
    </w:tcPr>
    <w:tblStylePr w:type="firstRow">
      <w:rPr>
        <w:b/>
        <w:bCs/>
      </w:rPr>
      <w:tblPr/>
      <w:tcPr>
        <w:shd w:val="clear" w:color="auto" w:fill="82F6FF" w:themeFill="accent5" w:themeFillTint="66"/>
      </w:tcPr>
    </w:tblStylePr>
    <w:tblStylePr w:type="lastRow">
      <w:rPr>
        <w:b/>
        <w:bCs/>
        <w:color w:val="232B39" w:themeColor="text1"/>
      </w:rPr>
      <w:tblPr/>
      <w:tcPr>
        <w:shd w:val="clear" w:color="auto" w:fill="82F6FF" w:themeFill="accent5" w:themeFillTint="66"/>
      </w:tcPr>
    </w:tblStylePr>
    <w:tblStylePr w:type="firstCol">
      <w:rPr>
        <w:color w:val="FFFFFF" w:themeColor="background1"/>
      </w:rPr>
      <w:tblPr/>
      <w:tcPr>
        <w:shd w:val="clear" w:color="auto" w:fill="008B95" w:themeFill="accent5" w:themeFillShade="BF"/>
      </w:tcPr>
    </w:tblStylePr>
    <w:tblStylePr w:type="lastCol">
      <w:rPr>
        <w:color w:val="FFFFFF" w:themeColor="background1"/>
      </w:rPr>
      <w:tblPr/>
      <w:tcPr>
        <w:shd w:val="clear" w:color="auto" w:fill="008B95" w:themeFill="accent5" w:themeFillShade="BF"/>
      </w:tcPr>
    </w:tblStylePr>
    <w:tblStylePr w:type="band1Vert">
      <w:tblPr/>
      <w:tcPr>
        <w:shd w:val="clear" w:color="auto" w:fill="64F4FF" w:themeFill="accent5" w:themeFillTint="7F"/>
      </w:tcPr>
    </w:tblStylePr>
    <w:tblStylePr w:type="band1Horz">
      <w:tblPr/>
      <w:tcPr>
        <w:shd w:val="clear" w:color="auto" w:fill="64F4FF" w:themeFill="accent5" w:themeFillTint="7F"/>
      </w:tcPr>
    </w:tblStylePr>
  </w:style>
  <w:style w:type="table" w:styleId="ColorfulGrid-Accent6">
    <w:name w:val="Colorful Grid Accent 6"/>
    <w:basedOn w:val="TableNormal"/>
    <w:uiPriority w:val="73"/>
    <w:rsid w:val="003324A3"/>
    <w:pPr>
      <w:spacing w:after="100" w:line="264" w:lineRule="auto"/>
    </w:pPr>
    <w:rPr>
      <w:rFonts w:eastAsiaTheme="minorHAnsi"/>
      <w:color w:val="232B39" w:themeColor="text1"/>
      <w:lang w:eastAsia="en-US"/>
    </w:rPr>
    <w:tblPr>
      <w:tblStyleRowBandSize w:val="1"/>
      <w:tblStyleColBandSize w:val="1"/>
      <w:tblBorders>
        <w:insideH w:val="single" w:sz="4" w:space="0" w:color="FFFFFF" w:themeColor="background1"/>
      </w:tblBorders>
    </w:tblPr>
    <w:tcPr>
      <w:shd w:val="clear" w:color="auto" w:fill="F6F9DF" w:themeFill="accent6" w:themeFillTint="33"/>
    </w:tcPr>
    <w:tblStylePr w:type="firstRow">
      <w:rPr>
        <w:b/>
        <w:bCs/>
      </w:rPr>
      <w:tblPr/>
      <w:tcPr>
        <w:shd w:val="clear" w:color="auto" w:fill="EDF3BF" w:themeFill="accent6" w:themeFillTint="66"/>
      </w:tcPr>
    </w:tblStylePr>
    <w:tblStylePr w:type="lastRow">
      <w:rPr>
        <w:b/>
        <w:bCs/>
        <w:color w:val="232B39" w:themeColor="text1"/>
      </w:rPr>
      <w:tblPr/>
      <w:tcPr>
        <w:shd w:val="clear" w:color="auto" w:fill="EDF3BF" w:themeFill="accent6" w:themeFillTint="66"/>
      </w:tcPr>
    </w:tblStylePr>
    <w:tblStylePr w:type="firstCol">
      <w:rPr>
        <w:color w:val="FFFFFF" w:themeColor="background1"/>
      </w:rPr>
      <w:tblPr/>
      <w:tcPr>
        <w:shd w:val="clear" w:color="auto" w:fill="B8C926" w:themeFill="accent6" w:themeFillShade="BF"/>
      </w:tcPr>
    </w:tblStylePr>
    <w:tblStylePr w:type="lastCol">
      <w:rPr>
        <w:color w:val="FFFFFF" w:themeColor="background1"/>
      </w:rPr>
      <w:tblPr/>
      <w:tcPr>
        <w:shd w:val="clear" w:color="auto" w:fill="B8C926" w:themeFill="accent6" w:themeFillShade="BF"/>
      </w:tcPr>
    </w:tblStylePr>
    <w:tblStylePr w:type="band1Vert">
      <w:tblPr/>
      <w:tcPr>
        <w:shd w:val="clear" w:color="auto" w:fill="E9F0AF" w:themeFill="accent6" w:themeFillTint="7F"/>
      </w:tcPr>
    </w:tblStylePr>
    <w:tblStylePr w:type="band1Horz">
      <w:tblPr/>
      <w:tcPr>
        <w:shd w:val="clear" w:color="auto" w:fill="E9F0AF" w:themeFill="accent6" w:themeFillTint="7F"/>
      </w:tcPr>
    </w:tblStylePr>
  </w:style>
  <w:style w:type="table" w:styleId="ColorfulList">
    <w:name w:val="Colorful List"/>
    <w:basedOn w:val="TableNormal"/>
    <w:uiPriority w:val="72"/>
    <w:rsid w:val="003324A3"/>
    <w:pPr>
      <w:spacing w:after="100" w:line="264" w:lineRule="auto"/>
    </w:pPr>
    <w:rPr>
      <w:rFonts w:eastAsiaTheme="minorHAnsi"/>
      <w:color w:val="232B39" w:themeColor="text1"/>
      <w:lang w:eastAsia="en-US"/>
    </w:rPr>
    <w:tblPr>
      <w:tblStyleRowBandSize w:val="1"/>
      <w:tblStyleColBandSize w:val="1"/>
    </w:tblPr>
    <w:tcPr>
      <w:shd w:val="clear" w:color="auto" w:fill="E5E9EF" w:themeFill="text1" w:themeFillTint="19"/>
    </w:tcPr>
    <w:tblStylePr w:type="firstRow">
      <w:rPr>
        <w:b/>
        <w:bCs/>
        <w:color w:val="FFFFFF" w:themeColor="background1"/>
      </w:rPr>
      <w:tblPr/>
      <w:tcPr>
        <w:tcBorders>
          <w:bottom w:val="single" w:sz="12" w:space="0" w:color="FFFFFF" w:themeColor="background1"/>
        </w:tcBorders>
        <w:shd w:val="clear" w:color="auto" w:fill="8D429C" w:themeFill="accent2" w:themeFillShade="CC"/>
      </w:tcPr>
    </w:tblStylePr>
    <w:tblStylePr w:type="lastRow">
      <w:rPr>
        <w:b/>
        <w:bCs/>
        <w:color w:val="8D429C" w:themeColor="accent2" w:themeShade="CC"/>
      </w:rPr>
      <w:tblPr/>
      <w:tcPr>
        <w:tcBorders>
          <w:top w:val="single" w:sz="12" w:space="0" w:color="232B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C7D7" w:themeFill="text1" w:themeFillTint="3F"/>
      </w:tcPr>
    </w:tblStylePr>
    <w:tblStylePr w:type="band1Horz">
      <w:tblPr/>
      <w:tcPr>
        <w:shd w:val="clear" w:color="auto" w:fill="CBD2DF" w:themeFill="text1" w:themeFillTint="33"/>
      </w:tcPr>
    </w:tblStylePr>
  </w:style>
  <w:style w:type="table" w:styleId="ColorfulList-Accent1">
    <w:name w:val="Colorful List Accent 1"/>
    <w:basedOn w:val="TableNormal"/>
    <w:uiPriority w:val="72"/>
    <w:rsid w:val="003324A3"/>
    <w:pPr>
      <w:spacing w:after="100" w:line="264" w:lineRule="auto"/>
    </w:pPr>
    <w:rPr>
      <w:rFonts w:eastAsiaTheme="minorHAnsi"/>
      <w:color w:val="232B39" w:themeColor="text1"/>
      <w:lang w:eastAsia="en-US"/>
    </w:rPr>
    <w:tblPr>
      <w:tblStyleRowBandSize w:val="1"/>
      <w:tblStyleColBandSize w:val="1"/>
    </w:tblPr>
    <w:tcPr>
      <w:shd w:val="clear" w:color="auto" w:fill="F6E2FA" w:themeFill="accent1" w:themeFillTint="19"/>
    </w:tcPr>
    <w:tblStylePr w:type="firstRow">
      <w:rPr>
        <w:b/>
        <w:bCs/>
        <w:color w:val="FFFFFF" w:themeColor="background1"/>
      </w:rPr>
      <w:tblPr/>
      <w:tcPr>
        <w:tcBorders>
          <w:bottom w:val="single" w:sz="12" w:space="0" w:color="FFFFFF" w:themeColor="background1"/>
        </w:tcBorders>
        <w:shd w:val="clear" w:color="auto" w:fill="8D429C" w:themeFill="accent2" w:themeFillShade="CC"/>
      </w:tcPr>
    </w:tblStylePr>
    <w:tblStylePr w:type="lastRow">
      <w:rPr>
        <w:b/>
        <w:bCs/>
        <w:color w:val="8D429C" w:themeColor="accent2" w:themeShade="CC"/>
      </w:rPr>
      <w:tblPr/>
      <w:tcPr>
        <w:tcBorders>
          <w:top w:val="single" w:sz="12" w:space="0" w:color="232B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B8F4" w:themeFill="accent1" w:themeFillTint="3F"/>
      </w:tcPr>
    </w:tblStylePr>
    <w:tblStylePr w:type="band1Horz">
      <w:tblPr/>
      <w:tcPr>
        <w:shd w:val="clear" w:color="auto" w:fill="EEC5F6" w:themeFill="accent1" w:themeFillTint="33"/>
      </w:tcPr>
    </w:tblStylePr>
  </w:style>
  <w:style w:type="table" w:styleId="ColorfulList-Accent2">
    <w:name w:val="Colorful List Accent 2"/>
    <w:basedOn w:val="TableNormal"/>
    <w:uiPriority w:val="72"/>
    <w:rsid w:val="003324A3"/>
    <w:pPr>
      <w:spacing w:after="100" w:line="264" w:lineRule="auto"/>
    </w:pPr>
    <w:rPr>
      <w:rFonts w:eastAsiaTheme="minorHAnsi"/>
      <w:color w:val="232B39" w:themeColor="text1"/>
      <w:lang w:eastAsia="en-US"/>
    </w:rPr>
    <w:tblPr>
      <w:tblStyleRowBandSize w:val="1"/>
      <w:tblStyleColBandSize w:val="1"/>
    </w:tblPr>
    <w:tcPr>
      <w:shd w:val="clear" w:color="auto" w:fill="F6EFF8" w:themeFill="accent2" w:themeFillTint="19"/>
    </w:tcPr>
    <w:tblStylePr w:type="firstRow">
      <w:rPr>
        <w:b/>
        <w:bCs/>
        <w:color w:val="FFFFFF" w:themeColor="background1"/>
      </w:rPr>
      <w:tblPr/>
      <w:tcPr>
        <w:tcBorders>
          <w:bottom w:val="single" w:sz="12" w:space="0" w:color="FFFFFF" w:themeColor="background1"/>
        </w:tcBorders>
        <w:shd w:val="clear" w:color="auto" w:fill="8D429C" w:themeFill="accent2" w:themeFillShade="CC"/>
      </w:tcPr>
    </w:tblStylePr>
    <w:tblStylePr w:type="lastRow">
      <w:rPr>
        <w:b/>
        <w:bCs/>
        <w:color w:val="8D429C" w:themeColor="accent2" w:themeShade="CC"/>
      </w:rPr>
      <w:tblPr/>
      <w:tcPr>
        <w:tcBorders>
          <w:top w:val="single" w:sz="12" w:space="0" w:color="232B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6EE" w:themeFill="accent2" w:themeFillTint="3F"/>
      </w:tcPr>
    </w:tblStylePr>
    <w:tblStylePr w:type="band1Horz">
      <w:tblPr/>
      <w:tcPr>
        <w:shd w:val="clear" w:color="auto" w:fill="EEDEF1" w:themeFill="accent2" w:themeFillTint="33"/>
      </w:tcPr>
    </w:tblStylePr>
  </w:style>
  <w:style w:type="table" w:styleId="ColorfulList-Accent3">
    <w:name w:val="Colorful List Accent 3"/>
    <w:basedOn w:val="TableNormal"/>
    <w:uiPriority w:val="72"/>
    <w:rsid w:val="003324A3"/>
    <w:pPr>
      <w:spacing w:after="100" w:line="264" w:lineRule="auto"/>
    </w:pPr>
    <w:rPr>
      <w:rFonts w:eastAsiaTheme="minorHAnsi"/>
      <w:color w:val="232B39" w:themeColor="text1"/>
      <w:lang w:eastAsia="en-US"/>
    </w:rPr>
    <w:tblPr>
      <w:tblStyleRowBandSize w:val="1"/>
      <w:tblStyleColBandSize w:val="1"/>
    </w:tblPr>
    <w:tcPr>
      <w:shd w:val="clear" w:color="auto" w:fill="F4E4F5" w:themeFill="accent3" w:themeFillTint="19"/>
    </w:tcPr>
    <w:tblStylePr w:type="firstRow">
      <w:rPr>
        <w:b/>
        <w:bCs/>
        <w:color w:val="FFFFFF" w:themeColor="background1"/>
      </w:rPr>
      <w:tblPr/>
      <w:tcPr>
        <w:tcBorders>
          <w:bottom w:val="single" w:sz="12" w:space="0" w:color="FFFFFF" w:themeColor="background1"/>
        </w:tcBorders>
        <w:shd w:val="clear" w:color="auto" w:fill="A6AAAE" w:themeFill="accent4" w:themeFillShade="CC"/>
      </w:tcPr>
    </w:tblStylePr>
    <w:tblStylePr w:type="lastRow">
      <w:rPr>
        <w:b/>
        <w:bCs/>
        <w:color w:val="A6AAAE" w:themeColor="accent4" w:themeShade="CC"/>
      </w:rPr>
      <w:tblPr/>
      <w:tcPr>
        <w:tcBorders>
          <w:top w:val="single" w:sz="12" w:space="0" w:color="232B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BCE6" w:themeFill="accent3" w:themeFillTint="3F"/>
      </w:tcPr>
    </w:tblStylePr>
    <w:tblStylePr w:type="band1Horz">
      <w:tblPr/>
      <w:tcPr>
        <w:shd w:val="clear" w:color="auto" w:fill="E9C8EB" w:themeFill="accent3" w:themeFillTint="33"/>
      </w:tcPr>
    </w:tblStylePr>
  </w:style>
  <w:style w:type="table" w:styleId="ColorfulList-Accent4">
    <w:name w:val="Colorful List Accent 4"/>
    <w:basedOn w:val="TableNormal"/>
    <w:uiPriority w:val="72"/>
    <w:rsid w:val="003324A3"/>
    <w:pPr>
      <w:spacing w:after="100" w:line="264" w:lineRule="auto"/>
    </w:pPr>
    <w:rPr>
      <w:rFonts w:eastAsiaTheme="minorHAnsi"/>
      <w:color w:val="232B39" w:themeColor="text1"/>
      <w:lang w:eastAsia="en-US"/>
    </w:rPr>
    <w:tblPr>
      <w:tblStyleRowBandSize w:val="1"/>
      <w:tblStyleColBandSize w:val="1"/>
    </w:tblPr>
    <w:tcPr>
      <w:shd w:val="clear" w:color="auto" w:fill="FAFAFB" w:themeFill="accent4" w:themeFillTint="19"/>
    </w:tcPr>
    <w:tblStylePr w:type="firstRow">
      <w:rPr>
        <w:b/>
        <w:bCs/>
        <w:color w:val="FFFFFF" w:themeColor="background1"/>
      </w:rPr>
      <w:tblPr/>
      <w:tcPr>
        <w:tcBorders>
          <w:bottom w:val="single" w:sz="12" w:space="0" w:color="FFFFFF" w:themeColor="background1"/>
        </w:tcBorders>
        <w:shd w:val="clear" w:color="auto" w:fill="4F1E52" w:themeFill="accent3" w:themeFillShade="CC"/>
      </w:tcPr>
    </w:tblStylePr>
    <w:tblStylePr w:type="lastRow">
      <w:rPr>
        <w:b/>
        <w:bCs/>
        <w:color w:val="4F1E52" w:themeColor="accent3" w:themeShade="CC"/>
      </w:rPr>
      <w:tblPr/>
      <w:tcPr>
        <w:tcBorders>
          <w:top w:val="single" w:sz="12" w:space="0" w:color="232B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4F5" w:themeFill="accent4" w:themeFillTint="3F"/>
      </w:tcPr>
    </w:tblStylePr>
    <w:tblStylePr w:type="band1Horz">
      <w:tblPr/>
      <w:tcPr>
        <w:shd w:val="clear" w:color="auto" w:fill="F6F6F7" w:themeFill="accent4" w:themeFillTint="33"/>
      </w:tcPr>
    </w:tblStylePr>
  </w:style>
  <w:style w:type="table" w:styleId="ColorfulList-Accent5">
    <w:name w:val="Colorful List Accent 5"/>
    <w:basedOn w:val="TableNormal"/>
    <w:uiPriority w:val="72"/>
    <w:rsid w:val="003324A3"/>
    <w:pPr>
      <w:spacing w:after="100" w:line="264" w:lineRule="auto"/>
    </w:pPr>
    <w:rPr>
      <w:rFonts w:eastAsiaTheme="minorHAnsi"/>
      <w:color w:val="232B39" w:themeColor="text1"/>
      <w:lang w:eastAsia="en-US"/>
    </w:rPr>
    <w:tblPr>
      <w:tblStyleRowBandSize w:val="1"/>
      <w:tblStyleColBandSize w:val="1"/>
    </w:tblPr>
    <w:tcPr>
      <w:shd w:val="clear" w:color="auto" w:fill="E0FCFF" w:themeFill="accent5" w:themeFillTint="19"/>
    </w:tcPr>
    <w:tblStylePr w:type="firstRow">
      <w:rPr>
        <w:b/>
        <w:bCs/>
        <w:color w:val="FFFFFF" w:themeColor="background1"/>
      </w:rPr>
      <w:tblPr/>
      <w:tcPr>
        <w:tcBorders>
          <w:bottom w:val="single" w:sz="12" w:space="0" w:color="FFFFFF" w:themeColor="background1"/>
        </w:tcBorders>
        <w:shd w:val="clear" w:color="auto" w:fill="C5D629" w:themeFill="accent6" w:themeFillShade="CC"/>
      </w:tcPr>
    </w:tblStylePr>
    <w:tblStylePr w:type="lastRow">
      <w:rPr>
        <w:b/>
        <w:bCs/>
        <w:color w:val="C5D629" w:themeColor="accent6" w:themeShade="CC"/>
      </w:rPr>
      <w:tblPr/>
      <w:tcPr>
        <w:tcBorders>
          <w:top w:val="single" w:sz="12" w:space="0" w:color="232B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9FF" w:themeFill="accent5" w:themeFillTint="3F"/>
      </w:tcPr>
    </w:tblStylePr>
    <w:tblStylePr w:type="band1Horz">
      <w:tblPr/>
      <w:tcPr>
        <w:shd w:val="clear" w:color="auto" w:fill="C0FAFF" w:themeFill="accent5" w:themeFillTint="33"/>
      </w:tcPr>
    </w:tblStylePr>
  </w:style>
  <w:style w:type="table" w:styleId="ColorfulList-Accent6">
    <w:name w:val="Colorful List Accent 6"/>
    <w:basedOn w:val="TableNormal"/>
    <w:uiPriority w:val="72"/>
    <w:rsid w:val="003324A3"/>
    <w:pPr>
      <w:spacing w:after="100" w:line="264" w:lineRule="auto"/>
    </w:pPr>
    <w:rPr>
      <w:rFonts w:eastAsiaTheme="minorHAnsi"/>
      <w:color w:val="232B39" w:themeColor="text1"/>
      <w:lang w:eastAsia="en-US"/>
    </w:rPr>
    <w:tblPr>
      <w:tblStyleRowBandSize w:val="1"/>
      <w:tblStyleColBandSize w:val="1"/>
    </w:tblPr>
    <w:tcPr>
      <w:shd w:val="clear" w:color="auto" w:fill="FAFCEF" w:themeFill="accent6" w:themeFillTint="19"/>
    </w:tcPr>
    <w:tblStylePr w:type="firstRow">
      <w:rPr>
        <w:b/>
        <w:bCs/>
        <w:color w:val="FFFFFF" w:themeColor="background1"/>
      </w:rPr>
      <w:tblPr/>
      <w:tcPr>
        <w:tcBorders>
          <w:bottom w:val="single" w:sz="12" w:space="0" w:color="FFFFFF" w:themeColor="background1"/>
        </w:tcBorders>
        <w:shd w:val="clear" w:color="auto" w:fill="00949F" w:themeFill="accent5" w:themeFillShade="CC"/>
      </w:tcPr>
    </w:tblStylePr>
    <w:tblStylePr w:type="lastRow">
      <w:rPr>
        <w:b/>
        <w:bCs/>
        <w:color w:val="00949F" w:themeColor="accent5" w:themeShade="CC"/>
      </w:rPr>
      <w:tblPr/>
      <w:tcPr>
        <w:tcBorders>
          <w:top w:val="single" w:sz="12" w:space="0" w:color="232B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F7D7" w:themeFill="accent6" w:themeFillTint="3F"/>
      </w:tcPr>
    </w:tblStylePr>
    <w:tblStylePr w:type="band1Horz">
      <w:tblPr/>
      <w:tcPr>
        <w:shd w:val="clear" w:color="auto" w:fill="F6F9DF" w:themeFill="accent6" w:themeFillTint="33"/>
      </w:tcPr>
    </w:tblStylePr>
  </w:style>
  <w:style w:type="table" w:styleId="ColorfulShading">
    <w:name w:val="Colorful Shading"/>
    <w:basedOn w:val="TableNormal"/>
    <w:uiPriority w:val="71"/>
    <w:rsid w:val="003324A3"/>
    <w:pPr>
      <w:spacing w:after="100" w:line="264" w:lineRule="auto"/>
    </w:pPr>
    <w:rPr>
      <w:rFonts w:eastAsiaTheme="minorHAnsi"/>
      <w:color w:val="232B39" w:themeColor="text1"/>
      <w:lang w:eastAsia="en-US"/>
    </w:rPr>
    <w:tblPr>
      <w:tblStyleRowBandSize w:val="1"/>
      <w:tblStyleColBandSize w:val="1"/>
      <w:tblBorders>
        <w:top w:val="single" w:sz="24" w:space="0" w:color="AB5DBA" w:themeColor="accent2"/>
        <w:left w:val="single" w:sz="4" w:space="0" w:color="232B39" w:themeColor="text1"/>
        <w:bottom w:val="single" w:sz="4" w:space="0" w:color="232B39" w:themeColor="text1"/>
        <w:right w:val="single" w:sz="4" w:space="0" w:color="232B39" w:themeColor="text1"/>
        <w:insideH w:val="single" w:sz="4" w:space="0" w:color="FFFFFF" w:themeColor="background1"/>
        <w:insideV w:val="single" w:sz="4" w:space="0" w:color="FFFFFF" w:themeColor="background1"/>
      </w:tblBorders>
    </w:tblPr>
    <w:tcPr>
      <w:shd w:val="clear" w:color="auto" w:fill="E5E9EF" w:themeFill="text1" w:themeFillTint="19"/>
    </w:tcPr>
    <w:tblStylePr w:type="firstRow">
      <w:rPr>
        <w:b/>
        <w:bCs/>
      </w:rPr>
      <w:tblPr/>
      <w:tcPr>
        <w:tcBorders>
          <w:top w:val="nil"/>
          <w:left w:val="nil"/>
          <w:bottom w:val="single" w:sz="24" w:space="0" w:color="AB5D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1922" w:themeFill="text1" w:themeFillShade="99"/>
      </w:tcPr>
    </w:tblStylePr>
    <w:tblStylePr w:type="firstCol">
      <w:rPr>
        <w:color w:val="FFFFFF" w:themeColor="background1"/>
      </w:rPr>
      <w:tblPr/>
      <w:tcPr>
        <w:tcBorders>
          <w:top w:val="nil"/>
          <w:left w:val="nil"/>
          <w:bottom w:val="nil"/>
          <w:right w:val="nil"/>
          <w:insideH w:val="single" w:sz="4" w:space="0" w:color="151922" w:themeColor="text1" w:themeShade="99"/>
          <w:insideV w:val="nil"/>
        </w:tcBorders>
        <w:shd w:val="clear" w:color="auto" w:fill="151922"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202A" w:themeFill="text1" w:themeFillShade="BF"/>
      </w:tcPr>
    </w:tblStylePr>
    <w:tblStylePr w:type="band1Vert">
      <w:tblPr/>
      <w:tcPr>
        <w:shd w:val="clear" w:color="auto" w:fill="97A5BF" w:themeFill="text1" w:themeFillTint="66"/>
      </w:tcPr>
    </w:tblStylePr>
    <w:tblStylePr w:type="band1Horz">
      <w:tblPr/>
      <w:tcPr>
        <w:shd w:val="clear" w:color="auto" w:fill="7D8FAF" w:themeFill="text1" w:themeFillTint="7F"/>
      </w:tcPr>
    </w:tblStylePr>
    <w:tblStylePr w:type="neCell">
      <w:rPr>
        <w:color w:val="232B39" w:themeColor="text1"/>
      </w:rPr>
    </w:tblStylePr>
    <w:tblStylePr w:type="nwCell">
      <w:rPr>
        <w:color w:val="232B39" w:themeColor="text1"/>
      </w:rPr>
    </w:tblStylePr>
  </w:style>
  <w:style w:type="table" w:styleId="ColorfulShading-Accent1">
    <w:name w:val="Colorful Shading Accent 1"/>
    <w:basedOn w:val="TableNormal"/>
    <w:uiPriority w:val="71"/>
    <w:rsid w:val="003324A3"/>
    <w:pPr>
      <w:spacing w:after="100" w:line="264" w:lineRule="auto"/>
    </w:pPr>
    <w:rPr>
      <w:rFonts w:eastAsiaTheme="minorHAnsi"/>
      <w:color w:val="232B39" w:themeColor="text1"/>
      <w:lang w:eastAsia="en-US"/>
    </w:rPr>
    <w:tblPr>
      <w:tblStyleRowBandSize w:val="1"/>
      <w:tblStyleColBandSize w:val="1"/>
      <w:tblBorders>
        <w:top w:val="single" w:sz="24" w:space="0" w:color="AB5DBA" w:themeColor="accent2"/>
        <w:left w:val="single" w:sz="4" w:space="0" w:color="87189D" w:themeColor="accent1"/>
        <w:bottom w:val="single" w:sz="4" w:space="0" w:color="87189D" w:themeColor="accent1"/>
        <w:right w:val="single" w:sz="4" w:space="0" w:color="87189D" w:themeColor="accent1"/>
        <w:insideH w:val="single" w:sz="4" w:space="0" w:color="FFFFFF" w:themeColor="background1"/>
        <w:insideV w:val="single" w:sz="4" w:space="0" w:color="FFFFFF" w:themeColor="background1"/>
      </w:tblBorders>
    </w:tblPr>
    <w:tcPr>
      <w:shd w:val="clear" w:color="auto" w:fill="F6E2FA" w:themeFill="accent1" w:themeFillTint="19"/>
    </w:tcPr>
    <w:tblStylePr w:type="firstRow">
      <w:rPr>
        <w:b/>
        <w:bCs/>
      </w:rPr>
      <w:tblPr/>
      <w:tcPr>
        <w:tcBorders>
          <w:top w:val="nil"/>
          <w:left w:val="nil"/>
          <w:bottom w:val="single" w:sz="24" w:space="0" w:color="AB5D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0E5D" w:themeFill="accent1" w:themeFillShade="99"/>
      </w:tcPr>
    </w:tblStylePr>
    <w:tblStylePr w:type="firstCol">
      <w:rPr>
        <w:color w:val="FFFFFF" w:themeColor="background1"/>
      </w:rPr>
      <w:tblPr/>
      <w:tcPr>
        <w:tcBorders>
          <w:top w:val="nil"/>
          <w:left w:val="nil"/>
          <w:bottom w:val="nil"/>
          <w:right w:val="nil"/>
          <w:insideH w:val="single" w:sz="4" w:space="0" w:color="500E5D" w:themeColor="accent1" w:themeShade="99"/>
          <w:insideV w:val="nil"/>
        </w:tcBorders>
        <w:shd w:val="clear" w:color="auto" w:fill="500E5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0E5D" w:themeFill="accent1" w:themeFillShade="99"/>
      </w:tcPr>
    </w:tblStylePr>
    <w:tblStylePr w:type="band1Vert">
      <w:tblPr/>
      <w:tcPr>
        <w:shd w:val="clear" w:color="auto" w:fill="DD8CED" w:themeFill="accent1" w:themeFillTint="66"/>
      </w:tcPr>
    </w:tblStylePr>
    <w:tblStylePr w:type="band1Horz">
      <w:tblPr/>
      <w:tcPr>
        <w:shd w:val="clear" w:color="auto" w:fill="D470E9" w:themeFill="accent1" w:themeFillTint="7F"/>
      </w:tcPr>
    </w:tblStylePr>
    <w:tblStylePr w:type="neCell">
      <w:rPr>
        <w:color w:val="232B39" w:themeColor="text1"/>
      </w:rPr>
    </w:tblStylePr>
    <w:tblStylePr w:type="nwCell">
      <w:rPr>
        <w:color w:val="232B39" w:themeColor="text1"/>
      </w:rPr>
    </w:tblStylePr>
  </w:style>
  <w:style w:type="table" w:styleId="ColorfulShading-Accent2">
    <w:name w:val="Colorful Shading Accent 2"/>
    <w:basedOn w:val="TableNormal"/>
    <w:uiPriority w:val="71"/>
    <w:rsid w:val="003324A3"/>
    <w:pPr>
      <w:spacing w:after="100" w:line="264" w:lineRule="auto"/>
    </w:pPr>
    <w:rPr>
      <w:rFonts w:eastAsiaTheme="minorHAnsi"/>
      <w:color w:val="232B39" w:themeColor="text1"/>
      <w:lang w:eastAsia="en-US"/>
    </w:rPr>
    <w:tblPr>
      <w:tblStyleRowBandSize w:val="1"/>
      <w:tblStyleColBandSize w:val="1"/>
      <w:tblBorders>
        <w:top w:val="single" w:sz="24" w:space="0" w:color="AB5DBA" w:themeColor="accent2"/>
        <w:left w:val="single" w:sz="4" w:space="0" w:color="AB5DBA" w:themeColor="accent2"/>
        <w:bottom w:val="single" w:sz="4" w:space="0" w:color="AB5DBA" w:themeColor="accent2"/>
        <w:right w:val="single" w:sz="4" w:space="0" w:color="AB5DBA" w:themeColor="accent2"/>
        <w:insideH w:val="single" w:sz="4" w:space="0" w:color="FFFFFF" w:themeColor="background1"/>
        <w:insideV w:val="single" w:sz="4" w:space="0" w:color="FFFFFF" w:themeColor="background1"/>
      </w:tblBorders>
    </w:tblPr>
    <w:tcPr>
      <w:shd w:val="clear" w:color="auto" w:fill="F6EFF8" w:themeFill="accent2" w:themeFillTint="19"/>
    </w:tcPr>
    <w:tblStylePr w:type="firstRow">
      <w:rPr>
        <w:b/>
        <w:bCs/>
      </w:rPr>
      <w:tblPr/>
      <w:tcPr>
        <w:tcBorders>
          <w:top w:val="nil"/>
          <w:left w:val="nil"/>
          <w:bottom w:val="single" w:sz="24" w:space="0" w:color="AB5DB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3275" w:themeFill="accent2" w:themeFillShade="99"/>
      </w:tcPr>
    </w:tblStylePr>
    <w:tblStylePr w:type="firstCol">
      <w:rPr>
        <w:color w:val="FFFFFF" w:themeColor="background1"/>
      </w:rPr>
      <w:tblPr/>
      <w:tcPr>
        <w:tcBorders>
          <w:top w:val="nil"/>
          <w:left w:val="nil"/>
          <w:bottom w:val="nil"/>
          <w:right w:val="nil"/>
          <w:insideH w:val="single" w:sz="4" w:space="0" w:color="6A3275" w:themeColor="accent2" w:themeShade="99"/>
          <w:insideV w:val="nil"/>
        </w:tcBorders>
        <w:shd w:val="clear" w:color="auto" w:fill="6A3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3275" w:themeFill="accent2" w:themeFillShade="99"/>
      </w:tcPr>
    </w:tblStylePr>
    <w:tblStylePr w:type="band1Vert">
      <w:tblPr/>
      <w:tcPr>
        <w:shd w:val="clear" w:color="auto" w:fill="DDBEE3" w:themeFill="accent2" w:themeFillTint="66"/>
      </w:tcPr>
    </w:tblStylePr>
    <w:tblStylePr w:type="band1Horz">
      <w:tblPr/>
      <w:tcPr>
        <w:shd w:val="clear" w:color="auto" w:fill="D4AEDC" w:themeFill="accent2" w:themeFillTint="7F"/>
      </w:tcPr>
    </w:tblStylePr>
    <w:tblStylePr w:type="neCell">
      <w:rPr>
        <w:color w:val="232B39" w:themeColor="text1"/>
      </w:rPr>
    </w:tblStylePr>
    <w:tblStylePr w:type="nwCell">
      <w:rPr>
        <w:color w:val="232B39" w:themeColor="text1"/>
      </w:rPr>
    </w:tblStylePr>
  </w:style>
  <w:style w:type="table" w:styleId="ColorfulShading-Accent3">
    <w:name w:val="Colorful Shading Accent 3"/>
    <w:basedOn w:val="TableNormal"/>
    <w:uiPriority w:val="71"/>
    <w:rsid w:val="003324A3"/>
    <w:pPr>
      <w:spacing w:after="100" w:line="264" w:lineRule="auto"/>
    </w:pPr>
    <w:rPr>
      <w:rFonts w:eastAsiaTheme="minorHAnsi"/>
      <w:color w:val="232B39" w:themeColor="text1"/>
      <w:lang w:eastAsia="en-US"/>
    </w:rPr>
    <w:tblPr>
      <w:tblStyleRowBandSize w:val="1"/>
      <w:tblStyleColBandSize w:val="1"/>
      <w:tblBorders>
        <w:top w:val="single" w:sz="24" w:space="0" w:color="D3D5D7" w:themeColor="accent4"/>
        <w:left w:val="single" w:sz="4" w:space="0" w:color="642667" w:themeColor="accent3"/>
        <w:bottom w:val="single" w:sz="4" w:space="0" w:color="642667" w:themeColor="accent3"/>
        <w:right w:val="single" w:sz="4" w:space="0" w:color="642667" w:themeColor="accent3"/>
        <w:insideH w:val="single" w:sz="4" w:space="0" w:color="FFFFFF" w:themeColor="background1"/>
        <w:insideV w:val="single" w:sz="4" w:space="0" w:color="FFFFFF" w:themeColor="background1"/>
      </w:tblBorders>
    </w:tblPr>
    <w:tcPr>
      <w:shd w:val="clear" w:color="auto" w:fill="F4E4F5" w:themeFill="accent3" w:themeFillTint="19"/>
    </w:tcPr>
    <w:tblStylePr w:type="firstRow">
      <w:rPr>
        <w:b/>
        <w:bCs/>
      </w:rPr>
      <w:tblPr/>
      <w:tcPr>
        <w:tcBorders>
          <w:top w:val="nil"/>
          <w:left w:val="nil"/>
          <w:bottom w:val="single" w:sz="24" w:space="0" w:color="D3D5D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163D" w:themeFill="accent3" w:themeFillShade="99"/>
      </w:tcPr>
    </w:tblStylePr>
    <w:tblStylePr w:type="firstCol">
      <w:rPr>
        <w:color w:val="FFFFFF" w:themeColor="background1"/>
      </w:rPr>
      <w:tblPr/>
      <w:tcPr>
        <w:tcBorders>
          <w:top w:val="nil"/>
          <w:left w:val="nil"/>
          <w:bottom w:val="nil"/>
          <w:right w:val="nil"/>
          <w:insideH w:val="single" w:sz="4" w:space="0" w:color="3B163D" w:themeColor="accent3" w:themeShade="99"/>
          <w:insideV w:val="nil"/>
        </w:tcBorders>
        <w:shd w:val="clear" w:color="auto" w:fill="3B16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163D" w:themeFill="accent3" w:themeFillShade="99"/>
      </w:tcPr>
    </w:tblStylePr>
    <w:tblStylePr w:type="band1Vert">
      <w:tblPr/>
      <w:tcPr>
        <w:shd w:val="clear" w:color="auto" w:fill="D493D7" w:themeFill="accent3" w:themeFillTint="66"/>
      </w:tcPr>
    </w:tblStylePr>
    <w:tblStylePr w:type="band1Horz">
      <w:tblPr/>
      <w:tcPr>
        <w:shd w:val="clear" w:color="auto" w:fill="C978CD" w:themeFill="accent3" w:themeFillTint="7F"/>
      </w:tcPr>
    </w:tblStylePr>
  </w:style>
  <w:style w:type="table" w:styleId="ColorfulShading-Accent4">
    <w:name w:val="Colorful Shading Accent 4"/>
    <w:basedOn w:val="TableNormal"/>
    <w:uiPriority w:val="71"/>
    <w:rsid w:val="003324A3"/>
    <w:pPr>
      <w:spacing w:after="100" w:line="264" w:lineRule="auto"/>
    </w:pPr>
    <w:rPr>
      <w:rFonts w:eastAsiaTheme="minorHAnsi"/>
      <w:color w:val="232B39" w:themeColor="text1"/>
      <w:lang w:eastAsia="en-US"/>
    </w:rPr>
    <w:tblPr>
      <w:tblStyleRowBandSize w:val="1"/>
      <w:tblStyleColBandSize w:val="1"/>
      <w:tblBorders>
        <w:top w:val="single" w:sz="24" w:space="0" w:color="642667" w:themeColor="accent3"/>
        <w:left w:val="single" w:sz="4" w:space="0" w:color="D3D5D7" w:themeColor="accent4"/>
        <w:bottom w:val="single" w:sz="4" w:space="0" w:color="D3D5D7" w:themeColor="accent4"/>
        <w:right w:val="single" w:sz="4" w:space="0" w:color="D3D5D7" w:themeColor="accent4"/>
        <w:insideH w:val="single" w:sz="4" w:space="0" w:color="FFFFFF" w:themeColor="background1"/>
        <w:insideV w:val="single" w:sz="4" w:space="0" w:color="FFFFFF" w:themeColor="background1"/>
      </w:tblBorders>
    </w:tblPr>
    <w:tcPr>
      <w:shd w:val="clear" w:color="auto" w:fill="FAFAFB" w:themeFill="accent4" w:themeFillTint="19"/>
    </w:tcPr>
    <w:tblStylePr w:type="firstRow">
      <w:rPr>
        <w:b/>
        <w:bCs/>
      </w:rPr>
      <w:tblPr/>
      <w:tcPr>
        <w:tcBorders>
          <w:top w:val="nil"/>
          <w:left w:val="nil"/>
          <w:bottom w:val="single" w:sz="24" w:space="0" w:color="6426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7F85" w:themeFill="accent4" w:themeFillShade="99"/>
      </w:tcPr>
    </w:tblStylePr>
    <w:tblStylePr w:type="firstCol">
      <w:rPr>
        <w:color w:val="FFFFFF" w:themeColor="background1"/>
      </w:rPr>
      <w:tblPr/>
      <w:tcPr>
        <w:tcBorders>
          <w:top w:val="nil"/>
          <w:left w:val="nil"/>
          <w:bottom w:val="nil"/>
          <w:right w:val="nil"/>
          <w:insideH w:val="single" w:sz="4" w:space="0" w:color="797F85" w:themeColor="accent4" w:themeShade="99"/>
          <w:insideV w:val="nil"/>
        </w:tcBorders>
        <w:shd w:val="clear" w:color="auto" w:fill="797F8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97F85" w:themeFill="accent4" w:themeFillShade="99"/>
      </w:tcPr>
    </w:tblStylePr>
    <w:tblStylePr w:type="band1Vert">
      <w:tblPr/>
      <w:tcPr>
        <w:shd w:val="clear" w:color="auto" w:fill="EDEEEF" w:themeFill="accent4" w:themeFillTint="66"/>
      </w:tcPr>
    </w:tblStylePr>
    <w:tblStylePr w:type="band1Horz">
      <w:tblPr/>
      <w:tcPr>
        <w:shd w:val="clear" w:color="auto" w:fill="E9E9EB" w:themeFill="accent4" w:themeFillTint="7F"/>
      </w:tcPr>
    </w:tblStylePr>
    <w:tblStylePr w:type="neCell">
      <w:rPr>
        <w:color w:val="232B39" w:themeColor="text1"/>
      </w:rPr>
    </w:tblStylePr>
    <w:tblStylePr w:type="nwCell">
      <w:rPr>
        <w:color w:val="232B39" w:themeColor="text1"/>
      </w:rPr>
    </w:tblStylePr>
  </w:style>
  <w:style w:type="table" w:styleId="ColorfulShading-Accent5">
    <w:name w:val="Colorful Shading Accent 5"/>
    <w:basedOn w:val="TableNormal"/>
    <w:uiPriority w:val="71"/>
    <w:rsid w:val="003324A3"/>
    <w:pPr>
      <w:spacing w:after="100" w:line="264" w:lineRule="auto"/>
    </w:pPr>
    <w:rPr>
      <w:rFonts w:eastAsiaTheme="minorHAnsi"/>
      <w:color w:val="232B39" w:themeColor="text1"/>
      <w:lang w:eastAsia="en-US"/>
    </w:rPr>
    <w:tblPr>
      <w:tblStyleRowBandSize w:val="1"/>
      <w:tblStyleColBandSize w:val="1"/>
      <w:tblBorders>
        <w:top w:val="single" w:sz="24" w:space="0" w:color="D4E15F" w:themeColor="accent6"/>
        <w:left w:val="single" w:sz="4" w:space="0" w:color="00BAC7" w:themeColor="accent5"/>
        <w:bottom w:val="single" w:sz="4" w:space="0" w:color="00BAC7" w:themeColor="accent5"/>
        <w:right w:val="single" w:sz="4" w:space="0" w:color="00BAC7" w:themeColor="accent5"/>
        <w:insideH w:val="single" w:sz="4" w:space="0" w:color="FFFFFF" w:themeColor="background1"/>
        <w:insideV w:val="single" w:sz="4" w:space="0" w:color="FFFFFF" w:themeColor="background1"/>
      </w:tblBorders>
    </w:tblPr>
    <w:tcPr>
      <w:shd w:val="clear" w:color="auto" w:fill="E0FCFF" w:themeFill="accent5" w:themeFillTint="19"/>
    </w:tcPr>
    <w:tblStylePr w:type="firstRow">
      <w:rPr>
        <w:b/>
        <w:bCs/>
      </w:rPr>
      <w:tblPr/>
      <w:tcPr>
        <w:tcBorders>
          <w:top w:val="nil"/>
          <w:left w:val="nil"/>
          <w:bottom w:val="single" w:sz="24" w:space="0" w:color="D4E15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77" w:themeFill="accent5" w:themeFillShade="99"/>
      </w:tcPr>
    </w:tblStylePr>
    <w:tblStylePr w:type="firstCol">
      <w:rPr>
        <w:color w:val="FFFFFF" w:themeColor="background1"/>
      </w:rPr>
      <w:tblPr/>
      <w:tcPr>
        <w:tcBorders>
          <w:top w:val="nil"/>
          <w:left w:val="nil"/>
          <w:bottom w:val="nil"/>
          <w:right w:val="nil"/>
          <w:insideH w:val="single" w:sz="4" w:space="0" w:color="006F77" w:themeColor="accent5" w:themeShade="99"/>
          <w:insideV w:val="nil"/>
        </w:tcBorders>
        <w:shd w:val="clear" w:color="auto" w:fill="006F7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F77" w:themeFill="accent5" w:themeFillShade="99"/>
      </w:tcPr>
    </w:tblStylePr>
    <w:tblStylePr w:type="band1Vert">
      <w:tblPr/>
      <w:tcPr>
        <w:shd w:val="clear" w:color="auto" w:fill="82F6FF" w:themeFill="accent5" w:themeFillTint="66"/>
      </w:tcPr>
    </w:tblStylePr>
    <w:tblStylePr w:type="band1Horz">
      <w:tblPr/>
      <w:tcPr>
        <w:shd w:val="clear" w:color="auto" w:fill="64F4FF" w:themeFill="accent5" w:themeFillTint="7F"/>
      </w:tcPr>
    </w:tblStylePr>
    <w:tblStylePr w:type="neCell">
      <w:rPr>
        <w:color w:val="232B39" w:themeColor="text1"/>
      </w:rPr>
    </w:tblStylePr>
    <w:tblStylePr w:type="nwCell">
      <w:rPr>
        <w:color w:val="232B39" w:themeColor="text1"/>
      </w:rPr>
    </w:tblStylePr>
  </w:style>
  <w:style w:type="table" w:styleId="ColorfulShading-Accent6">
    <w:name w:val="Colorful Shading Accent 6"/>
    <w:basedOn w:val="TableNormal"/>
    <w:uiPriority w:val="71"/>
    <w:rsid w:val="003324A3"/>
    <w:pPr>
      <w:spacing w:after="100" w:line="264" w:lineRule="auto"/>
    </w:pPr>
    <w:rPr>
      <w:rFonts w:eastAsiaTheme="minorHAnsi"/>
      <w:color w:val="232B39" w:themeColor="text1"/>
      <w:lang w:eastAsia="en-US"/>
    </w:rPr>
    <w:tblPr>
      <w:tblStyleRowBandSize w:val="1"/>
      <w:tblStyleColBandSize w:val="1"/>
      <w:tblBorders>
        <w:top w:val="single" w:sz="24" w:space="0" w:color="00BAC7" w:themeColor="accent5"/>
        <w:left w:val="single" w:sz="4" w:space="0" w:color="D4E15F" w:themeColor="accent6"/>
        <w:bottom w:val="single" w:sz="4" w:space="0" w:color="D4E15F" w:themeColor="accent6"/>
        <w:right w:val="single" w:sz="4" w:space="0" w:color="D4E15F" w:themeColor="accent6"/>
        <w:insideH w:val="single" w:sz="4" w:space="0" w:color="FFFFFF" w:themeColor="background1"/>
        <w:insideV w:val="single" w:sz="4" w:space="0" w:color="FFFFFF" w:themeColor="background1"/>
      </w:tblBorders>
    </w:tblPr>
    <w:tcPr>
      <w:shd w:val="clear" w:color="auto" w:fill="FAFCEF" w:themeFill="accent6" w:themeFillTint="19"/>
    </w:tcPr>
    <w:tblStylePr w:type="firstRow">
      <w:rPr>
        <w:b/>
        <w:bCs/>
      </w:rPr>
      <w:tblPr/>
      <w:tcPr>
        <w:tcBorders>
          <w:top w:val="nil"/>
          <w:left w:val="nil"/>
          <w:bottom w:val="single" w:sz="24" w:space="0" w:color="00BAC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4A11E" w:themeFill="accent6" w:themeFillShade="99"/>
      </w:tcPr>
    </w:tblStylePr>
    <w:tblStylePr w:type="firstCol">
      <w:rPr>
        <w:color w:val="FFFFFF" w:themeColor="background1"/>
      </w:rPr>
      <w:tblPr/>
      <w:tcPr>
        <w:tcBorders>
          <w:top w:val="nil"/>
          <w:left w:val="nil"/>
          <w:bottom w:val="nil"/>
          <w:right w:val="nil"/>
          <w:insideH w:val="single" w:sz="4" w:space="0" w:color="94A11E" w:themeColor="accent6" w:themeShade="99"/>
          <w:insideV w:val="nil"/>
        </w:tcBorders>
        <w:shd w:val="clear" w:color="auto" w:fill="94A11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4A11E" w:themeFill="accent6" w:themeFillShade="99"/>
      </w:tcPr>
    </w:tblStylePr>
    <w:tblStylePr w:type="band1Vert">
      <w:tblPr/>
      <w:tcPr>
        <w:shd w:val="clear" w:color="auto" w:fill="EDF3BF" w:themeFill="accent6" w:themeFillTint="66"/>
      </w:tcPr>
    </w:tblStylePr>
    <w:tblStylePr w:type="band1Horz">
      <w:tblPr/>
      <w:tcPr>
        <w:shd w:val="clear" w:color="auto" w:fill="E9F0AF" w:themeFill="accent6" w:themeFillTint="7F"/>
      </w:tcPr>
    </w:tblStylePr>
    <w:tblStylePr w:type="neCell">
      <w:rPr>
        <w:color w:val="232B39" w:themeColor="text1"/>
      </w:rPr>
    </w:tblStylePr>
    <w:tblStylePr w:type="nwCell">
      <w:rPr>
        <w:color w:val="232B39" w:themeColor="text1"/>
      </w:rPr>
    </w:tblStylePr>
  </w:style>
  <w:style w:type="table" w:styleId="DarkList">
    <w:name w:val="Dark List"/>
    <w:basedOn w:val="TableNormal"/>
    <w:uiPriority w:val="70"/>
    <w:rsid w:val="003324A3"/>
    <w:pPr>
      <w:spacing w:after="100" w:line="264" w:lineRule="auto"/>
    </w:pPr>
    <w:rPr>
      <w:rFonts w:eastAsiaTheme="minorHAnsi"/>
      <w:color w:val="FFFFFF" w:themeColor="background1"/>
      <w:lang w:eastAsia="en-US"/>
    </w:rPr>
    <w:tblPr>
      <w:tblStyleRowBandSize w:val="1"/>
      <w:tblStyleColBandSize w:val="1"/>
    </w:tblPr>
    <w:tcPr>
      <w:shd w:val="clear" w:color="auto" w:fill="232B39"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B39" w:themeFill="text1"/>
      </w:tcPr>
    </w:tblStylePr>
    <w:tblStylePr w:type="lastRow">
      <w:tblPr/>
      <w:tcPr>
        <w:tcBorders>
          <w:top w:val="single" w:sz="18" w:space="0" w:color="FFFFFF" w:themeColor="background1"/>
          <w:left w:val="nil"/>
          <w:bottom w:val="nil"/>
          <w:right w:val="nil"/>
          <w:insideH w:val="nil"/>
          <w:insideV w:val="nil"/>
        </w:tcBorders>
        <w:shd w:val="clear" w:color="auto" w:fill="11151C"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202A"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202A" w:themeFill="text1" w:themeFillShade="BF"/>
      </w:tcPr>
    </w:tblStylePr>
    <w:tblStylePr w:type="band1Vert">
      <w:tblPr/>
      <w:tcPr>
        <w:tcBorders>
          <w:top w:val="nil"/>
          <w:left w:val="nil"/>
          <w:bottom w:val="nil"/>
          <w:right w:val="nil"/>
          <w:insideH w:val="nil"/>
          <w:insideV w:val="nil"/>
        </w:tcBorders>
        <w:shd w:val="clear" w:color="auto" w:fill="1A202A" w:themeFill="text1" w:themeFillShade="BF"/>
      </w:tcPr>
    </w:tblStylePr>
    <w:tblStylePr w:type="band1Horz">
      <w:tblPr/>
      <w:tcPr>
        <w:tcBorders>
          <w:top w:val="nil"/>
          <w:left w:val="nil"/>
          <w:bottom w:val="nil"/>
          <w:right w:val="nil"/>
          <w:insideH w:val="nil"/>
          <w:insideV w:val="nil"/>
        </w:tcBorders>
        <w:shd w:val="clear" w:color="auto" w:fill="1A202A" w:themeFill="text1" w:themeFillShade="BF"/>
      </w:tcPr>
    </w:tblStylePr>
  </w:style>
  <w:style w:type="table" w:styleId="DarkList-Accent1">
    <w:name w:val="Dark List Accent 1"/>
    <w:basedOn w:val="TableNormal"/>
    <w:uiPriority w:val="70"/>
    <w:rsid w:val="003324A3"/>
    <w:pPr>
      <w:spacing w:after="100" w:line="264" w:lineRule="auto"/>
    </w:pPr>
    <w:rPr>
      <w:rFonts w:eastAsiaTheme="minorHAnsi"/>
      <w:color w:val="FFFFFF" w:themeColor="background1"/>
      <w:lang w:eastAsia="en-US"/>
    </w:rPr>
    <w:tblPr>
      <w:tblStyleRowBandSize w:val="1"/>
      <w:tblStyleColBandSize w:val="1"/>
    </w:tblPr>
    <w:tcPr>
      <w:shd w:val="clear" w:color="auto" w:fill="87189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B39" w:themeFill="text1"/>
      </w:tcPr>
    </w:tblStylePr>
    <w:tblStylePr w:type="lastRow">
      <w:tblPr/>
      <w:tcPr>
        <w:tcBorders>
          <w:top w:val="single" w:sz="18" w:space="0" w:color="FFFFFF" w:themeColor="background1"/>
          <w:left w:val="nil"/>
          <w:bottom w:val="nil"/>
          <w:right w:val="nil"/>
          <w:insideH w:val="nil"/>
          <w:insideV w:val="nil"/>
        </w:tcBorders>
        <w:shd w:val="clear" w:color="auto" w:fill="420C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4127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41275" w:themeFill="accent1" w:themeFillShade="BF"/>
      </w:tcPr>
    </w:tblStylePr>
    <w:tblStylePr w:type="band1Vert">
      <w:tblPr/>
      <w:tcPr>
        <w:tcBorders>
          <w:top w:val="nil"/>
          <w:left w:val="nil"/>
          <w:bottom w:val="nil"/>
          <w:right w:val="nil"/>
          <w:insideH w:val="nil"/>
          <w:insideV w:val="nil"/>
        </w:tcBorders>
        <w:shd w:val="clear" w:color="auto" w:fill="641275" w:themeFill="accent1" w:themeFillShade="BF"/>
      </w:tcPr>
    </w:tblStylePr>
    <w:tblStylePr w:type="band1Horz">
      <w:tblPr/>
      <w:tcPr>
        <w:tcBorders>
          <w:top w:val="nil"/>
          <w:left w:val="nil"/>
          <w:bottom w:val="nil"/>
          <w:right w:val="nil"/>
          <w:insideH w:val="nil"/>
          <w:insideV w:val="nil"/>
        </w:tcBorders>
        <w:shd w:val="clear" w:color="auto" w:fill="641275" w:themeFill="accent1" w:themeFillShade="BF"/>
      </w:tcPr>
    </w:tblStylePr>
  </w:style>
  <w:style w:type="table" w:styleId="DarkList-Accent2">
    <w:name w:val="Dark List Accent 2"/>
    <w:basedOn w:val="TableNormal"/>
    <w:uiPriority w:val="70"/>
    <w:rsid w:val="003324A3"/>
    <w:pPr>
      <w:spacing w:after="100" w:line="264" w:lineRule="auto"/>
    </w:pPr>
    <w:rPr>
      <w:rFonts w:eastAsiaTheme="minorHAnsi"/>
      <w:color w:val="FFFFFF" w:themeColor="background1"/>
      <w:lang w:eastAsia="en-US"/>
    </w:rPr>
    <w:tblPr>
      <w:tblStyleRowBandSize w:val="1"/>
      <w:tblStyleColBandSize w:val="1"/>
    </w:tblPr>
    <w:tcPr>
      <w:shd w:val="clear" w:color="auto" w:fill="AB5DB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B39" w:themeFill="text1"/>
      </w:tcPr>
    </w:tblStylePr>
    <w:tblStylePr w:type="lastRow">
      <w:tblPr/>
      <w:tcPr>
        <w:tcBorders>
          <w:top w:val="single" w:sz="18" w:space="0" w:color="FFFFFF" w:themeColor="background1"/>
          <w:left w:val="nil"/>
          <w:bottom w:val="nil"/>
          <w:right w:val="nil"/>
          <w:insideH w:val="nil"/>
          <w:insideV w:val="nil"/>
        </w:tcBorders>
        <w:shd w:val="clear" w:color="auto" w:fill="5729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43E9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43E92" w:themeFill="accent2" w:themeFillShade="BF"/>
      </w:tcPr>
    </w:tblStylePr>
    <w:tblStylePr w:type="band1Vert">
      <w:tblPr/>
      <w:tcPr>
        <w:tcBorders>
          <w:top w:val="nil"/>
          <w:left w:val="nil"/>
          <w:bottom w:val="nil"/>
          <w:right w:val="nil"/>
          <w:insideH w:val="nil"/>
          <w:insideV w:val="nil"/>
        </w:tcBorders>
        <w:shd w:val="clear" w:color="auto" w:fill="843E92" w:themeFill="accent2" w:themeFillShade="BF"/>
      </w:tcPr>
    </w:tblStylePr>
    <w:tblStylePr w:type="band1Horz">
      <w:tblPr/>
      <w:tcPr>
        <w:tcBorders>
          <w:top w:val="nil"/>
          <w:left w:val="nil"/>
          <w:bottom w:val="nil"/>
          <w:right w:val="nil"/>
          <w:insideH w:val="nil"/>
          <w:insideV w:val="nil"/>
        </w:tcBorders>
        <w:shd w:val="clear" w:color="auto" w:fill="843E92" w:themeFill="accent2" w:themeFillShade="BF"/>
      </w:tcPr>
    </w:tblStylePr>
  </w:style>
  <w:style w:type="table" w:styleId="DarkList-Accent3">
    <w:name w:val="Dark List Accent 3"/>
    <w:basedOn w:val="TableNormal"/>
    <w:uiPriority w:val="70"/>
    <w:rsid w:val="003324A3"/>
    <w:pPr>
      <w:spacing w:after="100" w:line="264" w:lineRule="auto"/>
    </w:pPr>
    <w:rPr>
      <w:rFonts w:eastAsiaTheme="minorHAnsi"/>
      <w:color w:val="FFFFFF" w:themeColor="background1"/>
      <w:lang w:eastAsia="en-US"/>
    </w:rPr>
    <w:tblPr>
      <w:tblStyleRowBandSize w:val="1"/>
      <w:tblStyleColBandSize w:val="1"/>
    </w:tblPr>
    <w:tcPr>
      <w:shd w:val="clear" w:color="auto" w:fill="6426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B39" w:themeFill="text1"/>
      </w:tcPr>
    </w:tblStylePr>
    <w:tblStylePr w:type="lastRow">
      <w:tblPr/>
      <w:tcPr>
        <w:tcBorders>
          <w:top w:val="single" w:sz="18" w:space="0" w:color="FFFFFF" w:themeColor="background1"/>
          <w:left w:val="nil"/>
          <w:bottom w:val="nil"/>
          <w:right w:val="nil"/>
          <w:insideH w:val="nil"/>
          <w:insideV w:val="nil"/>
        </w:tcBorders>
        <w:shd w:val="clear" w:color="auto" w:fill="3113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1C4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1C4C" w:themeFill="accent3" w:themeFillShade="BF"/>
      </w:tcPr>
    </w:tblStylePr>
    <w:tblStylePr w:type="band1Vert">
      <w:tblPr/>
      <w:tcPr>
        <w:tcBorders>
          <w:top w:val="nil"/>
          <w:left w:val="nil"/>
          <w:bottom w:val="nil"/>
          <w:right w:val="nil"/>
          <w:insideH w:val="nil"/>
          <w:insideV w:val="nil"/>
        </w:tcBorders>
        <w:shd w:val="clear" w:color="auto" w:fill="4A1C4C" w:themeFill="accent3" w:themeFillShade="BF"/>
      </w:tcPr>
    </w:tblStylePr>
    <w:tblStylePr w:type="band1Horz">
      <w:tblPr/>
      <w:tcPr>
        <w:tcBorders>
          <w:top w:val="nil"/>
          <w:left w:val="nil"/>
          <w:bottom w:val="nil"/>
          <w:right w:val="nil"/>
          <w:insideH w:val="nil"/>
          <w:insideV w:val="nil"/>
        </w:tcBorders>
        <w:shd w:val="clear" w:color="auto" w:fill="4A1C4C" w:themeFill="accent3" w:themeFillShade="BF"/>
      </w:tcPr>
    </w:tblStylePr>
  </w:style>
  <w:style w:type="table" w:styleId="DarkList-Accent4">
    <w:name w:val="Dark List Accent 4"/>
    <w:basedOn w:val="TableNormal"/>
    <w:uiPriority w:val="70"/>
    <w:rsid w:val="003324A3"/>
    <w:pPr>
      <w:spacing w:after="100" w:line="264" w:lineRule="auto"/>
    </w:pPr>
    <w:rPr>
      <w:rFonts w:eastAsiaTheme="minorHAnsi"/>
      <w:color w:val="FFFFFF" w:themeColor="background1"/>
      <w:lang w:eastAsia="en-US"/>
    </w:rPr>
    <w:tblPr>
      <w:tblStyleRowBandSize w:val="1"/>
      <w:tblStyleColBandSize w:val="1"/>
    </w:tblPr>
    <w:tcPr>
      <w:shd w:val="clear" w:color="auto" w:fill="D3D5D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B39" w:themeFill="text1"/>
      </w:tcPr>
    </w:tblStylePr>
    <w:tblStylePr w:type="lastRow">
      <w:tblPr/>
      <w:tcPr>
        <w:tcBorders>
          <w:top w:val="single" w:sz="18" w:space="0" w:color="FFFFFF" w:themeColor="background1"/>
          <w:left w:val="nil"/>
          <w:bottom w:val="nil"/>
          <w:right w:val="nil"/>
          <w:insideH w:val="nil"/>
          <w:insideV w:val="nil"/>
        </w:tcBorders>
        <w:shd w:val="clear" w:color="auto" w:fill="65696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9FA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9FA4" w:themeFill="accent4" w:themeFillShade="BF"/>
      </w:tcPr>
    </w:tblStylePr>
    <w:tblStylePr w:type="band1Vert">
      <w:tblPr/>
      <w:tcPr>
        <w:tcBorders>
          <w:top w:val="nil"/>
          <w:left w:val="nil"/>
          <w:bottom w:val="nil"/>
          <w:right w:val="nil"/>
          <w:insideH w:val="nil"/>
          <w:insideV w:val="nil"/>
        </w:tcBorders>
        <w:shd w:val="clear" w:color="auto" w:fill="9B9FA4" w:themeFill="accent4" w:themeFillShade="BF"/>
      </w:tcPr>
    </w:tblStylePr>
    <w:tblStylePr w:type="band1Horz">
      <w:tblPr/>
      <w:tcPr>
        <w:tcBorders>
          <w:top w:val="nil"/>
          <w:left w:val="nil"/>
          <w:bottom w:val="nil"/>
          <w:right w:val="nil"/>
          <w:insideH w:val="nil"/>
          <w:insideV w:val="nil"/>
        </w:tcBorders>
        <w:shd w:val="clear" w:color="auto" w:fill="9B9FA4" w:themeFill="accent4" w:themeFillShade="BF"/>
      </w:tcPr>
    </w:tblStylePr>
  </w:style>
  <w:style w:type="table" w:styleId="DarkList-Accent5">
    <w:name w:val="Dark List Accent 5"/>
    <w:basedOn w:val="TableNormal"/>
    <w:uiPriority w:val="70"/>
    <w:rsid w:val="003324A3"/>
    <w:pPr>
      <w:spacing w:after="100" w:line="264" w:lineRule="auto"/>
    </w:pPr>
    <w:rPr>
      <w:rFonts w:eastAsiaTheme="minorHAnsi"/>
      <w:color w:val="FFFFFF" w:themeColor="background1"/>
      <w:lang w:eastAsia="en-US"/>
    </w:rPr>
    <w:tblPr>
      <w:tblStyleRowBandSize w:val="1"/>
      <w:tblStyleColBandSize w:val="1"/>
    </w:tblPr>
    <w:tcPr>
      <w:shd w:val="clear" w:color="auto" w:fill="00BAC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B39" w:themeFill="text1"/>
      </w:tcPr>
    </w:tblStylePr>
    <w:tblStylePr w:type="lastRow">
      <w:tblPr/>
      <w:tcPr>
        <w:tcBorders>
          <w:top w:val="single" w:sz="18" w:space="0" w:color="FFFFFF" w:themeColor="background1"/>
          <w:left w:val="nil"/>
          <w:bottom w:val="nil"/>
          <w:right w:val="nil"/>
          <w:insideH w:val="nil"/>
          <w:insideV w:val="nil"/>
        </w:tcBorders>
        <w:shd w:val="clear" w:color="auto" w:fill="005C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B9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B95" w:themeFill="accent5" w:themeFillShade="BF"/>
      </w:tcPr>
    </w:tblStylePr>
    <w:tblStylePr w:type="band1Vert">
      <w:tblPr/>
      <w:tcPr>
        <w:tcBorders>
          <w:top w:val="nil"/>
          <w:left w:val="nil"/>
          <w:bottom w:val="nil"/>
          <w:right w:val="nil"/>
          <w:insideH w:val="nil"/>
          <w:insideV w:val="nil"/>
        </w:tcBorders>
        <w:shd w:val="clear" w:color="auto" w:fill="008B95" w:themeFill="accent5" w:themeFillShade="BF"/>
      </w:tcPr>
    </w:tblStylePr>
    <w:tblStylePr w:type="band1Horz">
      <w:tblPr/>
      <w:tcPr>
        <w:tcBorders>
          <w:top w:val="nil"/>
          <w:left w:val="nil"/>
          <w:bottom w:val="nil"/>
          <w:right w:val="nil"/>
          <w:insideH w:val="nil"/>
          <w:insideV w:val="nil"/>
        </w:tcBorders>
        <w:shd w:val="clear" w:color="auto" w:fill="008B95" w:themeFill="accent5" w:themeFillShade="BF"/>
      </w:tcPr>
    </w:tblStylePr>
  </w:style>
  <w:style w:type="table" w:styleId="DarkList-Accent6">
    <w:name w:val="Dark List Accent 6"/>
    <w:basedOn w:val="TableNormal"/>
    <w:uiPriority w:val="70"/>
    <w:rsid w:val="003324A3"/>
    <w:pPr>
      <w:spacing w:after="100" w:line="264" w:lineRule="auto"/>
    </w:pPr>
    <w:rPr>
      <w:rFonts w:eastAsiaTheme="minorHAnsi"/>
      <w:color w:val="FFFFFF" w:themeColor="background1"/>
      <w:lang w:eastAsia="en-US"/>
    </w:rPr>
    <w:tblPr>
      <w:tblStyleRowBandSize w:val="1"/>
      <w:tblStyleColBandSize w:val="1"/>
    </w:tblPr>
    <w:tcPr>
      <w:shd w:val="clear" w:color="auto" w:fill="D4E15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B39" w:themeFill="text1"/>
      </w:tcPr>
    </w:tblStylePr>
    <w:tblStylePr w:type="lastRow">
      <w:tblPr/>
      <w:tcPr>
        <w:tcBorders>
          <w:top w:val="single" w:sz="18" w:space="0" w:color="FFFFFF" w:themeColor="background1"/>
          <w:left w:val="nil"/>
          <w:bottom w:val="nil"/>
          <w:right w:val="nil"/>
          <w:insideH w:val="nil"/>
          <w:insideV w:val="nil"/>
        </w:tcBorders>
        <w:shd w:val="clear" w:color="auto" w:fill="7A861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8C92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8C926" w:themeFill="accent6" w:themeFillShade="BF"/>
      </w:tcPr>
    </w:tblStylePr>
    <w:tblStylePr w:type="band1Vert">
      <w:tblPr/>
      <w:tcPr>
        <w:tcBorders>
          <w:top w:val="nil"/>
          <w:left w:val="nil"/>
          <w:bottom w:val="nil"/>
          <w:right w:val="nil"/>
          <w:insideH w:val="nil"/>
          <w:insideV w:val="nil"/>
        </w:tcBorders>
        <w:shd w:val="clear" w:color="auto" w:fill="B8C926" w:themeFill="accent6" w:themeFillShade="BF"/>
      </w:tcPr>
    </w:tblStylePr>
    <w:tblStylePr w:type="band1Horz">
      <w:tblPr/>
      <w:tcPr>
        <w:tcBorders>
          <w:top w:val="nil"/>
          <w:left w:val="nil"/>
          <w:bottom w:val="nil"/>
          <w:right w:val="nil"/>
          <w:insideH w:val="nil"/>
          <w:insideV w:val="nil"/>
        </w:tcBorders>
        <w:shd w:val="clear" w:color="auto" w:fill="B8C926" w:themeFill="accent6" w:themeFillShade="BF"/>
      </w:tcPr>
    </w:tblStylePr>
  </w:style>
  <w:style w:type="paragraph" w:styleId="Date">
    <w:name w:val="Date"/>
    <w:basedOn w:val="Normal"/>
    <w:next w:val="Normal"/>
    <w:link w:val="DateChar"/>
    <w:uiPriority w:val="99"/>
    <w:semiHidden/>
    <w:unhideWhenUsed/>
    <w:rsid w:val="003324A3"/>
    <w:pPr>
      <w:spacing w:before="160" w:after="100" w:line="276" w:lineRule="auto"/>
    </w:pPr>
    <w:rPr>
      <w:color w:val="auto"/>
      <w:spacing w:val="2"/>
    </w:rPr>
  </w:style>
  <w:style w:type="character" w:customStyle="1" w:styleId="DateChar">
    <w:name w:val="Date Char"/>
    <w:basedOn w:val="DefaultParagraphFont"/>
    <w:link w:val="Date"/>
    <w:uiPriority w:val="99"/>
    <w:semiHidden/>
    <w:rsid w:val="003324A3"/>
    <w:rPr>
      <w:spacing w:val="2"/>
    </w:rPr>
  </w:style>
  <w:style w:type="paragraph" w:styleId="DocumentMap">
    <w:name w:val="Document Map"/>
    <w:basedOn w:val="Normal"/>
    <w:link w:val="DocumentMapChar"/>
    <w:uiPriority w:val="99"/>
    <w:semiHidden/>
    <w:unhideWhenUsed/>
    <w:rsid w:val="003324A3"/>
    <w:pPr>
      <w:spacing w:before="0" w:after="100" w:line="276" w:lineRule="auto"/>
    </w:pPr>
    <w:rPr>
      <w:rFonts w:ascii="Tahoma" w:hAnsi="Tahoma" w:cs="Tahoma"/>
      <w:color w:val="auto"/>
      <w:spacing w:val="2"/>
      <w:sz w:val="16"/>
      <w:szCs w:val="16"/>
    </w:rPr>
  </w:style>
  <w:style w:type="character" w:customStyle="1" w:styleId="DocumentMapChar">
    <w:name w:val="Document Map Char"/>
    <w:basedOn w:val="DefaultParagraphFont"/>
    <w:link w:val="DocumentMap"/>
    <w:uiPriority w:val="99"/>
    <w:semiHidden/>
    <w:rsid w:val="003324A3"/>
    <w:rPr>
      <w:rFonts w:ascii="Tahoma" w:hAnsi="Tahoma" w:cs="Tahoma"/>
      <w:spacing w:val="2"/>
      <w:sz w:val="16"/>
      <w:szCs w:val="16"/>
    </w:rPr>
  </w:style>
  <w:style w:type="character" w:styleId="EndnoteReference">
    <w:name w:val="endnote reference"/>
    <w:basedOn w:val="DefaultParagraphFont"/>
    <w:uiPriority w:val="99"/>
    <w:semiHidden/>
    <w:unhideWhenUsed/>
    <w:rsid w:val="003324A3"/>
    <w:rPr>
      <w:vertAlign w:val="superscript"/>
    </w:rPr>
  </w:style>
  <w:style w:type="paragraph" w:styleId="EndnoteText">
    <w:name w:val="endnote text"/>
    <w:basedOn w:val="Normal"/>
    <w:link w:val="EndnoteTextChar"/>
    <w:uiPriority w:val="99"/>
    <w:semiHidden/>
    <w:unhideWhenUsed/>
    <w:rsid w:val="003324A3"/>
    <w:pPr>
      <w:spacing w:before="0" w:after="100" w:line="276" w:lineRule="auto"/>
    </w:pPr>
    <w:rPr>
      <w:color w:val="auto"/>
      <w:spacing w:val="2"/>
    </w:rPr>
  </w:style>
  <w:style w:type="character" w:customStyle="1" w:styleId="EndnoteTextChar">
    <w:name w:val="Endnote Text Char"/>
    <w:basedOn w:val="DefaultParagraphFont"/>
    <w:link w:val="EndnoteText"/>
    <w:uiPriority w:val="99"/>
    <w:semiHidden/>
    <w:rsid w:val="003324A3"/>
    <w:rPr>
      <w:spacing w:val="2"/>
    </w:rPr>
  </w:style>
  <w:style w:type="paragraph" w:styleId="EnvelopeAddress">
    <w:name w:val="envelope address"/>
    <w:basedOn w:val="Normal"/>
    <w:uiPriority w:val="99"/>
    <w:semiHidden/>
    <w:unhideWhenUsed/>
    <w:rsid w:val="003324A3"/>
    <w:pPr>
      <w:framePr w:w="7920" w:h="1980" w:hRule="exact" w:hSpace="180" w:wrap="auto" w:hAnchor="page" w:xAlign="center" w:yAlign="bottom"/>
      <w:spacing w:before="0" w:after="100" w:line="276" w:lineRule="auto"/>
      <w:ind w:left="2880"/>
    </w:pPr>
    <w:rPr>
      <w:rFonts w:asciiTheme="majorHAnsi" w:eastAsiaTheme="majorEastAsia" w:hAnsiTheme="majorHAnsi" w:cstheme="majorBidi"/>
      <w:color w:val="auto"/>
      <w:spacing w:val="2"/>
      <w:sz w:val="24"/>
      <w:szCs w:val="24"/>
    </w:rPr>
  </w:style>
  <w:style w:type="paragraph" w:styleId="EnvelopeReturn">
    <w:name w:val="envelope return"/>
    <w:basedOn w:val="Normal"/>
    <w:uiPriority w:val="99"/>
    <w:semiHidden/>
    <w:unhideWhenUsed/>
    <w:rsid w:val="003324A3"/>
    <w:pPr>
      <w:spacing w:before="0" w:after="100" w:line="276" w:lineRule="auto"/>
    </w:pPr>
    <w:rPr>
      <w:rFonts w:asciiTheme="majorHAnsi" w:eastAsiaTheme="majorEastAsia" w:hAnsiTheme="majorHAnsi" w:cstheme="majorBidi"/>
      <w:color w:val="auto"/>
      <w:spacing w:val="2"/>
    </w:rPr>
  </w:style>
  <w:style w:type="character" w:styleId="HTMLAcronym">
    <w:name w:val="HTML Acronym"/>
    <w:basedOn w:val="DefaultParagraphFont"/>
    <w:uiPriority w:val="99"/>
    <w:semiHidden/>
    <w:unhideWhenUsed/>
    <w:rsid w:val="003324A3"/>
  </w:style>
  <w:style w:type="paragraph" w:styleId="HTMLAddress">
    <w:name w:val="HTML Address"/>
    <w:basedOn w:val="Normal"/>
    <w:link w:val="HTMLAddressChar"/>
    <w:uiPriority w:val="99"/>
    <w:semiHidden/>
    <w:unhideWhenUsed/>
    <w:rsid w:val="003324A3"/>
    <w:pPr>
      <w:spacing w:before="0" w:after="100" w:line="276" w:lineRule="auto"/>
    </w:pPr>
    <w:rPr>
      <w:i/>
      <w:iCs/>
      <w:color w:val="auto"/>
      <w:spacing w:val="2"/>
    </w:rPr>
  </w:style>
  <w:style w:type="character" w:customStyle="1" w:styleId="HTMLAddressChar">
    <w:name w:val="HTML Address Char"/>
    <w:basedOn w:val="DefaultParagraphFont"/>
    <w:link w:val="HTMLAddress"/>
    <w:uiPriority w:val="99"/>
    <w:semiHidden/>
    <w:rsid w:val="003324A3"/>
    <w:rPr>
      <w:i/>
      <w:iCs/>
      <w:spacing w:val="2"/>
    </w:rPr>
  </w:style>
  <w:style w:type="character" w:styleId="HTMLCite">
    <w:name w:val="HTML Cite"/>
    <w:basedOn w:val="DefaultParagraphFont"/>
    <w:uiPriority w:val="99"/>
    <w:semiHidden/>
    <w:unhideWhenUsed/>
    <w:rsid w:val="003324A3"/>
    <w:rPr>
      <w:i/>
      <w:iCs/>
    </w:rPr>
  </w:style>
  <w:style w:type="character" w:styleId="HTMLCode">
    <w:name w:val="HTML Code"/>
    <w:basedOn w:val="DefaultParagraphFont"/>
    <w:uiPriority w:val="99"/>
    <w:semiHidden/>
    <w:unhideWhenUsed/>
    <w:rsid w:val="003324A3"/>
    <w:rPr>
      <w:rFonts w:ascii="Consolas" w:hAnsi="Consolas" w:cs="Consolas"/>
      <w:sz w:val="20"/>
      <w:szCs w:val="20"/>
    </w:rPr>
  </w:style>
  <w:style w:type="character" w:styleId="HTMLDefinition">
    <w:name w:val="HTML Definition"/>
    <w:basedOn w:val="DefaultParagraphFont"/>
    <w:uiPriority w:val="99"/>
    <w:semiHidden/>
    <w:unhideWhenUsed/>
    <w:rsid w:val="003324A3"/>
    <w:rPr>
      <w:i/>
      <w:iCs/>
    </w:rPr>
  </w:style>
  <w:style w:type="character" w:styleId="HTMLKeyboard">
    <w:name w:val="HTML Keyboard"/>
    <w:basedOn w:val="DefaultParagraphFont"/>
    <w:uiPriority w:val="99"/>
    <w:semiHidden/>
    <w:unhideWhenUsed/>
    <w:rsid w:val="003324A3"/>
    <w:rPr>
      <w:rFonts w:ascii="Consolas" w:hAnsi="Consolas" w:cs="Consolas"/>
      <w:sz w:val="20"/>
      <w:szCs w:val="20"/>
    </w:rPr>
  </w:style>
  <w:style w:type="paragraph" w:styleId="HTMLPreformatted">
    <w:name w:val="HTML Preformatted"/>
    <w:basedOn w:val="Normal"/>
    <w:link w:val="HTMLPreformattedChar"/>
    <w:uiPriority w:val="99"/>
    <w:semiHidden/>
    <w:unhideWhenUsed/>
    <w:rsid w:val="003324A3"/>
    <w:pPr>
      <w:spacing w:before="0" w:after="100" w:line="276" w:lineRule="auto"/>
    </w:pPr>
    <w:rPr>
      <w:rFonts w:ascii="Consolas" w:hAnsi="Consolas" w:cs="Consolas"/>
      <w:color w:val="auto"/>
      <w:spacing w:val="2"/>
    </w:rPr>
  </w:style>
  <w:style w:type="character" w:customStyle="1" w:styleId="HTMLPreformattedChar">
    <w:name w:val="HTML Preformatted Char"/>
    <w:basedOn w:val="DefaultParagraphFont"/>
    <w:link w:val="HTMLPreformatted"/>
    <w:uiPriority w:val="99"/>
    <w:semiHidden/>
    <w:rsid w:val="003324A3"/>
    <w:rPr>
      <w:rFonts w:ascii="Consolas" w:hAnsi="Consolas" w:cs="Consolas"/>
      <w:spacing w:val="2"/>
    </w:rPr>
  </w:style>
  <w:style w:type="character" w:styleId="HTMLSample">
    <w:name w:val="HTML Sample"/>
    <w:basedOn w:val="DefaultParagraphFont"/>
    <w:uiPriority w:val="99"/>
    <w:semiHidden/>
    <w:unhideWhenUsed/>
    <w:rsid w:val="003324A3"/>
    <w:rPr>
      <w:rFonts w:ascii="Consolas" w:hAnsi="Consolas" w:cs="Consolas"/>
      <w:sz w:val="24"/>
      <w:szCs w:val="24"/>
    </w:rPr>
  </w:style>
  <w:style w:type="character" w:styleId="HTMLTypewriter">
    <w:name w:val="HTML Typewriter"/>
    <w:basedOn w:val="DefaultParagraphFont"/>
    <w:uiPriority w:val="99"/>
    <w:semiHidden/>
    <w:unhideWhenUsed/>
    <w:rsid w:val="003324A3"/>
    <w:rPr>
      <w:rFonts w:ascii="Consolas" w:hAnsi="Consolas" w:cs="Consolas"/>
      <w:sz w:val="20"/>
      <w:szCs w:val="20"/>
    </w:rPr>
  </w:style>
  <w:style w:type="character" w:styleId="HTMLVariable">
    <w:name w:val="HTML Variable"/>
    <w:basedOn w:val="DefaultParagraphFont"/>
    <w:uiPriority w:val="99"/>
    <w:semiHidden/>
    <w:unhideWhenUsed/>
    <w:rsid w:val="003324A3"/>
    <w:rPr>
      <w:i/>
      <w:iCs/>
    </w:rPr>
  </w:style>
  <w:style w:type="paragraph" w:styleId="Index3">
    <w:name w:val="index 3"/>
    <w:basedOn w:val="Normal"/>
    <w:next w:val="Normal"/>
    <w:autoRedefine/>
    <w:uiPriority w:val="99"/>
    <w:semiHidden/>
    <w:unhideWhenUsed/>
    <w:rsid w:val="003324A3"/>
    <w:pPr>
      <w:spacing w:before="0" w:after="100" w:line="276" w:lineRule="auto"/>
      <w:ind w:left="660" w:hanging="220"/>
    </w:pPr>
    <w:rPr>
      <w:color w:val="auto"/>
      <w:spacing w:val="2"/>
    </w:rPr>
  </w:style>
  <w:style w:type="paragraph" w:styleId="Index4">
    <w:name w:val="index 4"/>
    <w:basedOn w:val="Normal"/>
    <w:next w:val="Normal"/>
    <w:autoRedefine/>
    <w:uiPriority w:val="99"/>
    <w:semiHidden/>
    <w:unhideWhenUsed/>
    <w:rsid w:val="003324A3"/>
    <w:pPr>
      <w:spacing w:before="0" w:after="100" w:line="276" w:lineRule="auto"/>
      <w:ind w:left="880" w:hanging="220"/>
    </w:pPr>
    <w:rPr>
      <w:color w:val="auto"/>
      <w:spacing w:val="2"/>
    </w:rPr>
  </w:style>
  <w:style w:type="paragraph" w:styleId="Index5">
    <w:name w:val="index 5"/>
    <w:basedOn w:val="Normal"/>
    <w:next w:val="Normal"/>
    <w:autoRedefine/>
    <w:uiPriority w:val="99"/>
    <w:semiHidden/>
    <w:unhideWhenUsed/>
    <w:rsid w:val="003324A3"/>
    <w:pPr>
      <w:spacing w:before="0" w:after="100" w:line="276" w:lineRule="auto"/>
      <w:ind w:left="1100" w:hanging="220"/>
    </w:pPr>
    <w:rPr>
      <w:color w:val="auto"/>
      <w:spacing w:val="2"/>
    </w:rPr>
  </w:style>
  <w:style w:type="paragraph" w:styleId="Index6">
    <w:name w:val="index 6"/>
    <w:basedOn w:val="Normal"/>
    <w:next w:val="Normal"/>
    <w:autoRedefine/>
    <w:uiPriority w:val="99"/>
    <w:semiHidden/>
    <w:unhideWhenUsed/>
    <w:rsid w:val="003324A3"/>
    <w:pPr>
      <w:spacing w:before="0" w:after="100" w:line="276" w:lineRule="auto"/>
      <w:ind w:left="1320" w:hanging="220"/>
    </w:pPr>
    <w:rPr>
      <w:color w:val="auto"/>
      <w:spacing w:val="2"/>
    </w:rPr>
  </w:style>
  <w:style w:type="paragraph" w:styleId="Index7">
    <w:name w:val="index 7"/>
    <w:basedOn w:val="Normal"/>
    <w:next w:val="Normal"/>
    <w:autoRedefine/>
    <w:uiPriority w:val="99"/>
    <w:semiHidden/>
    <w:unhideWhenUsed/>
    <w:rsid w:val="003324A3"/>
    <w:pPr>
      <w:spacing w:before="0" w:after="100" w:line="276" w:lineRule="auto"/>
      <w:ind w:left="1540" w:hanging="220"/>
    </w:pPr>
    <w:rPr>
      <w:color w:val="auto"/>
      <w:spacing w:val="2"/>
    </w:rPr>
  </w:style>
  <w:style w:type="paragraph" w:styleId="Index8">
    <w:name w:val="index 8"/>
    <w:basedOn w:val="Normal"/>
    <w:next w:val="Normal"/>
    <w:autoRedefine/>
    <w:uiPriority w:val="99"/>
    <w:semiHidden/>
    <w:unhideWhenUsed/>
    <w:rsid w:val="003324A3"/>
    <w:pPr>
      <w:spacing w:before="0" w:after="100" w:line="276" w:lineRule="auto"/>
      <w:ind w:left="1760" w:hanging="220"/>
    </w:pPr>
    <w:rPr>
      <w:color w:val="auto"/>
      <w:spacing w:val="2"/>
    </w:rPr>
  </w:style>
  <w:style w:type="paragraph" w:styleId="Index9">
    <w:name w:val="index 9"/>
    <w:basedOn w:val="Normal"/>
    <w:next w:val="Normal"/>
    <w:autoRedefine/>
    <w:uiPriority w:val="99"/>
    <w:semiHidden/>
    <w:unhideWhenUsed/>
    <w:rsid w:val="003324A3"/>
    <w:pPr>
      <w:spacing w:before="0" w:after="100" w:line="276" w:lineRule="auto"/>
      <w:ind w:left="1980" w:hanging="220"/>
    </w:pPr>
    <w:rPr>
      <w:color w:val="auto"/>
      <w:spacing w:val="2"/>
    </w:rPr>
  </w:style>
  <w:style w:type="character" w:styleId="IntenseReference">
    <w:name w:val="Intense Reference"/>
    <w:basedOn w:val="DefaultParagraphFont"/>
    <w:uiPriority w:val="32"/>
    <w:semiHidden/>
    <w:rsid w:val="003324A3"/>
    <w:rPr>
      <w:b/>
      <w:bCs/>
      <w:smallCaps/>
      <w:color w:val="AB5DBA" w:themeColor="accent2"/>
      <w:spacing w:val="5"/>
      <w:u w:val="single"/>
    </w:rPr>
  </w:style>
  <w:style w:type="table" w:styleId="LightGrid">
    <w:name w:val="Light Grid"/>
    <w:basedOn w:val="TableNormal"/>
    <w:uiPriority w:val="62"/>
    <w:rsid w:val="003324A3"/>
    <w:pPr>
      <w:spacing w:after="100" w:line="264" w:lineRule="auto"/>
    </w:pPr>
    <w:rPr>
      <w:rFonts w:eastAsiaTheme="minorHAnsi"/>
      <w:lang w:eastAsia="en-US"/>
    </w:rPr>
    <w:tblPr>
      <w:tblStyleRowBandSize w:val="1"/>
      <w:tblStyleColBandSize w:val="1"/>
      <w:tblBorders>
        <w:top w:val="single" w:sz="8" w:space="0" w:color="232B39" w:themeColor="text1"/>
        <w:left w:val="single" w:sz="8" w:space="0" w:color="232B39" w:themeColor="text1"/>
        <w:bottom w:val="single" w:sz="8" w:space="0" w:color="232B39" w:themeColor="text1"/>
        <w:right w:val="single" w:sz="8" w:space="0" w:color="232B39" w:themeColor="text1"/>
        <w:insideH w:val="single" w:sz="8" w:space="0" w:color="232B39" w:themeColor="text1"/>
        <w:insideV w:val="single" w:sz="8" w:space="0" w:color="232B39"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B39" w:themeColor="text1"/>
          <w:left w:val="single" w:sz="8" w:space="0" w:color="232B39" w:themeColor="text1"/>
          <w:bottom w:val="single" w:sz="18" w:space="0" w:color="232B39" w:themeColor="text1"/>
          <w:right w:val="single" w:sz="8" w:space="0" w:color="232B39" w:themeColor="text1"/>
          <w:insideH w:val="nil"/>
          <w:insideV w:val="single" w:sz="8" w:space="0" w:color="232B39"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B39" w:themeColor="text1"/>
          <w:left w:val="single" w:sz="8" w:space="0" w:color="232B39" w:themeColor="text1"/>
          <w:bottom w:val="single" w:sz="8" w:space="0" w:color="232B39" w:themeColor="text1"/>
          <w:right w:val="single" w:sz="8" w:space="0" w:color="232B39" w:themeColor="text1"/>
          <w:insideH w:val="nil"/>
          <w:insideV w:val="single" w:sz="8" w:space="0" w:color="232B39"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B39" w:themeColor="text1"/>
          <w:left w:val="single" w:sz="8" w:space="0" w:color="232B39" w:themeColor="text1"/>
          <w:bottom w:val="single" w:sz="8" w:space="0" w:color="232B39" w:themeColor="text1"/>
          <w:right w:val="single" w:sz="8" w:space="0" w:color="232B39" w:themeColor="text1"/>
        </w:tcBorders>
      </w:tcPr>
    </w:tblStylePr>
    <w:tblStylePr w:type="band1Vert">
      <w:tblPr/>
      <w:tcPr>
        <w:tcBorders>
          <w:top w:val="single" w:sz="8" w:space="0" w:color="232B39" w:themeColor="text1"/>
          <w:left w:val="single" w:sz="8" w:space="0" w:color="232B39" w:themeColor="text1"/>
          <w:bottom w:val="single" w:sz="8" w:space="0" w:color="232B39" w:themeColor="text1"/>
          <w:right w:val="single" w:sz="8" w:space="0" w:color="232B39" w:themeColor="text1"/>
        </w:tcBorders>
        <w:shd w:val="clear" w:color="auto" w:fill="BFC7D7" w:themeFill="text1" w:themeFillTint="3F"/>
      </w:tcPr>
    </w:tblStylePr>
    <w:tblStylePr w:type="band1Horz">
      <w:tblPr/>
      <w:tcPr>
        <w:tcBorders>
          <w:top w:val="single" w:sz="8" w:space="0" w:color="232B39" w:themeColor="text1"/>
          <w:left w:val="single" w:sz="8" w:space="0" w:color="232B39" w:themeColor="text1"/>
          <w:bottom w:val="single" w:sz="8" w:space="0" w:color="232B39" w:themeColor="text1"/>
          <w:right w:val="single" w:sz="8" w:space="0" w:color="232B39" w:themeColor="text1"/>
          <w:insideV w:val="single" w:sz="8" w:space="0" w:color="232B39" w:themeColor="text1"/>
        </w:tcBorders>
        <w:shd w:val="clear" w:color="auto" w:fill="BFC7D7" w:themeFill="text1" w:themeFillTint="3F"/>
      </w:tcPr>
    </w:tblStylePr>
    <w:tblStylePr w:type="band2Horz">
      <w:tblPr/>
      <w:tcPr>
        <w:tcBorders>
          <w:top w:val="single" w:sz="8" w:space="0" w:color="232B39" w:themeColor="text1"/>
          <w:left w:val="single" w:sz="8" w:space="0" w:color="232B39" w:themeColor="text1"/>
          <w:bottom w:val="single" w:sz="8" w:space="0" w:color="232B39" w:themeColor="text1"/>
          <w:right w:val="single" w:sz="8" w:space="0" w:color="232B39" w:themeColor="text1"/>
          <w:insideV w:val="single" w:sz="8" w:space="0" w:color="232B39" w:themeColor="text1"/>
        </w:tcBorders>
      </w:tcPr>
    </w:tblStylePr>
  </w:style>
  <w:style w:type="table" w:styleId="LightGrid-Accent1">
    <w:name w:val="Light Grid Accent 1"/>
    <w:basedOn w:val="TableNormal"/>
    <w:uiPriority w:val="62"/>
    <w:rsid w:val="003324A3"/>
    <w:pPr>
      <w:spacing w:after="100" w:line="264" w:lineRule="auto"/>
    </w:pPr>
    <w:rPr>
      <w:rFonts w:eastAsiaTheme="minorHAnsi"/>
      <w:lang w:eastAsia="en-US"/>
    </w:r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insideH w:val="single" w:sz="8" w:space="0" w:color="87189D" w:themeColor="accent1"/>
        <w:insideV w:val="single" w:sz="8" w:space="0" w:color="87189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7189D" w:themeColor="accent1"/>
          <w:left w:val="single" w:sz="8" w:space="0" w:color="87189D" w:themeColor="accent1"/>
          <w:bottom w:val="single" w:sz="18" w:space="0" w:color="87189D" w:themeColor="accent1"/>
          <w:right w:val="single" w:sz="8" w:space="0" w:color="87189D" w:themeColor="accent1"/>
          <w:insideH w:val="nil"/>
          <w:insideV w:val="single" w:sz="8" w:space="0" w:color="87189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insideH w:val="nil"/>
          <w:insideV w:val="single" w:sz="8" w:space="0" w:color="87189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shd w:val="clear" w:color="auto" w:fill="EAB8F4" w:themeFill="accent1" w:themeFillTint="3F"/>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insideV w:val="single" w:sz="8" w:space="0" w:color="87189D" w:themeColor="accent1"/>
        </w:tcBorders>
        <w:shd w:val="clear" w:color="auto" w:fill="EAB8F4" w:themeFill="accent1" w:themeFillTint="3F"/>
      </w:tcPr>
    </w:tblStylePr>
    <w:tblStylePr w:type="band2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insideV w:val="single" w:sz="8" w:space="0" w:color="87189D" w:themeColor="accent1"/>
        </w:tcBorders>
      </w:tcPr>
    </w:tblStylePr>
  </w:style>
  <w:style w:type="table" w:styleId="LightGrid-Accent2">
    <w:name w:val="Light Grid Accent 2"/>
    <w:basedOn w:val="TableNormal"/>
    <w:uiPriority w:val="62"/>
    <w:rsid w:val="003324A3"/>
    <w:pPr>
      <w:spacing w:after="100" w:line="264" w:lineRule="auto"/>
    </w:pPr>
    <w:rPr>
      <w:rFonts w:eastAsiaTheme="minorHAnsi"/>
      <w:lang w:eastAsia="en-US"/>
    </w:rPr>
    <w:tblPr>
      <w:tblStyleRowBandSize w:val="1"/>
      <w:tblStyleColBandSize w:val="1"/>
      <w:tblBorders>
        <w:top w:val="single" w:sz="8" w:space="0" w:color="AB5DBA" w:themeColor="accent2"/>
        <w:left w:val="single" w:sz="8" w:space="0" w:color="AB5DBA" w:themeColor="accent2"/>
        <w:bottom w:val="single" w:sz="8" w:space="0" w:color="AB5DBA" w:themeColor="accent2"/>
        <w:right w:val="single" w:sz="8" w:space="0" w:color="AB5DBA" w:themeColor="accent2"/>
        <w:insideH w:val="single" w:sz="8" w:space="0" w:color="AB5DBA" w:themeColor="accent2"/>
        <w:insideV w:val="single" w:sz="8" w:space="0" w:color="AB5DB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5DBA" w:themeColor="accent2"/>
          <w:left w:val="single" w:sz="8" w:space="0" w:color="AB5DBA" w:themeColor="accent2"/>
          <w:bottom w:val="single" w:sz="18" w:space="0" w:color="AB5DBA" w:themeColor="accent2"/>
          <w:right w:val="single" w:sz="8" w:space="0" w:color="AB5DBA" w:themeColor="accent2"/>
          <w:insideH w:val="nil"/>
          <w:insideV w:val="single" w:sz="8" w:space="0" w:color="AB5DB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5DBA" w:themeColor="accent2"/>
          <w:left w:val="single" w:sz="8" w:space="0" w:color="AB5DBA" w:themeColor="accent2"/>
          <w:bottom w:val="single" w:sz="8" w:space="0" w:color="AB5DBA" w:themeColor="accent2"/>
          <w:right w:val="single" w:sz="8" w:space="0" w:color="AB5DBA" w:themeColor="accent2"/>
          <w:insideH w:val="nil"/>
          <w:insideV w:val="single" w:sz="8" w:space="0" w:color="AB5DB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5DBA" w:themeColor="accent2"/>
          <w:left w:val="single" w:sz="8" w:space="0" w:color="AB5DBA" w:themeColor="accent2"/>
          <w:bottom w:val="single" w:sz="8" w:space="0" w:color="AB5DBA" w:themeColor="accent2"/>
          <w:right w:val="single" w:sz="8" w:space="0" w:color="AB5DBA" w:themeColor="accent2"/>
        </w:tcBorders>
      </w:tcPr>
    </w:tblStylePr>
    <w:tblStylePr w:type="band1Vert">
      <w:tblPr/>
      <w:tcPr>
        <w:tcBorders>
          <w:top w:val="single" w:sz="8" w:space="0" w:color="AB5DBA" w:themeColor="accent2"/>
          <w:left w:val="single" w:sz="8" w:space="0" w:color="AB5DBA" w:themeColor="accent2"/>
          <w:bottom w:val="single" w:sz="8" w:space="0" w:color="AB5DBA" w:themeColor="accent2"/>
          <w:right w:val="single" w:sz="8" w:space="0" w:color="AB5DBA" w:themeColor="accent2"/>
        </w:tcBorders>
        <w:shd w:val="clear" w:color="auto" w:fill="EAD6EE" w:themeFill="accent2" w:themeFillTint="3F"/>
      </w:tcPr>
    </w:tblStylePr>
    <w:tblStylePr w:type="band1Horz">
      <w:tblPr/>
      <w:tcPr>
        <w:tcBorders>
          <w:top w:val="single" w:sz="8" w:space="0" w:color="AB5DBA" w:themeColor="accent2"/>
          <w:left w:val="single" w:sz="8" w:space="0" w:color="AB5DBA" w:themeColor="accent2"/>
          <w:bottom w:val="single" w:sz="8" w:space="0" w:color="AB5DBA" w:themeColor="accent2"/>
          <w:right w:val="single" w:sz="8" w:space="0" w:color="AB5DBA" w:themeColor="accent2"/>
          <w:insideV w:val="single" w:sz="8" w:space="0" w:color="AB5DBA" w:themeColor="accent2"/>
        </w:tcBorders>
        <w:shd w:val="clear" w:color="auto" w:fill="EAD6EE" w:themeFill="accent2" w:themeFillTint="3F"/>
      </w:tcPr>
    </w:tblStylePr>
    <w:tblStylePr w:type="band2Horz">
      <w:tblPr/>
      <w:tcPr>
        <w:tcBorders>
          <w:top w:val="single" w:sz="8" w:space="0" w:color="AB5DBA" w:themeColor="accent2"/>
          <w:left w:val="single" w:sz="8" w:space="0" w:color="AB5DBA" w:themeColor="accent2"/>
          <w:bottom w:val="single" w:sz="8" w:space="0" w:color="AB5DBA" w:themeColor="accent2"/>
          <w:right w:val="single" w:sz="8" w:space="0" w:color="AB5DBA" w:themeColor="accent2"/>
          <w:insideV w:val="single" w:sz="8" w:space="0" w:color="AB5DBA" w:themeColor="accent2"/>
        </w:tcBorders>
      </w:tcPr>
    </w:tblStylePr>
  </w:style>
  <w:style w:type="table" w:styleId="LightGrid-Accent3">
    <w:name w:val="Light Grid Accent 3"/>
    <w:basedOn w:val="TableNormal"/>
    <w:uiPriority w:val="62"/>
    <w:rsid w:val="003324A3"/>
    <w:pPr>
      <w:spacing w:after="100" w:line="264" w:lineRule="auto"/>
    </w:pPr>
    <w:rPr>
      <w:rFonts w:eastAsiaTheme="minorHAnsi"/>
      <w:lang w:eastAsia="en-US"/>
    </w:rPr>
    <w:tblPr>
      <w:tblStyleRowBandSize w:val="1"/>
      <w:tblStyleColBandSize w:val="1"/>
      <w:tblBorders>
        <w:top w:val="single" w:sz="8" w:space="0" w:color="642667" w:themeColor="accent3"/>
        <w:left w:val="single" w:sz="8" w:space="0" w:color="642667" w:themeColor="accent3"/>
        <w:bottom w:val="single" w:sz="8" w:space="0" w:color="642667" w:themeColor="accent3"/>
        <w:right w:val="single" w:sz="8" w:space="0" w:color="642667" w:themeColor="accent3"/>
        <w:insideH w:val="single" w:sz="8" w:space="0" w:color="642667" w:themeColor="accent3"/>
        <w:insideV w:val="single" w:sz="8" w:space="0" w:color="6426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2667" w:themeColor="accent3"/>
          <w:left w:val="single" w:sz="8" w:space="0" w:color="642667" w:themeColor="accent3"/>
          <w:bottom w:val="single" w:sz="18" w:space="0" w:color="642667" w:themeColor="accent3"/>
          <w:right w:val="single" w:sz="8" w:space="0" w:color="642667" w:themeColor="accent3"/>
          <w:insideH w:val="nil"/>
          <w:insideV w:val="single" w:sz="8" w:space="0" w:color="6426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2667" w:themeColor="accent3"/>
          <w:left w:val="single" w:sz="8" w:space="0" w:color="642667" w:themeColor="accent3"/>
          <w:bottom w:val="single" w:sz="8" w:space="0" w:color="642667" w:themeColor="accent3"/>
          <w:right w:val="single" w:sz="8" w:space="0" w:color="642667" w:themeColor="accent3"/>
          <w:insideH w:val="nil"/>
          <w:insideV w:val="single" w:sz="8" w:space="0" w:color="6426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2667" w:themeColor="accent3"/>
          <w:left w:val="single" w:sz="8" w:space="0" w:color="642667" w:themeColor="accent3"/>
          <w:bottom w:val="single" w:sz="8" w:space="0" w:color="642667" w:themeColor="accent3"/>
          <w:right w:val="single" w:sz="8" w:space="0" w:color="642667" w:themeColor="accent3"/>
        </w:tcBorders>
      </w:tcPr>
    </w:tblStylePr>
    <w:tblStylePr w:type="band1Vert">
      <w:tblPr/>
      <w:tcPr>
        <w:tcBorders>
          <w:top w:val="single" w:sz="8" w:space="0" w:color="642667" w:themeColor="accent3"/>
          <w:left w:val="single" w:sz="8" w:space="0" w:color="642667" w:themeColor="accent3"/>
          <w:bottom w:val="single" w:sz="8" w:space="0" w:color="642667" w:themeColor="accent3"/>
          <w:right w:val="single" w:sz="8" w:space="0" w:color="642667" w:themeColor="accent3"/>
        </w:tcBorders>
        <w:shd w:val="clear" w:color="auto" w:fill="E4BCE6" w:themeFill="accent3" w:themeFillTint="3F"/>
      </w:tcPr>
    </w:tblStylePr>
    <w:tblStylePr w:type="band1Horz">
      <w:tblPr/>
      <w:tcPr>
        <w:tcBorders>
          <w:top w:val="single" w:sz="8" w:space="0" w:color="642667" w:themeColor="accent3"/>
          <w:left w:val="single" w:sz="8" w:space="0" w:color="642667" w:themeColor="accent3"/>
          <w:bottom w:val="single" w:sz="8" w:space="0" w:color="642667" w:themeColor="accent3"/>
          <w:right w:val="single" w:sz="8" w:space="0" w:color="642667" w:themeColor="accent3"/>
          <w:insideV w:val="single" w:sz="8" w:space="0" w:color="642667" w:themeColor="accent3"/>
        </w:tcBorders>
        <w:shd w:val="clear" w:color="auto" w:fill="E4BCE6" w:themeFill="accent3" w:themeFillTint="3F"/>
      </w:tcPr>
    </w:tblStylePr>
    <w:tblStylePr w:type="band2Horz">
      <w:tblPr/>
      <w:tcPr>
        <w:tcBorders>
          <w:top w:val="single" w:sz="8" w:space="0" w:color="642667" w:themeColor="accent3"/>
          <w:left w:val="single" w:sz="8" w:space="0" w:color="642667" w:themeColor="accent3"/>
          <w:bottom w:val="single" w:sz="8" w:space="0" w:color="642667" w:themeColor="accent3"/>
          <w:right w:val="single" w:sz="8" w:space="0" w:color="642667" w:themeColor="accent3"/>
          <w:insideV w:val="single" w:sz="8" w:space="0" w:color="642667" w:themeColor="accent3"/>
        </w:tcBorders>
      </w:tcPr>
    </w:tblStylePr>
  </w:style>
  <w:style w:type="table" w:styleId="LightGrid-Accent4">
    <w:name w:val="Light Grid Accent 4"/>
    <w:basedOn w:val="TableNormal"/>
    <w:uiPriority w:val="62"/>
    <w:rsid w:val="003324A3"/>
    <w:pPr>
      <w:spacing w:after="100" w:line="264" w:lineRule="auto"/>
    </w:pPr>
    <w:rPr>
      <w:rFonts w:eastAsiaTheme="minorHAnsi"/>
      <w:lang w:eastAsia="en-US"/>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insideH w:val="single" w:sz="8" w:space="0" w:color="D3D5D7" w:themeColor="accent4"/>
        <w:insideV w:val="single" w:sz="8" w:space="0" w:color="D3D5D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D5D7" w:themeColor="accent4"/>
          <w:left w:val="single" w:sz="8" w:space="0" w:color="D3D5D7" w:themeColor="accent4"/>
          <w:bottom w:val="single" w:sz="18" w:space="0" w:color="D3D5D7" w:themeColor="accent4"/>
          <w:right w:val="single" w:sz="8" w:space="0" w:color="D3D5D7" w:themeColor="accent4"/>
          <w:insideH w:val="nil"/>
          <w:insideV w:val="single" w:sz="8" w:space="0" w:color="D3D5D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insideH w:val="nil"/>
          <w:insideV w:val="single" w:sz="8" w:space="0" w:color="D3D5D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shd w:val="clear" w:color="auto" w:fill="F4F4F5" w:themeFill="accent4" w:themeFillTint="3F"/>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insideV w:val="single" w:sz="8" w:space="0" w:color="D3D5D7" w:themeColor="accent4"/>
        </w:tcBorders>
        <w:shd w:val="clear" w:color="auto" w:fill="F4F4F5" w:themeFill="accent4" w:themeFillTint="3F"/>
      </w:tcPr>
    </w:tblStylePr>
    <w:tblStylePr w:type="band2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insideV w:val="single" w:sz="8" w:space="0" w:color="D3D5D7" w:themeColor="accent4"/>
        </w:tcBorders>
      </w:tcPr>
    </w:tblStylePr>
  </w:style>
  <w:style w:type="table" w:styleId="LightGrid-Accent5">
    <w:name w:val="Light Grid Accent 5"/>
    <w:basedOn w:val="TableNormal"/>
    <w:uiPriority w:val="62"/>
    <w:rsid w:val="003324A3"/>
    <w:pPr>
      <w:spacing w:after="100" w:line="264" w:lineRule="auto"/>
    </w:pPr>
    <w:rPr>
      <w:rFonts w:eastAsiaTheme="minorHAnsi"/>
      <w:lang w:eastAsia="en-US"/>
    </w:rPr>
    <w:tblPr>
      <w:tblStyleRowBandSize w:val="1"/>
      <w:tblStyleColBandSize w:val="1"/>
      <w:tblBorders>
        <w:top w:val="single" w:sz="8" w:space="0" w:color="00BAC7" w:themeColor="accent5"/>
        <w:left w:val="single" w:sz="8" w:space="0" w:color="00BAC7" w:themeColor="accent5"/>
        <w:bottom w:val="single" w:sz="8" w:space="0" w:color="00BAC7" w:themeColor="accent5"/>
        <w:right w:val="single" w:sz="8" w:space="0" w:color="00BAC7" w:themeColor="accent5"/>
        <w:insideH w:val="single" w:sz="8" w:space="0" w:color="00BAC7" w:themeColor="accent5"/>
        <w:insideV w:val="single" w:sz="8" w:space="0" w:color="00BAC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AC7" w:themeColor="accent5"/>
          <w:left w:val="single" w:sz="8" w:space="0" w:color="00BAC7" w:themeColor="accent5"/>
          <w:bottom w:val="single" w:sz="18" w:space="0" w:color="00BAC7" w:themeColor="accent5"/>
          <w:right w:val="single" w:sz="8" w:space="0" w:color="00BAC7" w:themeColor="accent5"/>
          <w:insideH w:val="nil"/>
          <w:insideV w:val="single" w:sz="8" w:space="0" w:color="00BAC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AC7" w:themeColor="accent5"/>
          <w:left w:val="single" w:sz="8" w:space="0" w:color="00BAC7" w:themeColor="accent5"/>
          <w:bottom w:val="single" w:sz="8" w:space="0" w:color="00BAC7" w:themeColor="accent5"/>
          <w:right w:val="single" w:sz="8" w:space="0" w:color="00BAC7" w:themeColor="accent5"/>
          <w:insideH w:val="nil"/>
          <w:insideV w:val="single" w:sz="8" w:space="0" w:color="00BAC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AC7" w:themeColor="accent5"/>
          <w:left w:val="single" w:sz="8" w:space="0" w:color="00BAC7" w:themeColor="accent5"/>
          <w:bottom w:val="single" w:sz="8" w:space="0" w:color="00BAC7" w:themeColor="accent5"/>
          <w:right w:val="single" w:sz="8" w:space="0" w:color="00BAC7" w:themeColor="accent5"/>
        </w:tcBorders>
      </w:tcPr>
    </w:tblStylePr>
    <w:tblStylePr w:type="band1Vert">
      <w:tblPr/>
      <w:tcPr>
        <w:tcBorders>
          <w:top w:val="single" w:sz="8" w:space="0" w:color="00BAC7" w:themeColor="accent5"/>
          <w:left w:val="single" w:sz="8" w:space="0" w:color="00BAC7" w:themeColor="accent5"/>
          <w:bottom w:val="single" w:sz="8" w:space="0" w:color="00BAC7" w:themeColor="accent5"/>
          <w:right w:val="single" w:sz="8" w:space="0" w:color="00BAC7" w:themeColor="accent5"/>
        </w:tcBorders>
        <w:shd w:val="clear" w:color="auto" w:fill="B2F9FF" w:themeFill="accent5" w:themeFillTint="3F"/>
      </w:tcPr>
    </w:tblStylePr>
    <w:tblStylePr w:type="band1Horz">
      <w:tblPr/>
      <w:tcPr>
        <w:tcBorders>
          <w:top w:val="single" w:sz="8" w:space="0" w:color="00BAC7" w:themeColor="accent5"/>
          <w:left w:val="single" w:sz="8" w:space="0" w:color="00BAC7" w:themeColor="accent5"/>
          <w:bottom w:val="single" w:sz="8" w:space="0" w:color="00BAC7" w:themeColor="accent5"/>
          <w:right w:val="single" w:sz="8" w:space="0" w:color="00BAC7" w:themeColor="accent5"/>
          <w:insideV w:val="single" w:sz="8" w:space="0" w:color="00BAC7" w:themeColor="accent5"/>
        </w:tcBorders>
        <w:shd w:val="clear" w:color="auto" w:fill="B2F9FF" w:themeFill="accent5" w:themeFillTint="3F"/>
      </w:tcPr>
    </w:tblStylePr>
    <w:tblStylePr w:type="band2Horz">
      <w:tblPr/>
      <w:tcPr>
        <w:tcBorders>
          <w:top w:val="single" w:sz="8" w:space="0" w:color="00BAC7" w:themeColor="accent5"/>
          <w:left w:val="single" w:sz="8" w:space="0" w:color="00BAC7" w:themeColor="accent5"/>
          <w:bottom w:val="single" w:sz="8" w:space="0" w:color="00BAC7" w:themeColor="accent5"/>
          <w:right w:val="single" w:sz="8" w:space="0" w:color="00BAC7" w:themeColor="accent5"/>
          <w:insideV w:val="single" w:sz="8" w:space="0" w:color="00BAC7" w:themeColor="accent5"/>
        </w:tcBorders>
      </w:tcPr>
    </w:tblStylePr>
  </w:style>
  <w:style w:type="table" w:styleId="LightGrid-Accent6">
    <w:name w:val="Light Grid Accent 6"/>
    <w:basedOn w:val="TableNormal"/>
    <w:uiPriority w:val="62"/>
    <w:rsid w:val="003324A3"/>
    <w:pPr>
      <w:spacing w:after="100" w:line="264" w:lineRule="auto"/>
    </w:pPr>
    <w:rPr>
      <w:rFonts w:eastAsiaTheme="minorHAnsi"/>
      <w:lang w:eastAsia="en-US"/>
    </w:rPr>
    <w:tblPr>
      <w:tblStyleRowBandSize w:val="1"/>
      <w:tblStyleColBandSize w:val="1"/>
      <w:tblBorders>
        <w:top w:val="single" w:sz="8" w:space="0" w:color="D4E15F" w:themeColor="accent6"/>
        <w:left w:val="single" w:sz="8" w:space="0" w:color="D4E15F" w:themeColor="accent6"/>
        <w:bottom w:val="single" w:sz="8" w:space="0" w:color="D4E15F" w:themeColor="accent6"/>
        <w:right w:val="single" w:sz="8" w:space="0" w:color="D4E15F" w:themeColor="accent6"/>
        <w:insideH w:val="single" w:sz="8" w:space="0" w:color="D4E15F" w:themeColor="accent6"/>
        <w:insideV w:val="single" w:sz="8" w:space="0" w:color="D4E15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E15F" w:themeColor="accent6"/>
          <w:left w:val="single" w:sz="8" w:space="0" w:color="D4E15F" w:themeColor="accent6"/>
          <w:bottom w:val="single" w:sz="18" w:space="0" w:color="D4E15F" w:themeColor="accent6"/>
          <w:right w:val="single" w:sz="8" w:space="0" w:color="D4E15F" w:themeColor="accent6"/>
          <w:insideH w:val="nil"/>
          <w:insideV w:val="single" w:sz="8" w:space="0" w:color="D4E15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E15F" w:themeColor="accent6"/>
          <w:left w:val="single" w:sz="8" w:space="0" w:color="D4E15F" w:themeColor="accent6"/>
          <w:bottom w:val="single" w:sz="8" w:space="0" w:color="D4E15F" w:themeColor="accent6"/>
          <w:right w:val="single" w:sz="8" w:space="0" w:color="D4E15F" w:themeColor="accent6"/>
          <w:insideH w:val="nil"/>
          <w:insideV w:val="single" w:sz="8" w:space="0" w:color="D4E15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E15F" w:themeColor="accent6"/>
          <w:left w:val="single" w:sz="8" w:space="0" w:color="D4E15F" w:themeColor="accent6"/>
          <w:bottom w:val="single" w:sz="8" w:space="0" w:color="D4E15F" w:themeColor="accent6"/>
          <w:right w:val="single" w:sz="8" w:space="0" w:color="D4E15F" w:themeColor="accent6"/>
        </w:tcBorders>
      </w:tcPr>
    </w:tblStylePr>
    <w:tblStylePr w:type="band1Vert">
      <w:tblPr/>
      <w:tcPr>
        <w:tcBorders>
          <w:top w:val="single" w:sz="8" w:space="0" w:color="D4E15F" w:themeColor="accent6"/>
          <w:left w:val="single" w:sz="8" w:space="0" w:color="D4E15F" w:themeColor="accent6"/>
          <w:bottom w:val="single" w:sz="8" w:space="0" w:color="D4E15F" w:themeColor="accent6"/>
          <w:right w:val="single" w:sz="8" w:space="0" w:color="D4E15F" w:themeColor="accent6"/>
        </w:tcBorders>
        <w:shd w:val="clear" w:color="auto" w:fill="F4F7D7" w:themeFill="accent6" w:themeFillTint="3F"/>
      </w:tcPr>
    </w:tblStylePr>
    <w:tblStylePr w:type="band1Horz">
      <w:tblPr/>
      <w:tcPr>
        <w:tcBorders>
          <w:top w:val="single" w:sz="8" w:space="0" w:color="D4E15F" w:themeColor="accent6"/>
          <w:left w:val="single" w:sz="8" w:space="0" w:color="D4E15F" w:themeColor="accent6"/>
          <w:bottom w:val="single" w:sz="8" w:space="0" w:color="D4E15F" w:themeColor="accent6"/>
          <w:right w:val="single" w:sz="8" w:space="0" w:color="D4E15F" w:themeColor="accent6"/>
          <w:insideV w:val="single" w:sz="8" w:space="0" w:color="D4E15F" w:themeColor="accent6"/>
        </w:tcBorders>
        <w:shd w:val="clear" w:color="auto" w:fill="F4F7D7" w:themeFill="accent6" w:themeFillTint="3F"/>
      </w:tcPr>
    </w:tblStylePr>
    <w:tblStylePr w:type="band2Horz">
      <w:tblPr/>
      <w:tcPr>
        <w:tcBorders>
          <w:top w:val="single" w:sz="8" w:space="0" w:color="D4E15F" w:themeColor="accent6"/>
          <w:left w:val="single" w:sz="8" w:space="0" w:color="D4E15F" w:themeColor="accent6"/>
          <w:bottom w:val="single" w:sz="8" w:space="0" w:color="D4E15F" w:themeColor="accent6"/>
          <w:right w:val="single" w:sz="8" w:space="0" w:color="D4E15F" w:themeColor="accent6"/>
          <w:insideV w:val="single" w:sz="8" w:space="0" w:color="D4E15F" w:themeColor="accent6"/>
        </w:tcBorders>
      </w:tcPr>
    </w:tblStylePr>
  </w:style>
  <w:style w:type="table" w:styleId="LightList-Accent2">
    <w:name w:val="Light List Accent 2"/>
    <w:basedOn w:val="TableNormal"/>
    <w:uiPriority w:val="61"/>
    <w:rsid w:val="003324A3"/>
    <w:pPr>
      <w:spacing w:after="100" w:line="264" w:lineRule="auto"/>
    </w:pPr>
    <w:rPr>
      <w:rFonts w:eastAsiaTheme="minorHAnsi"/>
      <w:lang w:eastAsia="en-US"/>
    </w:rPr>
    <w:tblPr>
      <w:tblStyleRowBandSize w:val="1"/>
      <w:tblStyleColBandSize w:val="1"/>
      <w:tblBorders>
        <w:top w:val="single" w:sz="8" w:space="0" w:color="AB5DBA" w:themeColor="accent2"/>
        <w:left w:val="single" w:sz="8" w:space="0" w:color="AB5DBA" w:themeColor="accent2"/>
        <w:bottom w:val="single" w:sz="8" w:space="0" w:color="AB5DBA" w:themeColor="accent2"/>
        <w:right w:val="single" w:sz="8" w:space="0" w:color="AB5DBA" w:themeColor="accent2"/>
      </w:tblBorders>
    </w:tblPr>
    <w:tblStylePr w:type="firstRow">
      <w:pPr>
        <w:spacing w:before="0" w:after="0" w:line="240" w:lineRule="auto"/>
      </w:pPr>
      <w:rPr>
        <w:b/>
        <w:bCs/>
        <w:color w:val="FFFFFF" w:themeColor="background1"/>
      </w:rPr>
      <w:tblPr/>
      <w:tcPr>
        <w:shd w:val="clear" w:color="auto" w:fill="AB5DBA" w:themeFill="accent2"/>
      </w:tcPr>
    </w:tblStylePr>
    <w:tblStylePr w:type="lastRow">
      <w:pPr>
        <w:spacing w:before="0" w:after="0" w:line="240" w:lineRule="auto"/>
      </w:pPr>
      <w:rPr>
        <w:b/>
        <w:bCs/>
      </w:rPr>
      <w:tblPr/>
      <w:tcPr>
        <w:tcBorders>
          <w:top w:val="double" w:sz="6" w:space="0" w:color="AB5DBA" w:themeColor="accent2"/>
          <w:left w:val="single" w:sz="8" w:space="0" w:color="AB5DBA" w:themeColor="accent2"/>
          <w:bottom w:val="single" w:sz="8" w:space="0" w:color="AB5DBA" w:themeColor="accent2"/>
          <w:right w:val="single" w:sz="8" w:space="0" w:color="AB5DBA" w:themeColor="accent2"/>
        </w:tcBorders>
      </w:tcPr>
    </w:tblStylePr>
    <w:tblStylePr w:type="firstCol">
      <w:rPr>
        <w:b/>
        <w:bCs/>
      </w:rPr>
    </w:tblStylePr>
    <w:tblStylePr w:type="lastCol">
      <w:rPr>
        <w:b/>
        <w:bCs/>
      </w:rPr>
    </w:tblStylePr>
    <w:tblStylePr w:type="band1Vert">
      <w:tblPr/>
      <w:tcPr>
        <w:tcBorders>
          <w:top w:val="single" w:sz="8" w:space="0" w:color="AB5DBA" w:themeColor="accent2"/>
          <w:left w:val="single" w:sz="8" w:space="0" w:color="AB5DBA" w:themeColor="accent2"/>
          <w:bottom w:val="single" w:sz="8" w:space="0" w:color="AB5DBA" w:themeColor="accent2"/>
          <w:right w:val="single" w:sz="8" w:space="0" w:color="AB5DBA" w:themeColor="accent2"/>
        </w:tcBorders>
      </w:tcPr>
    </w:tblStylePr>
    <w:tblStylePr w:type="band1Horz">
      <w:tblPr/>
      <w:tcPr>
        <w:tcBorders>
          <w:top w:val="single" w:sz="8" w:space="0" w:color="AB5DBA" w:themeColor="accent2"/>
          <w:left w:val="single" w:sz="8" w:space="0" w:color="AB5DBA" w:themeColor="accent2"/>
          <w:bottom w:val="single" w:sz="8" w:space="0" w:color="AB5DBA" w:themeColor="accent2"/>
          <w:right w:val="single" w:sz="8" w:space="0" w:color="AB5DBA" w:themeColor="accent2"/>
        </w:tcBorders>
      </w:tcPr>
    </w:tblStylePr>
  </w:style>
  <w:style w:type="table" w:styleId="LightList-Accent3">
    <w:name w:val="Light List Accent 3"/>
    <w:basedOn w:val="TableNormal"/>
    <w:uiPriority w:val="61"/>
    <w:rsid w:val="003324A3"/>
    <w:pPr>
      <w:spacing w:after="100" w:line="264" w:lineRule="auto"/>
    </w:pPr>
    <w:rPr>
      <w:rFonts w:eastAsiaTheme="minorHAnsi"/>
      <w:lang w:eastAsia="en-US"/>
    </w:rPr>
    <w:tblPr>
      <w:tblStyleRowBandSize w:val="1"/>
      <w:tblStyleColBandSize w:val="1"/>
      <w:tblBorders>
        <w:top w:val="single" w:sz="8" w:space="0" w:color="642667" w:themeColor="accent3"/>
        <w:left w:val="single" w:sz="8" w:space="0" w:color="642667" w:themeColor="accent3"/>
        <w:bottom w:val="single" w:sz="8" w:space="0" w:color="642667" w:themeColor="accent3"/>
        <w:right w:val="single" w:sz="8" w:space="0" w:color="642667" w:themeColor="accent3"/>
      </w:tblBorders>
    </w:tblPr>
    <w:tblStylePr w:type="firstRow">
      <w:pPr>
        <w:spacing w:before="0" w:after="0" w:line="240" w:lineRule="auto"/>
      </w:pPr>
      <w:rPr>
        <w:b/>
        <w:bCs/>
        <w:color w:val="FFFFFF" w:themeColor="background1"/>
      </w:rPr>
      <w:tblPr/>
      <w:tcPr>
        <w:shd w:val="clear" w:color="auto" w:fill="642667" w:themeFill="accent3"/>
      </w:tcPr>
    </w:tblStylePr>
    <w:tblStylePr w:type="lastRow">
      <w:pPr>
        <w:spacing w:before="0" w:after="0" w:line="240" w:lineRule="auto"/>
      </w:pPr>
      <w:rPr>
        <w:b/>
        <w:bCs/>
      </w:rPr>
      <w:tblPr/>
      <w:tcPr>
        <w:tcBorders>
          <w:top w:val="double" w:sz="6" w:space="0" w:color="642667" w:themeColor="accent3"/>
          <w:left w:val="single" w:sz="8" w:space="0" w:color="642667" w:themeColor="accent3"/>
          <w:bottom w:val="single" w:sz="8" w:space="0" w:color="642667" w:themeColor="accent3"/>
          <w:right w:val="single" w:sz="8" w:space="0" w:color="642667" w:themeColor="accent3"/>
        </w:tcBorders>
      </w:tcPr>
    </w:tblStylePr>
    <w:tblStylePr w:type="firstCol">
      <w:rPr>
        <w:b/>
        <w:bCs/>
      </w:rPr>
    </w:tblStylePr>
    <w:tblStylePr w:type="lastCol">
      <w:rPr>
        <w:b/>
        <w:bCs/>
      </w:rPr>
    </w:tblStylePr>
    <w:tblStylePr w:type="band1Vert">
      <w:tblPr/>
      <w:tcPr>
        <w:tcBorders>
          <w:top w:val="single" w:sz="8" w:space="0" w:color="642667" w:themeColor="accent3"/>
          <w:left w:val="single" w:sz="8" w:space="0" w:color="642667" w:themeColor="accent3"/>
          <w:bottom w:val="single" w:sz="8" w:space="0" w:color="642667" w:themeColor="accent3"/>
          <w:right w:val="single" w:sz="8" w:space="0" w:color="642667" w:themeColor="accent3"/>
        </w:tcBorders>
      </w:tcPr>
    </w:tblStylePr>
    <w:tblStylePr w:type="band1Horz">
      <w:tblPr/>
      <w:tcPr>
        <w:tcBorders>
          <w:top w:val="single" w:sz="8" w:space="0" w:color="642667" w:themeColor="accent3"/>
          <w:left w:val="single" w:sz="8" w:space="0" w:color="642667" w:themeColor="accent3"/>
          <w:bottom w:val="single" w:sz="8" w:space="0" w:color="642667" w:themeColor="accent3"/>
          <w:right w:val="single" w:sz="8" w:space="0" w:color="642667" w:themeColor="accent3"/>
        </w:tcBorders>
      </w:tcPr>
    </w:tblStylePr>
  </w:style>
  <w:style w:type="table" w:styleId="LightList-Accent5">
    <w:name w:val="Light List Accent 5"/>
    <w:basedOn w:val="TableNormal"/>
    <w:uiPriority w:val="61"/>
    <w:rsid w:val="003324A3"/>
    <w:pPr>
      <w:spacing w:after="100" w:line="264" w:lineRule="auto"/>
    </w:pPr>
    <w:rPr>
      <w:rFonts w:eastAsiaTheme="minorHAnsi"/>
      <w:lang w:eastAsia="en-US"/>
    </w:rPr>
    <w:tblPr>
      <w:tblStyleRowBandSize w:val="1"/>
      <w:tblStyleColBandSize w:val="1"/>
      <w:tblBorders>
        <w:top w:val="single" w:sz="8" w:space="0" w:color="00BAC7" w:themeColor="accent5"/>
        <w:left w:val="single" w:sz="8" w:space="0" w:color="00BAC7" w:themeColor="accent5"/>
        <w:bottom w:val="single" w:sz="8" w:space="0" w:color="00BAC7" w:themeColor="accent5"/>
        <w:right w:val="single" w:sz="8" w:space="0" w:color="00BAC7" w:themeColor="accent5"/>
      </w:tblBorders>
    </w:tblPr>
    <w:tblStylePr w:type="firstRow">
      <w:pPr>
        <w:spacing w:before="0" w:after="0" w:line="240" w:lineRule="auto"/>
      </w:pPr>
      <w:rPr>
        <w:b/>
        <w:bCs/>
        <w:color w:val="FFFFFF" w:themeColor="background1"/>
      </w:rPr>
      <w:tblPr/>
      <w:tcPr>
        <w:shd w:val="clear" w:color="auto" w:fill="00BAC7" w:themeFill="accent5"/>
      </w:tcPr>
    </w:tblStylePr>
    <w:tblStylePr w:type="lastRow">
      <w:pPr>
        <w:spacing w:before="0" w:after="0" w:line="240" w:lineRule="auto"/>
      </w:pPr>
      <w:rPr>
        <w:b/>
        <w:bCs/>
      </w:rPr>
      <w:tblPr/>
      <w:tcPr>
        <w:tcBorders>
          <w:top w:val="double" w:sz="6" w:space="0" w:color="00BAC7" w:themeColor="accent5"/>
          <w:left w:val="single" w:sz="8" w:space="0" w:color="00BAC7" w:themeColor="accent5"/>
          <w:bottom w:val="single" w:sz="8" w:space="0" w:color="00BAC7" w:themeColor="accent5"/>
          <w:right w:val="single" w:sz="8" w:space="0" w:color="00BAC7" w:themeColor="accent5"/>
        </w:tcBorders>
      </w:tcPr>
    </w:tblStylePr>
    <w:tblStylePr w:type="firstCol">
      <w:rPr>
        <w:b/>
        <w:bCs/>
      </w:rPr>
    </w:tblStylePr>
    <w:tblStylePr w:type="lastCol">
      <w:rPr>
        <w:b/>
        <w:bCs/>
      </w:rPr>
    </w:tblStylePr>
    <w:tblStylePr w:type="band1Vert">
      <w:tblPr/>
      <w:tcPr>
        <w:tcBorders>
          <w:top w:val="single" w:sz="8" w:space="0" w:color="00BAC7" w:themeColor="accent5"/>
          <w:left w:val="single" w:sz="8" w:space="0" w:color="00BAC7" w:themeColor="accent5"/>
          <w:bottom w:val="single" w:sz="8" w:space="0" w:color="00BAC7" w:themeColor="accent5"/>
          <w:right w:val="single" w:sz="8" w:space="0" w:color="00BAC7" w:themeColor="accent5"/>
        </w:tcBorders>
      </w:tcPr>
    </w:tblStylePr>
    <w:tblStylePr w:type="band1Horz">
      <w:tblPr/>
      <w:tcPr>
        <w:tcBorders>
          <w:top w:val="single" w:sz="8" w:space="0" w:color="00BAC7" w:themeColor="accent5"/>
          <w:left w:val="single" w:sz="8" w:space="0" w:color="00BAC7" w:themeColor="accent5"/>
          <w:bottom w:val="single" w:sz="8" w:space="0" w:color="00BAC7" w:themeColor="accent5"/>
          <w:right w:val="single" w:sz="8" w:space="0" w:color="00BAC7" w:themeColor="accent5"/>
        </w:tcBorders>
      </w:tcPr>
    </w:tblStylePr>
  </w:style>
  <w:style w:type="table" w:styleId="LightList-Accent6">
    <w:name w:val="Light List Accent 6"/>
    <w:basedOn w:val="TableNormal"/>
    <w:uiPriority w:val="61"/>
    <w:rsid w:val="003324A3"/>
    <w:pPr>
      <w:spacing w:after="100" w:line="264" w:lineRule="auto"/>
    </w:pPr>
    <w:rPr>
      <w:rFonts w:eastAsiaTheme="minorHAnsi"/>
      <w:lang w:eastAsia="en-US"/>
    </w:rPr>
    <w:tblPr>
      <w:tblStyleRowBandSize w:val="1"/>
      <w:tblStyleColBandSize w:val="1"/>
      <w:tblBorders>
        <w:top w:val="single" w:sz="8" w:space="0" w:color="D4E15F" w:themeColor="accent6"/>
        <w:left w:val="single" w:sz="8" w:space="0" w:color="D4E15F" w:themeColor="accent6"/>
        <w:bottom w:val="single" w:sz="8" w:space="0" w:color="D4E15F" w:themeColor="accent6"/>
        <w:right w:val="single" w:sz="8" w:space="0" w:color="D4E15F" w:themeColor="accent6"/>
      </w:tblBorders>
    </w:tblPr>
    <w:tblStylePr w:type="firstRow">
      <w:pPr>
        <w:spacing w:before="0" w:after="0" w:line="240" w:lineRule="auto"/>
      </w:pPr>
      <w:rPr>
        <w:b/>
        <w:bCs/>
        <w:color w:val="FFFFFF" w:themeColor="background1"/>
      </w:rPr>
      <w:tblPr/>
      <w:tcPr>
        <w:shd w:val="clear" w:color="auto" w:fill="D4E15F" w:themeFill="accent6"/>
      </w:tcPr>
    </w:tblStylePr>
    <w:tblStylePr w:type="lastRow">
      <w:pPr>
        <w:spacing w:before="0" w:after="0" w:line="240" w:lineRule="auto"/>
      </w:pPr>
      <w:rPr>
        <w:b/>
        <w:bCs/>
      </w:rPr>
      <w:tblPr/>
      <w:tcPr>
        <w:tcBorders>
          <w:top w:val="double" w:sz="6" w:space="0" w:color="D4E15F" w:themeColor="accent6"/>
          <w:left w:val="single" w:sz="8" w:space="0" w:color="D4E15F" w:themeColor="accent6"/>
          <w:bottom w:val="single" w:sz="8" w:space="0" w:color="D4E15F" w:themeColor="accent6"/>
          <w:right w:val="single" w:sz="8" w:space="0" w:color="D4E15F" w:themeColor="accent6"/>
        </w:tcBorders>
      </w:tcPr>
    </w:tblStylePr>
    <w:tblStylePr w:type="firstCol">
      <w:rPr>
        <w:b/>
        <w:bCs/>
      </w:rPr>
    </w:tblStylePr>
    <w:tblStylePr w:type="lastCol">
      <w:rPr>
        <w:b/>
        <w:bCs/>
      </w:rPr>
    </w:tblStylePr>
    <w:tblStylePr w:type="band1Vert">
      <w:tblPr/>
      <w:tcPr>
        <w:tcBorders>
          <w:top w:val="single" w:sz="8" w:space="0" w:color="D4E15F" w:themeColor="accent6"/>
          <w:left w:val="single" w:sz="8" w:space="0" w:color="D4E15F" w:themeColor="accent6"/>
          <w:bottom w:val="single" w:sz="8" w:space="0" w:color="D4E15F" w:themeColor="accent6"/>
          <w:right w:val="single" w:sz="8" w:space="0" w:color="D4E15F" w:themeColor="accent6"/>
        </w:tcBorders>
      </w:tcPr>
    </w:tblStylePr>
    <w:tblStylePr w:type="band1Horz">
      <w:tblPr/>
      <w:tcPr>
        <w:tcBorders>
          <w:top w:val="single" w:sz="8" w:space="0" w:color="D4E15F" w:themeColor="accent6"/>
          <w:left w:val="single" w:sz="8" w:space="0" w:color="D4E15F" w:themeColor="accent6"/>
          <w:bottom w:val="single" w:sz="8" w:space="0" w:color="D4E15F" w:themeColor="accent6"/>
          <w:right w:val="single" w:sz="8" w:space="0" w:color="D4E15F" w:themeColor="accent6"/>
        </w:tcBorders>
      </w:tcPr>
    </w:tblStylePr>
  </w:style>
  <w:style w:type="table" w:styleId="LightShading-Accent3">
    <w:name w:val="Light Shading Accent 3"/>
    <w:basedOn w:val="TableNormal"/>
    <w:uiPriority w:val="60"/>
    <w:rsid w:val="003324A3"/>
    <w:pPr>
      <w:spacing w:after="100" w:line="264" w:lineRule="auto"/>
    </w:pPr>
    <w:rPr>
      <w:rFonts w:eastAsiaTheme="minorHAnsi"/>
      <w:color w:val="4A1C4C" w:themeColor="accent3" w:themeShade="BF"/>
      <w:lang w:eastAsia="en-US"/>
    </w:rPr>
    <w:tblPr>
      <w:tblStyleRowBandSize w:val="1"/>
      <w:tblStyleColBandSize w:val="1"/>
      <w:tblBorders>
        <w:top w:val="single" w:sz="8" w:space="0" w:color="642667" w:themeColor="accent3"/>
        <w:bottom w:val="single" w:sz="8" w:space="0" w:color="642667" w:themeColor="accent3"/>
      </w:tblBorders>
    </w:tblPr>
    <w:tblStylePr w:type="firstRow">
      <w:pPr>
        <w:spacing w:before="0" w:after="0" w:line="240" w:lineRule="auto"/>
      </w:pPr>
      <w:rPr>
        <w:b/>
        <w:bCs/>
      </w:rPr>
      <w:tblPr/>
      <w:tcPr>
        <w:tcBorders>
          <w:top w:val="single" w:sz="8" w:space="0" w:color="642667" w:themeColor="accent3"/>
          <w:left w:val="nil"/>
          <w:bottom w:val="single" w:sz="8" w:space="0" w:color="642667" w:themeColor="accent3"/>
          <w:right w:val="nil"/>
          <w:insideH w:val="nil"/>
          <w:insideV w:val="nil"/>
        </w:tcBorders>
      </w:tcPr>
    </w:tblStylePr>
    <w:tblStylePr w:type="lastRow">
      <w:pPr>
        <w:spacing w:before="0" w:after="0" w:line="240" w:lineRule="auto"/>
      </w:pPr>
      <w:rPr>
        <w:b/>
        <w:bCs/>
      </w:rPr>
      <w:tblPr/>
      <w:tcPr>
        <w:tcBorders>
          <w:top w:val="single" w:sz="8" w:space="0" w:color="642667" w:themeColor="accent3"/>
          <w:left w:val="nil"/>
          <w:bottom w:val="single" w:sz="8" w:space="0" w:color="6426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CE6" w:themeFill="accent3" w:themeFillTint="3F"/>
      </w:tcPr>
    </w:tblStylePr>
    <w:tblStylePr w:type="band1Horz">
      <w:tblPr/>
      <w:tcPr>
        <w:tcBorders>
          <w:left w:val="nil"/>
          <w:right w:val="nil"/>
          <w:insideH w:val="nil"/>
          <w:insideV w:val="nil"/>
        </w:tcBorders>
        <w:shd w:val="clear" w:color="auto" w:fill="E4BCE6" w:themeFill="accent3" w:themeFillTint="3F"/>
      </w:tcPr>
    </w:tblStylePr>
  </w:style>
  <w:style w:type="table" w:styleId="LightShading-Accent5">
    <w:name w:val="Light Shading Accent 5"/>
    <w:basedOn w:val="TableNormal"/>
    <w:uiPriority w:val="60"/>
    <w:rsid w:val="003324A3"/>
    <w:pPr>
      <w:spacing w:after="100" w:line="264" w:lineRule="auto"/>
    </w:pPr>
    <w:rPr>
      <w:rFonts w:eastAsiaTheme="minorHAnsi"/>
      <w:color w:val="008B95" w:themeColor="accent5" w:themeShade="BF"/>
      <w:lang w:eastAsia="en-US"/>
    </w:rPr>
    <w:tblPr>
      <w:tblStyleRowBandSize w:val="1"/>
      <w:tblStyleColBandSize w:val="1"/>
      <w:tblBorders>
        <w:top w:val="single" w:sz="8" w:space="0" w:color="00BAC7" w:themeColor="accent5"/>
        <w:bottom w:val="single" w:sz="8" w:space="0" w:color="00BAC7" w:themeColor="accent5"/>
      </w:tblBorders>
    </w:tblPr>
    <w:tblStylePr w:type="firstRow">
      <w:pPr>
        <w:spacing w:before="0" w:after="0" w:line="240" w:lineRule="auto"/>
      </w:pPr>
      <w:rPr>
        <w:b/>
        <w:bCs/>
      </w:rPr>
      <w:tblPr/>
      <w:tcPr>
        <w:tcBorders>
          <w:top w:val="single" w:sz="8" w:space="0" w:color="00BAC7" w:themeColor="accent5"/>
          <w:left w:val="nil"/>
          <w:bottom w:val="single" w:sz="8" w:space="0" w:color="00BAC7" w:themeColor="accent5"/>
          <w:right w:val="nil"/>
          <w:insideH w:val="nil"/>
          <w:insideV w:val="nil"/>
        </w:tcBorders>
      </w:tcPr>
    </w:tblStylePr>
    <w:tblStylePr w:type="lastRow">
      <w:pPr>
        <w:spacing w:before="0" w:after="0" w:line="240" w:lineRule="auto"/>
      </w:pPr>
      <w:rPr>
        <w:b/>
        <w:bCs/>
      </w:rPr>
      <w:tblPr/>
      <w:tcPr>
        <w:tcBorders>
          <w:top w:val="single" w:sz="8" w:space="0" w:color="00BAC7" w:themeColor="accent5"/>
          <w:left w:val="nil"/>
          <w:bottom w:val="single" w:sz="8" w:space="0" w:color="00BAC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9FF" w:themeFill="accent5" w:themeFillTint="3F"/>
      </w:tcPr>
    </w:tblStylePr>
    <w:tblStylePr w:type="band1Horz">
      <w:tblPr/>
      <w:tcPr>
        <w:tcBorders>
          <w:left w:val="nil"/>
          <w:right w:val="nil"/>
          <w:insideH w:val="nil"/>
          <w:insideV w:val="nil"/>
        </w:tcBorders>
        <w:shd w:val="clear" w:color="auto" w:fill="B2F9FF" w:themeFill="accent5" w:themeFillTint="3F"/>
      </w:tcPr>
    </w:tblStylePr>
  </w:style>
  <w:style w:type="table" w:styleId="LightShading-Accent6">
    <w:name w:val="Light Shading Accent 6"/>
    <w:basedOn w:val="TableNormal"/>
    <w:uiPriority w:val="60"/>
    <w:rsid w:val="003324A3"/>
    <w:pPr>
      <w:spacing w:after="100" w:line="264" w:lineRule="auto"/>
    </w:pPr>
    <w:rPr>
      <w:rFonts w:eastAsiaTheme="minorHAnsi"/>
      <w:color w:val="B8C926" w:themeColor="accent6" w:themeShade="BF"/>
      <w:lang w:eastAsia="en-US"/>
    </w:rPr>
    <w:tblPr>
      <w:tblStyleRowBandSize w:val="1"/>
      <w:tblStyleColBandSize w:val="1"/>
      <w:tblBorders>
        <w:top w:val="single" w:sz="8" w:space="0" w:color="D4E15F" w:themeColor="accent6"/>
        <w:bottom w:val="single" w:sz="8" w:space="0" w:color="D4E15F" w:themeColor="accent6"/>
      </w:tblBorders>
    </w:tblPr>
    <w:tblStylePr w:type="firstRow">
      <w:pPr>
        <w:spacing w:before="0" w:after="0" w:line="240" w:lineRule="auto"/>
      </w:pPr>
      <w:rPr>
        <w:b/>
        <w:bCs/>
      </w:rPr>
      <w:tblPr/>
      <w:tcPr>
        <w:tcBorders>
          <w:top w:val="single" w:sz="8" w:space="0" w:color="D4E15F" w:themeColor="accent6"/>
          <w:left w:val="nil"/>
          <w:bottom w:val="single" w:sz="8" w:space="0" w:color="D4E15F" w:themeColor="accent6"/>
          <w:right w:val="nil"/>
          <w:insideH w:val="nil"/>
          <w:insideV w:val="nil"/>
        </w:tcBorders>
      </w:tcPr>
    </w:tblStylePr>
    <w:tblStylePr w:type="lastRow">
      <w:pPr>
        <w:spacing w:before="0" w:after="0" w:line="240" w:lineRule="auto"/>
      </w:pPr>
      <w:rPr>
        <w:b/>
        <w:bCs/>
      </w:rPr>
      <w:tblPr/>
      <w:tcPr>
        <w:tcBorders>
          <w:top w:val="single" w:sz="8" w:space="0" w:color="D4E15F" w:themeColor="accent6"/>
          <w:left w:val="nil"/>
          <w:bottom w:val="single" w:sz="8" w:space="0" w:color="D4E15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F7D7" w:themeFill="accent6" w:themeFillTint="3F"/>
      </w:tcPr>
    </w:tblStylePr>
    <w:tblStylePr w:type="band1Horz">
      <w:tblPr/>
      <w:tcPr>
        <w:tcBorders>
          <w:left w:val="nil"/>
          <w:right w:val="nil"/>
          <w:insideH w:val="nil"/>
          <w:insideV w:val="nil"/>
        </w:tcBorders>
        <w:shd w:val="clear" w:color="auto" w:fill="F4F7D7" w:themeFill="accent6" w:themeFillTint="3F"/>
      </w:tcPr>
    </w:tblStylePr>
  </w:style>
  <w:style w:type="character" w:styleId="LineNumber">
    <w:name w:val="line number"/>
    <w:basedOn w:val="DefaultParagraphFont"/>
    <w:uiPriority w:val="99"/>
    <w:semiHidden/>
    <w:unhideWhenUsed/>
    <w:rsid w:val="003324A3"/>
  </w:style>
  <w:style w:type="paragraph" w:styleId="MacroText">
    <w:name w:val="macro"/>
    <w:link w:val="MacroTextChar"/>
    <w:uiPriority w:val="99"/>
    <w:semiHidden/>
    <w:unhideWhenUsed/>
    <w:rsid w:val="003324A3"/>
    <w:pPr>
      <w:keepLines/>
      <w:tabs>
        <w:tab w:val="left" w:pos="480"/>
        <w:tab w:val="left" w:pos="960"/>
        <w:tab w:val="left" w:pos="1440"/>
        <w:tab w:val="left" w:pos="1920"/>
        <w:tab w:val="left" w:pos="2400"/>
        <w:tab w:val="left" w:pos="2880"/>
        <w:tab w:val="left" w:pos="3360"/>
        <w:tab w:val="left" w:pos="3840"/>
        <w:tab w:val="left" w:pos="4320"/>
      </w:tabs>
      <w:spacing w:before="160" w:after="100" w:line="264" w:lineRule="auto"/>
    </w:pPr>
    <w:rPr>
      <w:rFonts w:ascii="Consolas" w:eastAsiaTheme="minorHAnsi" w:hAnsi="Consolas" w:cs="Consolas"/>
      <w:lang w:eastAsia="en-US"/>
    </w:rPr>
  </w:style>
  <w:style w:type="character" w:customStyle="1" w:styleId="MacroTextChar">
    <w:name w:val="Macro Text Char"/>
    <w:basedOn w:val="DefaultParagraphFont"/>
    <w:link w:val="MacroText"/>
    <w:uiPriority w:val="99"/>
    <w:semiHidden/>
    <w:rsid w:val="003324A3"/>
    <w:rPr>
      <w:rFonts w:ascii="Consolas" w:eastAsiaTheme="minorHAnsi" w:hAnsi="Consolas" w:cs="Consolas"/>
      <w:lang w:eastAsia="en-US"/>
    </w:rPr>
  </w:style>
  <w:style w:type="table" w:styleId="MediumGrid1">
    <w:name w:val="Medium Grid 1"/>
    <w:basedOn w:val="TableNormal"/>
    <w:uiPriority w:val="67"/>
    <w:rsid w:val="003324A3"/>
    <w:pPr>
      <w:spacing w:after="100" w:line="264" w:lineRule="auto"/>
    </w:pPr>
    <w:rPr>
      <w:rFonts w:eastAsiaTheme="minorHAnsi"/>
      <w:lang w:eastAsia="en-US"/>
    </w:rPr>
    <w:tblPr>
      <w:tblStyleRowBandSize w:val="1"/>
      <w:tblStyleColBandSize w:val="1"/>
      <w:tblBorders>
        <w:top w:val="single" w:sz="8" w:space="0" w:color="4B5B79" w:themeColor="text1" w:themeTint="BF"/>
        <w:left w:val="single" w:sz="8" w:space="0" w:color="4B5B79" w:themeColor="text1" w:themeTint="BF"/>
        <w:bottom w:val="single" w:sz="8" w:space="0" w:color="4B5B79" w:themeColor="text1" w:themeTint="BF"/>
        <w:right w:val="single" w:sz="8" w:space="0" w:color="4B5B79" w:themeColor="text1" w:themeTint="BF"/>
        <w:insideH w:val="single" w:sz="8" w:space="0" w:color="4B5B79" w:themeColor="text1" w:themeTint="BF"/>
        <w:insideV w:val="single" w:sz="8" w:space="0" w:color="4B5B79" w:themeColor="text1" w:themeTint="BF"/>
      </w:tblBorders>
    </w:tblPr>
    <w:tcPr>
      <w:shd w:val="clear" w:color="auto" w:fill="BFC7D7" w:themeFill="text1" w:themeFillTint="3F"/>
    </w:tcPr>
    <w:tblStylePr w:type="firstRow">
      <w:rPr>
        <w:b/>
        <w:bCs/>
      </w:rPr>
    </w:tblStylePr>
    <w:tblStylePr w:type="lastRow">
      <w:rPr>
        <w:b/>
        <w:bCs/>
      </w:rPr>
      <w:tblPr/>
      <w:tcPr>
        <w:tcBorders>
          <w:top w:val="single" w:sz="18" w:space="0" w:color="4B5B79" w:themeColor="text1" w:themeTint="BF"/>
        </w:tcBorders>
      </w:tcPr>
    </w:tblStylePr>
    <w:tblStylePr w:type="firstCol">
      <w:rPr>
        <w:b/>
        <w:bCs/>
      </w:rPr>
    </w:tblStylePr>
    <w:tblStylePr w:type="lastCol">
      <w:rPr>
        <w:b/>
        <w:bCs/>
      </w:rPr>
    </w:tblStylePr>
    <w:tblStylePr w:type="band1Vert">
      <w:tblPr/>
      <w:tcPr>
        <w:shd w:val="clear" w:color="auto" w:fill="7D8FAF" w:themeFill="text1" w:themeFillTint="7F"/>
      </w:tcPr>
    </w:tblStylePr>
    <w:tblStylePr w:type="band1Horz">
      <w:tblPr/>
      <w:tcPr>
        <w:shd w:val="clear" w:color="auto" w:fill="7D8FAF" w:themeFill="text1" w:themeFillTint="7F"/>
      </w:tcPr>
    </w:tblStylePr>
  </w:style>
  <w:style w:type="table" w:styleId="MediumGrid1-Accent1">
    <w:name w:val="Medium Grid 1 Accent 1"/>
    <w:basedOn w:val="TableNormal"/>
    <w:uiPriority w:val="67"/>
    <w:rsid w:val="003324A3"/>
    <w:pPr>
      <w:spacing w:after="100" w:line="264" w:lineRule="auto"/>
    </w:pPr>
    <w:rPr>
      <w:rFonts w:eastAsiaTheme="minorHAnsi"/>
      <w:lang w:eastAsia="en-US"/>
    </w:rPr>
    <w:tblPr>
      <w:tblStyleRowBandSize w:val="1"/>
      <w:tblStyleColBandSize w:val="1"/>
      <w:tblBorders>
        <w:top w:val="single" w:sz="8" w:space="0" w:color="BF29DE" w:themeColor="accent1" w:themeTint="BF"/>
        <w:left w:val="single" w:sz="8" w:space="0" w:color="BF29DE" w:themeColor="accent1" w:themeTint="BF"/>
        <w:bottom w:val="single" w:sz="8" w:space="0" w:color="BF29DE" w:themeColor="accent1" w:themeTint="BF"/>
        <w:right w:val="single" w:sz="8" w:space="0" w:color="BF29DE" w:themeColor="accent1" w:themeTint="BF"/>
        <w:insideH w:val="single" w:sz="8" w:space="0" w:color="BF29DE" w:themeColor="accent1" w:themeTint="BF"/>
        <w:insideV w:val="single" w:sz="8" w:space="0" w:color="BF29DE" w:themeColor="accent1" w:themeTint="BF"/>
      </w:tblBorders>
    </w:tblPr>
    <w:tcPr>
      <w:shd w:val="clear" w:color="auto" w:fill="EAB8F4" w:themeFill="accent1" w:themeFillTint="3F"/>
    </w:tcPr>
    <w:tblStylePr w:type="firstRow">
      <w:rPr>
        <w:b/>
        <w:bCs/>
      </w:rPr>
    </w:tblStylePr>
    <w:tblStylePr w:type="lastRow">
      <w:rPr>
        <w:b/>
        <w:bCs/>
      </w:rPr>
      <w:tblPr/>
      <w:tcPr>
        <w:tcBorders>
          <w:top w:val="single" w:sz="18" w:space="0" w:color="BF29DE" w:themeColor="accent1" w:themeTint="BF"/>
        </w:tcBorders>
      </w:tcPr>
    </w:tblStylePr>
    <w:tblStylePr w:type="firstCol">
      <w:rPr>
        <w:b/>
        <w:bCs/>
      </w:rPr>
    </w:tblStylePr>
    <w:tblStylePr w:type="lastCol">
      <w:rPr>
        <w:b/>
        <w:bCs/>
      </w:rPr>
    </w:tblStylePr>
    <w:tblStylePr w:type="band1Vert">
      <w:tblPr/>
      <w:tcPr>
        <w:shd w:val="clear" w:color="auto" w:fill="D470E9" w:themeFill="accent1" w:themeFillTint="7F"/>
      </w:tcPr>
    </w:tblStylePr>
    <w:tblStylePr w:type="band1Horz">
      <w:tblPr/>
      <w:tcPr>
        <w:shd w:val="clear" w:color="auto" w:fill="D470E9" w:themeFill="accent1" w:themeFillTint="7F"/>
      </w:tcPr>
    </w:tblStylePr>
  </w:style>
  <w:style w:type="table" w:styleId="MediumGrid1-Accent2">
    <w:name w:val="Medium Grid 1 Accent 2"/>
    <w:basedOn w:val="TableNormal"/>
    <w:uiPriority w:val="67"/>
    <w:rsid w:val="003324A3"/>
    <w:pPr>
      <w:spacing w:after="100" w:line="264" w:lineRule="auto"/>
    </w:pPr>
    <w:rPr>
      <w:rFonts w:eastAsiaTheme="minorHAnsi"/>
      <w:lang w:eastAsia="en-US"/>
    </w:rPr>
    <w:tblPr>
      <w:tblStyleRowBandSize w:val="1"/>
      <w:tblStyleColBandSize w:val="1"/>
      <w:tblBorders>
        <w:top w:val="single" w:sz="8" w:space="0" w:color="BF85CB" w:themeColor="accent2" w:themeTint="BF"/>
        <w:left w:val="single" w:sz="8" w:space="0" w:color="BF85CB" w:themeColor="accent2" w:themeTint="BF"/>
        <w:bottom w:val="single" w:sz="8" w:space="0" w:color="BF85CB" w:themeColor="accent2" w:themeTint="BF"/>
        <w:right w:val="single" w:sz="8" w:space="0" w:color="BF85CB" w:themeColor="accent2" w:themeTint="BF"/>
        <w:insideH w:val="single" w:sz="8" w:space="0" w:color="BF85CB" w:themeColor="accent2" w:themeTint="BF"/>
        <w:insideV w:val="single" w:sz="8" w:space="0" w:color="BF85CB" w:themeColor="accent2" w:themeTint="BF"/>
      </w:tblBorders>
    </w:tblPr>
    <w:tcPr>
      <w:shd w:val="clear" w:color="auto" w:fill="EAD6EE" w:themeFill="accent2" w:themeFillTint="3F"/>
    </w:tcPr>
    <w:tblStylePr w:type="firstRow">
      <w:rPr>
        <w:b/>
        <w:bCs/>
      </w:rPr>
    </w:tblStylePr>
    <w:tblStylePr w:type="lastRow">
      <w:rPr>
        <w:b/>
        <w:bCs/>
      </w:rPr>
      <w:tblPr/>
      <w:tcPr>
        <w:tcBorders>
          <w:top w:val="single" w:sz="18" w:space="0" w:color="BF85CB" w:themeColor="accent2" w:themeTint="BF"/>
        </w:tcBorders>
      </w:tcPr>
    </w:tblStylePr>
    <w:tblStylePr w:type="firstCol">
      <w:rPr>
        <w:b/>
        <w:bCs/>
      </w:rPr>
    </w:tblStylePr>
    <w:tblStylePr w:type="lastCol">
      <w:rPr>
        <w:b/>
        <w:bCs/>
      </w:rPr>
    </w:tblStylePr>
    <w:tblStylePr w:type="band1Vert">
      <w:tblPr/>
      <w:tcPr>
        <w:shd w:val="clear" w:color="auto" w:fill="D4AEDC" w:themeFill="accent2" w:themeFillTint="7F"/>
      </w:tcPr>
    </w:tblStylePr>
    <w:tblStylePr w:type="band1Horz">
      <w:tblPr/>
      <w:tcPr>
        <w:shd w:val="clear" w:color="auto" w:fill="D4AEDC" w:themeFill="accent2" w:themeFillTint="7F"/>
      </w:tcPr>
    </w:tblStylePr>
  </w:style>
  <w:style w:type="table" w:styleId="MediumGrid1-Accent3">
    <w:name w:val="Medium Grid 1 Accent 3"/>
    <w:basedOn w:val="TableNormal"/>
    <w:uiPriority w:val="67"/>
    <w:rsid w:val="003324A3"/>
    <w:pPr>
      <w:spacing w:after="100" w:line="264" w:lineRule="auto"/>
    </w:pPr>
    <w:rPr>
      <w:rFonts w:eastAsiaTheme="minorHAnsi"/>
      <w:lang w:eastAsia="en-US"/>
    </w:rPr>
    <w:tblPr>
      <w:tblStyleRowBandSize w:val="1"/>
      <w:tblStyleColBandSize w:val="1"/>
      <w:tblBorders>
        <w:top w:val="single" w:sz="8" w:space="0" w:color="A53FAA" w:themeColor="accent3" w:themeTint="BF"/>
        <w:left w:val="single" w:sz="8" w:space="0" w:color="A53FAA" w:themeColor="accent3" w:themeTint="BF"/>
        <w:bottom w:val="single" w:sz="8" w:space="0" w:color="A53FAA" w:themeColor="accent3" w:themeTint="BF"/>
        <w:right w:val="single" w:sz="8" w:space="0" w:color="A53FAA" w:themeColor="accent3" w:themeTint="BF"/>
        <w:insideH w:val="single" w:sz="8" w:space="0" w:color="A53FAA" w:themeColor="accent3" w:themeTint="BF"/>
        <w:insideV w:val="single" w:sz="8" w:space="0" w:color="A53FAA" w:themeColor="accent3" w:themeTint="BF"/>
      </w:tblBorders>
    </w:tblPr>
    <w:tcPr>
      <w:shd w:val="clear" w:color="auto" w:fill="E4BCE6" w:themeFill="accent3" w:themeFillTint="3F"/>
    </w:tcPr>
    <w:tblStylePr w:type="firstRow">
      <w:rPr>
        <w:b/>
        <w:bCs/>
      </w:rPr>
    </w:tblStylePr>
    <w:tblStylePr w:type="lastRow">
      <w:rPr>
        <w:b/>
        <w:bCs/>
      </w:rPr>
      <w:tblPr/>
      <w:tcPr>
        <w:tcBorders>
          <w:top w:val="single" w:sz="18" w:space="0" w:color="A53FAA" w:themeColor="accent3" w:themeTint="BF"/>
        </w:tcBorders>
      </w:tcPr>
    </w:tblStylePr>
    <w:tblStylePr w:type="firstCol">
      <w:rPr>
        <w:b/>
        <w:bCs/>
      </w:rPr>
    </w:tblStylePr>
    <w:tblStylePr w:type="lastCol">
      <w:rPr>
        <w:b/>
        <w:bCs/>
      </w:rPr>
    </w:tblStylePr>
    <w:tblStylePr w:type="band1Vert">
      <w:tblPr/>
      <w:tcPr>
        <w:shd w:val="clear" w:color="auto" w:fill="C978CD" w:themeFill="accent3" w:themeFillTint="7F"/>
      </w:tcPr>
    </w:tblStylePr>
    <w:tblStylePr w:type="band1Horz">
      <w:tblPr/>
      <w:tcPr>
        <w:shd w:val="clear" w:color="auto" w:fill="C978CD" w:themeFill="accent3" w:themeFillTint="7F"/>
      </w:tcPr>
    </w:tblStylePr>
  </w:style>
  <w:style w:type="table" w:styleId="MediumGrid1-Accent4">
    <w:name w:val="Medium Grid 1 Accent 4"/>
    <w:basedOn w:val="TableNormal"/>
    <w:uiPriority w:val="67"/>
    <w:rsid w:val="003324A3"/>
    <w:pPr>
      <w:spacing w:after="100" w:line="264" w:lineRule="auto"/>
    </w:pPr>
    <w:rPr>
      <w:rFonts w:eastAsiaTheme="minorHAnsi"/>
      <w:lang w:eastAsia="en-US"/>
    </w:rPr>
    <w:tblPr>
      <w:tblStyleRowBandSize w:val="1"/>
      <w:tblStyleColBandSize w:val="1"/>
      <w:tblBorders>
        <w:top w:val="single" w:sz="8" w:space="0" w:color="DEDFE1" w:themeColor="accent4" w:themeTint="BF"/>
        <w:left w:val="single" w:sz="8" w:space="0" w:color="DEDFE1" w:themeColor="accent4" w:themeTint="BF"/>
        <w:bottom w:val="single" w:sz="8" w:space="0" w:color="DEDFE1" w:themeColor="accent4" w:themeTint="BF"/>
        <w:right w:val="single" w:sz="8" w:space="0" w:color="DEDFE1" w:themeColor="accent4" w:themeTint="BF"/>
        <w:insideH w:val="single" w:sz="8" w:space="0" w:color="DEDFE1" w:themeColor="accent4" w:themeTint="BF"/>
        <w:insideV w:val="single" w:sz="8" w:space="0" w:color="DEDFE1" w:themeColor="accent4" w:themeTint="BF"/>
      </w:tblBorders>
    </w:tblPr>
    <w:tcPr>
      <w:shd w:val="clear" w:color="auto" w:fill="F4F4F5" w:themeFill="accent4" w:themeFillTint="3F"/>
    </w:tcPr>
    <w:tblStylePr w:type="firstRow">
      <w:rPr>
        <w:b/>
        <w:bCs/>
      </w:rPr>
    </w:tblStylePr>
    <w:tblStylePr w:type="lastRow">
      <w:rPr>
        <w:b/>
        <w:bCs/>
      </w:rPr>
      <w:tblPr/>
      <w:tcPr>
        <w:tcBorders>
          <w:top w:val="single" w:sz="18" w:space="0" w:color="DEDFE1" w:themeColor="accent4" w:themeTint="BF"/>
        </w:tcBorders>
      </w:tcPr>
    </w:tblStylePr>
    <w:tblStylePr w:type="firstCol">
      <w:rPr>
        <w:b/>
        <w:bCs/>
      </w:rPr>
    </w:tblStylePr>
    <w:tblStylePr w:type="lastCol">
      <w:rPr>
        <w:b/>
        <w:bCs/>
      </w:rPr>
    </w:tblStylePr>
    <w:tblStylePr w:type="band1Vert">
      <w:tblPr/>
      <w:tcPr>
        <w:shd w:val="clear" w:color="auto" w:fill="E9E9EB" w:themeFill="accent4" w:themeFillTint="7F"/>
      </w:tcPr>
    </w:tblStylePr>
    <w:tblStylePr w:type="band1Horz">
      <w:tblPr/>
      <w:tcPr>
        <w:shd w:val="clear" w:color="auto" w:fill="E9E9EB" w:themeFill="accent4" w:themeFillTint="7F"/>
      </w:tcPr>
    </w:tblStylePr>
  </w:style>
  <w:style w:type="table" w:styleId="MediumGrid1-Accent5">
    <w:name w:val="Medium Grid 1 Accent 5"/>
    <w:basedOn w:val="TableNormal"/>
    <w:uiPriority w:val="67"/>
    <w:rsid w:val="003324A3"/>
    <w:pPr>
      <w:spacing w:after="100" w:line="264" w:lineRule="auto"/>
    </w:pPr>
    <w:rPr>
      <w:rFonts w:eastAsiaTheme="minorHAnsi"/>
      <w:lang w:eastAsia="en-US"/>
    </w:rPr>
    <w:tblPr>
      <w:tblStyleRowBandSize w:val="1"/>
      <w:tblStyleColBandSize w:val="1"/>
      <w:tblBorders>
        <w:top w:val="single" w:sz="8" w:space="0" w:color="16EFFF" w:themeColor="accent5" w:themeTint="BF"/>
        <w:left w:val="single" w:sz="8" w:space="0" w:color="16EFFF" w:themeColor="accent5" w:themeTint="BF"/>
        <w:bottom w:val="single" w:sz="8" w:space="0" w:color="16EFFF" w:themeColor="accent5" w:themeTint="BF"/>
        <w:right w:val="single" w:sz="8" w:space="0" w:color="16EFFF" w:themeColor="accent5" w:themeTint="BF"/>
        <w:insideH w:val="single" w:sz="8" w:space="0" w:color="16EFFF" w:themeColor="accent5" w:themeTint="BF"/>
        <w:insideV w:val="single" w:sz="8" w:space="0" w:color="16EFFF" w:themeColor="accent5" w:themeTint="BF"/>
      </w:tblBorders>
    </w:tblPr>
    <w:tcPr>
      <w:shd w:val="clear" w:color="auto" w:fill="B2F9FF" w:themeFill="accent5" w:themeFillTint="3F"/>
    </w:tcPr>
    <w:tblStylePr w:type="firstRow">
      <w:rPr>
        <w:b/>
        <w:bCs/>
      </w:rPr>
    </w:tblStylePr>
    <w:tblStylePr w:type="lastRow">
      <w:rPr>
        <w:b/>
        <w:bCs/>
      </w:rPr>
      <w:tblPr/>
      <w:tcPr>
        <w:tcBorders>
          <w:top w:val="single" w:sz="18" w:space="0" w:color="16EFFF" w:themeColor="accent5" w:themeTint="BF"/>
        </w:tcBorders>
      </w:tcPr>
    </w:tblStylePr>
    <w:tblStylePr w:type="firstCol">
      <w:rPr>
        <w:b/>
        <w:bCs/>
      </w:rPr>
    </w:tblStylePr>
    <w:tblStylePr w:type="lastCol">
      <w:rPr>
        <w:b/>
        <w:bCs/>
      </w:rPr>
    </w:tblStylePr>
    <w:tblStylePr w:type="band1Vert">
      <w:tblPr/>
      <w:tcPr>
        <w:shd w:val="clear" w:color="auto" w:fill="64F4FF" w:themeFill="accent5" w:themeFillTint="7F"/>
      </w:tcPr>
    </w:tblStylePr>
    <w:tblStylePr w:type="band1Horz">
      <w:tblPr/>
      <w:tcPr>
        <w:shd w:val="clear" w:color="auto" w:fill="64F4FF" w:themeFill="accent5" w:themeFillTint="7F"/>
      </w:tcPr>
    </w:tblStylePr>
  </w:style>
  <w:style w:type="table" w:styleId="MediumGrid1-Accent6">
    <w:name w:val="Medium Grid 1 Accent 6"/>
    <w:basedOn w:val="TableNormal"/>
    <w:uiPriority w:val="67"/>
    <w:rsid w:val="003324A3"/>
    <w:pPr>
      <w:spacing w:after="100" w:line="264" w:lineRule="auto"/>
    </w:pPr>
    <w:rPr>
      <w:rFonts w:eastAsiaTheme="minorHAnsi"/>
      <w:lang w:eastAsia="en-US"/>
    </w:rPr>
    <w:tblPr>
      <w:tblStyleRowBandSize w:val="1"/>
      <w:tblStyleColBandSize w:val="1"/>
      <w:tblBorders>
        <w:top w:val="single" w:sz="8" w:space="0" w:color="DEE887" w:themeColor="accent6" w:themeTint="BF"/>
        <w:left w:val="single" w:sz="8" w:space="0" w:color="DEE887" w:themeColor="accent6" w:themeTint="BF"/>
        <w:bottom w:val="single" w:sz="8" w:space="0" w:color="DEE887" w:themeColor="accent6" w:themeTint="BF"/>
        <w:right w:val="single" w:sz="8" w:space="0" w:color="DEE887" w:themeColor="accent6" w:themeTint="BF"/>
        <w:insideH w:val="single" w:sz="8" w:space="0" w:color="DEE887" w:themeColor="accent6" w:themeTint="BF"/>
        <w:insideV w:val="single" w:sz="8" w:space="0" w:color="DEE887" w:themeColor="accent6" w:themeTint="BF"/>
      </w:tblBorders>
    </w:tblPr>
    <w:tcPr>
      <w:shd w:val="clear" w:color="auto" w:fill="F4F7D7" w:themeFill="accent6" w:themeFillTint="3F"/>
    </w:tcPr>
    <w:tblStylePr w:type="firstRow">
      <w:rPr>
        <w:b/>
        <w:bCs/>
      </w:rPr>
    </w:tblStylePr>
    <w:tblStylePr w:type="lastRow">
      <w:rPr>
        <w:b/>
        <w:bCs/>
      </w:rPr>
      <w:tblPr/>
      <w:tcPr>
        <w:tcBorders>
          <w:top w:val="single" w:sz="18" w:space="0" w:color="DEE887" w:themeColor="accent6" w:themeTint="BF"/>
        </w:tcBorders>
      </w:tcPr>
    </w:tblStylePr>
    <w:tblStylePr w:type="firstCol">
      <w:rPr>
        <w:b/>
        <w:bCs/>
      </w:rPr>
    </w:tblStylePr>
    <w:tblStylePr w:type="lastCol">
      <w:rPr>
        <w:b/>
        <w:bCs/>
      </w:rPr>
    </w:tblStylePr>
    <w:tblStylePr w:type="band1Vert">
      <w:tblPr/>
      <w:tcPr>
        <w:shd w:val="clear" w:color="auto" w:fill="E9F0AF" w:themeFill="accent6" w:themeFillTint="7F"/>
      </w:tcPr>
    </w:tblStylePr>
    <w:tblStylePr w:type="band1Horz">
      <w:tblPr/>
      <w:tcPr>
        <w:shd w:val="clear" w:color="auto" w:fill="E9F0AF" w:themeFill="accent6" w:themeFillTint="7F"/>
      </w:tcPr>
    </w:tblStylePr>
  </w:style>
  <w:style w:type="table" w:styleId="MediumGrid2">
    <w:name w:val="Medium Grid 2"/>
    <w:basedOn w:val="TableNormal"/>
    <w:uiPriority w:val="68"/>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232B39" w:themeColor="text1"/>
        <w:left w:val="single" w:sz="8" w:space="0" w:color="232B39" w:themeColor="text1"/>
        <w:bottom w:val="single" w:sz="8" w:space="0" w:color="232B39" w:themeColor="text1"/>
        <w:right w:val="single" w:sz="8" w:space="0" w:color="232B39" w:themeColor="text1"/>
        <w:insideH w:val="single" w:sz="8" w:space="0" w:color="232B39" w:themeColor="text1"/>
        <w:insideV w:val="single" w:sz="8" w:space="0" w:color="232B39" w:themeColor="text1"/>
      </w:tblBorders>
    </w:tblPr>
    <w:tcPr>
      <w:shd w:val="clear" w:color="auto" w:fill="BFC7D7" w:themeFill="text1" w:themeFillTint="3F"/>
    </w:tcPr>
    <w:tblStylePr w:type="firstRow">
      <w:rPr>
        <w:b/>
        <w:bCs/>
        <w:color w:val="232B39" w:themeColor="text1"/>
      </w:rPr>
      <w:tblPr/>
      <w:tcPr>
        <w:shd w:val="clear" w:color="auto" w:fill="E5E9EF" w:themeFill="text1" w:themeFillTint="19"/>
      </w:tcPr>
    </w:tblStylePr>
    <w:tblStylePr w:type="lastRow">
      <w:rPr>
        <w:b/>
        <w:bCs/>
        <w:color w:val="232B39" w:themeColor="text1"/>
      </w:rPr>
      <w:tblPr/>
      <w:tcPr>
        <w:tcBorders>
          <w:top w:val="single" w:sz="12" w:space="0" w:color="232B39" w:themeColor="text1"/>
          <w:left w:val="nil"/>
          <w:bottom w:val="nil"/>
          <w:right w:val="nil"/>
          <w:insideH w:val="nil"/>
          <w:insideV w:val="nil"/>
        </w:tcBorders>
        <w:shd w:val="clear" w:color="auto" w:fill="FFFFFF" w:themeFill="background1"/>
      </w:tcPr>
    </w:tblStylePr>
    <w:tblStylePr w:type="firstCol">
      <w:rPr>
        <w:b/>
        <w:bCs/>
        <w:color w:val="232B3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B39" w:themeColor="text1"/>
      </w:rPr>
      <w:tblPr/>
      <w:tcPr>
        <w:tcBorders>
          <w:top w:val="nil"/>
          <w:left w:val="nil"/>
          <w:bottom w:val="nil"/>
          <w:right w:val="nil"/>
          <w:insideH w:val="nil"/>
          <w:insideV w:val="nil"/>
        </w:tcBorders>
        <w:shd w:val="clear" w:color="auto" w:fill="CBD2DF" w:themeFill="text1" w:themeFillTint="33"/>
      </w:tcPr>
    </w:tblStylePr>
    <w:tblStylePr w:type="band1Vert">
      <w:tblPr/>
      <w:tcPr>
        <w:shd w:val="clear" w:color="auto" w:fill="7D8FAF" w:themeFill="text1" w:themeFillTint="7F"/>
      </w:tcPr>
    </w:tblStylePr>
    <w:tblStylePr w:type="band1Horz">
      <w:tblPr/>
      <w:tcPr>
        <w:tcBorders>
          <w:insideH w:val="single" w:sz="6" w:space="0" w:color="232B39" w:themeColor="text1"/>
          <w:insideV w:val="single" w:sz="6" w:space="0" w:color="232B39" w:themeColor="text1"/>
        </w:tcBorders>
        <w:shd w:val="clear" w:color="auto" w:fill="7D8FA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insideH w:val="single" w:sz="8" w:space="0" w:color="87189D" w:themeColor="accent1"/>
        <w:insideV w:val="single" w:sz="8" w:space="0" w:color="87189D" w:themeColor="accent1"/>
      </w:tblBorders>
    </w:tblPr>
    <w:tcPr>
      <w:shd w:val="clear" w:color="auto" w:fill="EAB8F4" w:themeFill="accent1" w:themeFillTint="3F"/>
    </w:tcPr>
    <w:tblStylePr w:type="firstRow">
      <w:rPr>
        <w:b/>
        <w:bCs/>
        <w:color w:val="232B39" w:themeColor="text1"/>
      </w:rPr>
      <w:tblPr/>
      <w:tcPr>
        <w:shd w:val="clear" w:color="auto" w:fill="F6E2FA" w:themeFill="accent1" w:themeFillTint="19"/>
      </w:tcPr>
    </w:tblStylePr>
    <w:tblStylePr w:type="lastRow">
      <w:rPr>
        <w:b/>
        <w:bCs/>
        <w:color w:val="232B39" w:themeColor="text1"/>
      </w:rPr>
      <w:tblPr/>
      <w:tcPr>
        <w:tcBorders>
          <w:top w:val="single" w:sz="12" w:space="0" w:color="232B39" w:themeColor="text1"/>
          <w:left w:val="nil"/>
          <w:bottom w:val="nil"/>
          <w:right w:val="nil"/>
          <w:insideH w:val="nil"/>
          <w:insideV w:val="nil"/>
        </w:tcBorders>
        <w:shd w:val="clear" w:color="auto" w:fill="FFFFFF" w:themeFill="background1"/>
      </w:tcPr>
    </w:tblStylePr>
    <w:tblStylePr w:type="firstCol">
      <w:rPr>
        <w:b/>
        <w:bCs/>
        <w:color w:val="232B3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B39" w:themeColor="text1"/>
      </w:rPr>
      <w:tblPr/>
      <w:tcPr>
        <w:tcBorders>
          <w:top w:val="nil"/>
          <w:left w:val="nil"/>
          <w:bottom w:val="nil"/>
          <w:right w:val="nil"/>
          <w:insideH w:val="nil"/>
          <w:insideV w:val="nil"/>
        </w:tcBorders>
        <w:shd w:val="clear" w:color="auto" w:fill="EEC5F6" w:themeFill="accent1" w:themeFillTint="33"/>
      </w:tcPr>
    </w:tblStylePr>
    <w:tblStylePr w:type="band1Vert">
      <w:tblPr/>
      <w:tcPr>
        <w:shd w:val="clear" w:color="auto" w:fill="D470E9" w:themeFill="accent1" w:themeFillTint="7F"/>
      </w:tcPr>
    </w:tblStylePr>
    <w:tblStylePr w:type="band1Horz">
      <w:tblPr/>
      <w:tcPr>
        <w:tcBorders>
          <w:insideH w:val="single" w:sz="6" w:space="0" w:color="87189D" w:themeColor="accent1"/>
          <w:insideV w:val="single" w:sz="6" w:space="0" w:color="87189D" w:themeColor="accent1"/>
        </w:tcBorders>
        <w:shd w:val="clear" w:color="auto" w:fill="D470E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AB5DBA" w:themeColor="accent2"/>
        <w:left w:val="single" w:sz="8" w:space="0" w:color="AB5DBA" w:themeColor="accent2"/>
        <w:bottom w:val="single" w:sz="8" w:space="0" w:color="AB5DBA" w:themeColor="accent2"/>
        <w:right w:val="single" w:sz="8" w:space="0" w:color="AB5DBA" w:themeColor="accent2"/>
        <w:insideH w:val="single" w:sz="8" w:space="0" w:color="AB5DBA" w:themeColor="accent2"/>
        <w:insideV w:val="single" w:sz="8" w:space="0" w:color="AB5DBA" w:themeColor="accent2"/>
      </w:tblBorders>
    </w:tblPr>
    <w:tcPr>
      <w:shd w:val="clear" w:color="auto" w:fill="EAD6EE" w:themeFill="accent2" w:themeFillTint="3F"/>
    </w:tcPr>
    <w:tblStylePr w:type="firstRow">
      <w:rPr>
        <w:b/>
        <w:bCs/>
        <w:color w:val="232B39" w:themeColor="text1"/>
      </w:rPr>
      <w:tblPr/>
      <w:tcPr>
        <w:shd w:val="clear" w:color="auto" w:fill="F6EFF8" w:themeFill="accent2" w:themeFillTint="19"/>
      </w:tcPr>
    </w:tblStylePr>
    <w:tblStylePr w:type="lastRow">
      <w:rPr>
        <w:b/>
        <w:bCs/>
        <w:color w:val="232B39" w:themeColor="text1"/>
      </w:rPr>
      <w:tblPr/>
      <w:tcPr>
        <w:tcBorders>
          <w:top w:val="single" w:sz="12" w:space="0" w:color="232B39" w:themeColor="text1"/>
          <w:left w:val="nil"/>
          <w:bottom w:val="nil"/>
          <w:right w:val="nil"/>
          <w:insideH w:val="nil"/>
          <w:insideV w:val="nil"/>
        </w:tcBorders>
        <w:shd w:val="clear" w:color="auto" w:fill="FFFFFF" w:themeFill="background1"/>
      </w:tcPr>
    </w:tblStylePr>
    <w:tblStylePr w:type="firstCol">
      <w:rPr>
        <w:b/>
        <w:bCs/>
        <w:color w:val="232B3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B39" w:themeColor="text1"/>
      </w:rPr>
      <w:tblPr/>
      <w:tcPr>
        <w:tcBorders>
          <w:top w:val="nil"/>
          <w:left w:val="nil"/>
          <w:bottom w:val="nil"/>
          <w:right w:val="nil"/>
          <w:insideH w:val="nil"/>
          <w:insideV w:val="nil"/>
        </w:tcBorders>
        <w:shd w:val="clear" w:color="auto" w:fill="EEDEF1" w:themeFill="accent2" w:themeFillTint="33"/>
      </w:tcPr>
    </w:tblStylePr>
    <w:tblStylePr w:type="band1Vert">
      <w:tblPr/>
      <w:tcPr>
        <w:shd w:val="clear" w:color="auto" w:fill="D4AEDC" w:themeFill="accent2" w:themeFillTint="7F"/>
      </w:tcPr>
    </w:tblStylePr>
    <w:tblStylePr w:type="band1Horz">
      <w:tblPr/>
      <w:tcPr>
        <w:tcBorders>
          <w:insideH w:val="single" w:sz="6" w:space="0" w:color="AB5DBA" w:themeColor="accent2"/>
          <w:insideV w:val="single" w:sz="6" w:space="0" w:color="AB5DBA" w:themeColor="accent2"/>
        </w:tcBorders>
        <w:shd w:val="clear" w:color="auto" w:fill="D4AED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642667" w:themeColor="accent3"/>
        <w:left w:val="single" w:sz="8" w:space="0" w:color="642667" w:themeColor="accent3"/>
        <w:bottom w:val="single" w:sz="8" w:space="0" w:color="642667" w:themeColor="accent3"/>
        <w:right w:val="single" w:sz="8" w:space="0" w:color="642667" w:themeColor="accent3"/>
        <w:insideH w:val="single" w:sz="8" w:space="0" w:color="642667" w:themeColor="accent3"/>
        <w:insideV w:val="single" w:sz="8" w:space="0" w:color="642667" w:themeColor="accent3"/>
      </w:tblBorders>
    </w:tblPr>
    <w:tcPr>
      <w:shd w:val="clear" w:color="auto" w:fill="E4BCE6" w:themeFill="accent3" w:themeFillTint="3F"/>
    </w:tcPr>
    <w:tblStylePr w:type="firstRow">
      <w:rPr>
        <w:b/>
        <w:bCs/>
        <w:color w:val="232B39" w:themeColor="text1"/>
      </w:rPr>
      <w:tblPr/>
      <w:tcPr>
        <w:shd w:val="clear" w:color="auto" w:fill="F4E4F5" w:themeFill="accent3" w:themeFillTint="19"/>
      </w:tcPr>
    </w:tblStylePr>
    <w:tblStylePr w:type="lastRow">
      <w:rPr>
        <w:b/>
        <w:bCs/>
        <w:color w:val="232B39" w:themeColor="text1"/>
      </w:rPr>
      <w:tblPr/>
      <w:tcPr>
        <w:tcBorders>
          <w:top w:val="single" w:sz="12" w:space="0" w:color="232B39" w:themeColor="text1"/>
          <w:left w:val="nil"/>
          <w:bottom w:val="nil"/>
          <w:right w:val="nil"/>
          <w:insideH w:val="nil"/>
          <w:insideV w:val="nil"/>
        </w:tcBorders>
        <w:shd w:val="clear" w:color="auto" w:fill="FFFFFF" w:themeFill="background1"/>
      </w:tcPr>
    </w:tblStylePr>
    <w:tblStylePr w:type="firstCol">
      <w:rPr>
        <w:b/>
        <w:bCs/>
        <w:color w:val="232B3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B39" w:themeColor="text1"/>
      </w:rPr>
      <w:tblPr/>
      <w:tcPr>
        <w:tcBorders>
          <w:top w:val="nil"/>
          <w:left w:val="nil"/>
          <w:bottom w:val="nil"/>
          <w:right w:val="nil"/>
          <w:insideH w:val="nil"/>
          <w:insideV w:val="nil"/>
        </w:tcBorders>
        <w:shd w:val="clear" w:color="auto" w:fill="E9C8EB" w:themeFill="accent3" w:themeFillTint="33"/>
      </w:tcPr>
    </w:tblStylePr>
    <w:tblStylePr w:type="band1Vert">
      <w:tblPr/>
      <w:tcPr>
        <w:shd w:val="clear" w:color="auto" w:fill="C978CD" w:themeFill="accent3" w:themeFillTint="7F"/>
      </w:tcPr>
    </w:tblStylePr>
    <w:tblStylePr w:type="band1Horz">
      <w:tblPr/>
      <w:tcPr>
        <w:tcBorders>
          <w:insideH w:val="single" w:sz="6" w:space="0" w:color="642667" w:themeColor="accent3"/>
          <w:insideV w:val="single" w:sz="6" w:space="0" w:color="642667" w:themeColor="accent3"/>
        </w:tcBorders>
        <w:shd w:val="clear" w:color="auto" w:fill="C978C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insideH w:val="single" w:sz="8" w:space="0" w:color="D3D5D7" w:themeColor="accent4"/>
        <w:insideV w:val="single" w:sz="8" w:space="0" w:color="D3D5D7" w:themeColor="accent4"/>
      </w:tblBorders>
    </w:tblPr>
    <w:tcPr>
      <w:shd w:val="clear" w:color="auto" w:fill="F4F4F5" w:themeFill="accent4" w:themeFillTint="3F"/>
    </w:tcPr>
    <w:tblStylePr w:type="firstRow">
      <w:rPr>
        <w:b/>
        <w:bCs/>
        <w:color w:val="232B39" w:themeColor="text1"/>
      </w:rPr>
      <w:tblPr/>
      <w:tcPr>
        <w:shd w:val="clear" w:color="auto" w:fill="FAFAFB" w:themeFill="accent4" w:themeFillTint="19"/>
      </w:tcPr>
    </w:tblStylePr>
    <w:tblStylePr w:type="lastRow">
      <w:rPr>
        <w:b/>
        <w:bCs/>
        <w:color w:val="232B39" w:themeColor="text1"/>
      </w:rPr>
      <w:tblPr/>
      <w:tcPr>
        <w:tcBorders>
          <w:top w:val="single" w:sz="12" w:space="0" w:color="232B39" w:themeColor="text1"/>
          <w:left w:val="nil"/>
          <w:bottom w:val="nil"/>
          <w:right w:val="nil"/>
          <w:insideH w:val="nil"/>
          <w:insideV w:val="nil"/>
        </w:tcBorders>
        <w:shd w:val="clear" w:color="auto" w:fill="FFFFFF" w:themeFill="background1"/>
      </w:tcPr>
    </w:tblStylePr>
    <w:tblStylePr w:type="firstCol">
      <w:rPr>
        <w:b/>
        <w:bCs/>
        <w:color w:val="232B3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B39" w:themeColor="text1"/>
      </w:rPr>
      <w:tblPr/>
      <w:tcPr>
        <w:tcBorders>
          <w:top w:val="nil"/>
          <w:left w:val="nil"/>
          <w:bottom w:val="nil"/>
          <w:right w:val="nil"/>
          <w:insideH w:val="nil"/>
          <w:insideV w:val="nil"/>
        </w:tcBorders>
        <w:shd w:val="clear" w:color="auto" w:fill="F6F6F7" w:themeFill="accent4" w:themeFillTint="33"/>
      </w:tcPr>
    </w:tblStylePr>
    <w:tblStylePr w:type="band1Vert">
      <w:tblPr/>
      <w:tcPr>
        <w:shd w:val="clear" w:color="auto" w:fill="E9E9EB" w:themeFill="accent4" w:themeFillTint="7F"/>
      </w:tcPr>
    </w:tblStylePr>
    <w:tblStylePr w:type="band1Horz">
      <w:tblPr/>
      <w:tcPr>
        <w:tcBorders>
          <w:insideH w:val="single" w:sz="6" w:space="0" w:color="D3D5D7" w:themeColor="accent4"/>
          <w:insideV w:val="single" w:sz="6" w:space="0" w:color="D3D5D7" w:themeColor="accent4"/>
        </w:tcBorders>
        <w:shd w:val="clear" w:color="auto" w:fill="E9E9E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00BAC7" w:themeColor="accent5"/>
        <w:left w:val="single" w:sz="8" w:space="0" w:color="00BAC7" w:themeColor="accent5"/>
        <w:bottom w:val="single" w:sz="8" w:space="0" w:color="00BAC7" w:themeColor="accent5"/>
        <w:right w:val="single" w:sz="8" w:space="0" w:color="00BAC7" w:themeColor="accent5"/>
        <w:insideH w:val="single" w:sz="8" w:space="0" w:color="00BAC7" w:themeColor="accent5"/>
        <w:insideV w:val="single" w:sz="8" w:space="0" w:color="00BAC7" w:themeColor="accent5"/>
      </w:tblBorders>
    </w:tblPr>
    <w:tcPr>
      <w:shd w:val="clear" w:color="auto" w:fill="B2F9FF" w:themeFill="accent5" w:themeFillTint="3F"/>
    </w:tcPr>
    <w:tblStylePr w:type="firstRow">
      <w:rPr>
        <w:b/>
        <w:bCs/>
        <w:color w:val="232B39" w:themeColor="text1"/>
      </w:rPr>
      <w:tblPr/>
      <w:tcPr>
        <w:shd w:val="clear" w:color="auto" w:fill="E0FCFF" w:themeFill="accent5" w:themeFillTint="19"/>
      </w:tcPr>
    </w:tblStylePr>
    <w:tblStylePr w:type="lastRow">
      <w:rPr>
        <w:b/>
        <w:bCs/>
        <w:color w:val="232B39" w:themeColor="text1"/>
      </w:rPr>
      <w:tblPr/>
      <w:tcPr>
        <w:tcBorders>
          <w:top w:val="single" w:sz="12" w:space="0" w:color="232B39" w:themeColor="text1"/>
          <w:left w:val="nil"/>
          <w:bottom w:val="nil"/>
          <w:right w:val="nil"/>
          <w:insideH w:val="nil"/>
          <w:insideV w:val="nil"/>
        </w:tcBorders>
        <w:shd w:val="clear" w:color="auto" w:fill="FFFFFF" w:themeFill="background1"/>
      </w:tcPr>
    </w:tblStylePr>
    <w:tblStylePr w:type="firstCol">
      <w:rPr>
        <w:b/>
        <w:bCs/>
        <w:color w:val="232B3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B39" w:themeColor="text1"/>
      </w:rPr>
      <w:tblPr/>
      <w:tcPr>
        <w:tcBorders>
          <w:top w:val="nil"/>
          <w:left w:val="nil"/>
          <w:bottom w:val="nil"/>
          <w:right w:val="nil"/>
          <w:insideH w:val="nil"/>
          <w:insideV w:val="nil"/>
        </w:tcBorders>
        <w:shd w:val="clear" w:color="auto" w:fill="C0FAFF" w:themeFill="accent5" w:themeFillTint="33"/>
      </w:tcPr>
    </w:tblStylePr>
    <w:tblStylePr w:type="band1Vert">
      <w:tblPr/>
      <w:tcPr>
        <w:shd w:val="clear" w:color="auto" w:fill="64F4FF" w:themeFill="accent5" w:themeFillTint="7F"/>
      </w:tcPr>
    </w:tblStylePr>
    <w:tblStylePr w:type="band1Horz">
      <w:tblPr/>
      <w:tcPr>
        <w:tcBorders>
          <w:insideH w:val="single" w:sz="6" w:space="0" w:color="00BAC7" w:themeColor="accent5"/>
          <w:insideV w:val="single" w:sz="6" w:space="0" w:color="00BAC7" w:themeColor="accent5"/>
        </w:tcBorders>
        <w:shd w:val="clear" w:color="auto" w:fill="64F4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D4E15F" w:themeColor="accent6"/>
        <w:left w:val="single" w:sz="8" w:space="0" w:color="D4E15F" w:themeColor="accent6"/>
        <w:bottom w:val="single" w:sz="8" w:space="0" w:color="D4E15F" w:themeColor="accent6"/>
        <w:right w:val="single" w:sz="8" w:space="0" w:color="D4E15F" w:themeColor="accent6"/>
        <w:insideH w:val="single" w:sz="8" w:space="0" w:color="D4E15F" w:themeColor="accent6"/>
        <w:insideV w:val="single" w:sz="8" w:space="0" w:color="D4E15F" w:themeColor="accent6"/>
      </w:tblBorders>
    </w:tblPr>
    <w:tcPr>
      <w:shd w:val="clear" w:color="auto" w:fill="F4F7D7" w:themeFill="accent6" w:themeFillTint="3F"/>
    </w:tcPr>
    <w:tblStylePr w:type="firstRow">
      <w:rPr>
        <w:b/>
        <w:bCs/>
        <w:color w:val="232B39" w:themeColor="text1"/>
      </w:rPr>
      <w:tblPr/>
      <w:tcPr>
        <w:shd w:val="clear" w:color="auto" w:fill="FAFCEF" w:themeFill="accent6" w:themeFillTint="19"/>
      </w:tcPr>
    </w:tblStylePr>
    <w:tblStylePr w:type="lastRow">
      <w:rPr>
        <w:b/>
        <w:bCs/>
        <w:color w:val="232B39" w:themeColor="text1"/>
      </w:rPr>
      <w:tblPr/>
      <w:tcPr>
        <w:tcBorders>
          <w:top w:val="single" w:sz="12" w:space="0" w:color="232B39" w:themeColor="text1"/>
          <w:left w:val="nil"/>
          <w:bottom w:val="nil"/>
          <w:right w:val="nil"/>
          <w:insideH w:val="nil"/>
          <w:insideV w:val="nil"/>
        </w:tcBorders>
        <w:shd w:val="clear" w:color="auto" w:fill="FFFFFF" w:themeFill="background1"/>
      </w:tcPr>
    </w:tblStylePr>
    <w:tblStylePr w:type="firstCol">
      <w:rPr>
        <w:b/>
        <w:bCs/>
        <w:color w:val="232B39"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B39" w:themeColor="text1"/>
      </w:rPr>
      <w:tblPr/>
      <w:tcPr>
        <w:tcBorders>
          <w:top w:val="nil"/>
          <w:left w:val="nil"/>
          <w:bottom w:val="nil"/>
          <w:right w:val="nil"/>
          <w:insideH w:val="nil"/>
          <w:insideV w:val="nil"/>
        </w:tcBorders>
        <w:shd w:val="clear" w:color="auto" w:fill="F6F9DF" w:themeFill="accent6" w:themeFillTint="33"/>
      </w:tcPr>
    </w:tblStylePr>
    <w:tblStylePr w:type="band1Vert">
      <w:tblPr/>
      <w:tcPr>
        <w:shd w:val="clear" w:color="auto" w:fill="E9F0AF" w:themeFill="accent6" w:themeFillTint="7F"/>
      </w:tcPr>
    </w:tblStylePr>
    <w:tblStylePr w:type="band1Horz">
      <w:tblPr/>
      <w:tcPr>
        <w:tcBorders>
          <w:insideH w:val="single" w:sz="6" w:space="0" w:color="D4E15F" w:themeColor="accent6"/>
          <w:insideV w:val="single" w:sz="6" w:space="0" w:color="D4E15F" w:themeColor="accent6"/>
        </w:tcBorders>
        <w:shd w:val="clear" w:color="auto" w:fill="E9F0A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3324A3"/>
    <w:pPr>
      <w:spacing w:after="100" w:line="264"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C7D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B39"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B39"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B39"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B39"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8FA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8FAF" w:themeFill="text1" w:themeFillTint="7F"/>
      </w:tcPr>
    </w:tblStylePr>
  </w:style>
  <w:style w:type="table" w:styleId="MediumGrid3-Accent1">
    <w:name w:val="Medium Grid 3 Accent 1"/>
    <w:basedOn w:val="TableNormal"/>
    <w:uiPriority w:val="69"/>
    <w:rsid w:val="003324A3"/>
    <w:pPr>
      <w:spacing w:after="100" w:line="264"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B8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7189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7189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7189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7189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70E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70E9" w:themeFill="accent1" w:themeFillTint="7F"/>
      </w:tcPr>
    </w:tblStylePr>
  </w:style>
  <w:style w:type="table" w:styleId="MediumGrid3-Accent2">
    <w:name w:val="Medium Grid 3 Accent 2"/>
    <w:basedOn w:val="TableNormal"/>
    <w:uiPriority w:val="69"/>
    <w:rsid w:val="003324A3"/>
    <w:pPr>
      <w:spacing w:after="100" w:line="264"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D6E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5DB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5DB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5DB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5DB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AED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AEDC" w:themeFill="accent2" w:themeFillTint="7F"/>
      </w:tcPr>
    </w:tblStylePr>
  </w:style>
  <w:style w:type="table" w:styleId="MediumGrid3-Accent3">
    <w:name w:val="Medium Grid 3 Accent 3"/>
    <w:basedOn w:val="TableNormal"/>
    <w:uiPriority w:val="69"/>
    <w:rsid w:val="003324A3"/>
    <w:pPr>
      <w:spacing w:after="100" w:line="264"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BCE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26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26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26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26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78C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78CD" w:themeFill="accent3" w:themeFillTint="7F"/>
      </w:tcPr>
    </w:tblStylePr>
  </w:style>
  <w:style w:type="table" w:styleId="MediumGrid3-Accent4">
    <w:name w:val="Medium Grid 3 Accent 4"/>
    <w:basedOn w:val="TableNormal"/>
    <w:uiPriority w:val="69"/>
    <w:rsid w:val="003324A3"/>
    <w:pPr>
      <w:spacing w:after="100" w:line="264"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4F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D5D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D5D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D5D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D5D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E9E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E9EB" w:themeFill="accent4" w:themeFillTint="7F"/>
      </w:tcPr>
    </w:tblStylePr>
  </w:style>
  <w:style w:type="table" w:styleId="MediumGrid3-Accent5">
    <w:name w:val="Medium Grid 3 Accent 5"/>
    <w:basedOn w:val="TableNormal"/>
    <w:uiPriority w:val="69"/>
    <w:rsid w:val="003324A3"/>
    <w:pPr>
      <w:spacing w:after="100" w:line="264"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9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AC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AC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AC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AC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F4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F4FF" w:themeFill="accent5" w:themeFillTint="7F"/>
      </w:tcPr>
    </w:tblStylePr>
  </w:style>
  <w:style w:type="table" w:styleId="MediumGrid3-Accent6">
    <w:name w:val="Medium Grid 3 Accent 6"/>
    <w:basedOn w:val="TableNormal"/>
    <w:uiPriority w:val="69"/>
    <w:rsid w:val="003324A3"/>
    <w:pPr>
      <w:spacing w:after="100" w:line="264" w:lineRule="auto"/>
    </w:pPr>
    <w:rPr>
      <w:rFonts w:eastAsiaTheme="minorHAnsi"/>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F7D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E15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E15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E15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E15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9F0A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9F0AF" w:themeFill="accent6" w:themeFillTint="7F"/>
      </w:tcPr>
    </w:tblStylePr>
  </w:style>
  <w:style w:type="table" w:styleId="MediumList1">
    <w:name w:val="Medium List 1"/>
    <w:basedOn w:val="TableNormal"/>
    <w:uiPriority w:val="65"/>
    <w:rsid w:val="003324A3"/>
    <w:pPr>
      <w:spacing w:after="100" w:line="264" w:lineRule="auto"/>
    </w:pPr>
    <w:rPr>
      <w:rFonts w:eastAsiaTheme="minorHAnsi"/>
      <w:color w:val="232B39" w:themeColor="text1"/>
      <w:lang w:eastAsia="en-US"/>
    </w:rPr>
    <w:tblPr>
      <w:tblStyleRowBandSize w:val="1"/>
      <w:tblStyleColBandSize w:val="1"/>
      <w:tblBorders>
        <w:top w:val="single" w:sz="8" w:space="0" w:color="232B39" w:themeColor="text1"/>
        <w:bottom w:val="single" w:sz="8" w:space="0" w:color="232B39" w:themeColor="text1"/>
      </w:tblBorders>
    </w:tblPr>
    <w:tblStylePr w:type="firstRow">
      <w:rPr>
        <w:rFonts w:asciiTheme="majorHAnsi" w:eastAsiaTheme="majorEastAsia" w:hAnsiTheme="majorHAnsi" w:cstheme="majorBidi"/>
      </w:rPr>
      <w:tblPr/>
      <w:tcPr>
        <w:tcBorders>
          <w:top w:val="nil"/>
          <w:bottom w:val="single" w:sz="8" w:space="0" w:color="232B39" w:themeColor="text1"/>
        </w:tcBorders>
      </w:tcPr>
    </w:tblStylePr>
    <w:tblStylePr w:type="lastRow">
      <w:rPr>
        <w:b/>
        <w:bCs/>
        <w:color w:val="3A3467" w:themeColor="text2"/>
      </w:rPr>
      <w:tblPr/>
      <w:tcPr>
        <w:tcBorders>
          <w:top w:val="single" w:sz="8" w:space="0" w:color="232B39" w:themeColor="text1"/>
          <w:bottom w:val="single" w:sz="8" w:space="0" w:color="232B39" w:themeColor="text1"/>
        </w:tcBorders>
      </w:tcPr>
    </w:tblStylePr>
    <w:tblStylePr w:type="firstCol">
      <w:rPr>
        <w:b/>
        <w:bCs/>
      </w:rPr>
    </w:tblStylePr>
    <w:tblStylePr w:type="lastCol">
      <w:rPr>
        <w:b/>
        <w:bCs/>
      </w:rPr>
      <w:tblPr/>
      <w:tcPr>
        <w:tcBorders>
          <w:top w:val="single" w:sz="8" w:space="0" w:color="232B39" w:themeColor="text1"/>
          <w:bottom w:val="single" w:sz="8" w:space="0" w:color="232B39" w:themeColor="text1"/>
        </w:tcBorders>
      </w:tcPr>
    </w:tblStylePr>
    <w:tblStylePr w:type="band1Vert">
      <w:tblPr/>
      <w:tcPr>
        <w:shd w:val="clear" w:color="auto" w:fill="BFC7D7" w:themeFill="text1" w:themeFillTint="3F"/>
      </w:tcPr>
    </w:tblStylePr>
    <w:tblStylePr w:type="band1Horz">
      <w:tblPr/>
      <w:tcPr>
        <w:shd w:val="clear" w:color="auto" w:fill="BFC7D7" w:themeFill="text1" w:themeFillTint="3F"/>
      </w:tcPr>
    </w:tblStylePr>
  </w:style>
  <w:style w:type="table" w:styleId="MediumList1-Accent1">
    <w:name w:val="Medium List 1 Accent 1"/>
    <w:basedOn w:val="TableNormal"/>
    <w:uiPriority w:val="65"/>
    <w:rsid w:val="003324A3"/>
    <w:pPr>
      <w:spacing w:after="100" w:line="264" w:lineRule="auto"/>
    </w:pPr>
    <w:rPr>
      <w:rFonts w:eastAsiaTheme="minorHAnsi"/>
      <w:color w:val="232B39" w:themeColor="text1"/>
      <w:lang w:eastAsia="en-US"/>
    </w:rPr>
    <w:tblPr>
      <w:tblStyleRowBandSize w:val="1"/>
      <w:tblStyleColBandSize w:val="1"/>
      <w:tblBorders>
        <w:top w:val="single" w:sz="8" w:space="0" w:color="87189D" w:themeColor="accent1"/>
        <w:bottom w:val="single" w:sz="8" w:space="0" w:color="87189D" w:themeColor="accent1"/>
      </w:tblBorders>
    </w:tblPr>
    <w:tblStylePr w:type="firstRow">
      <w:rPr>
        <w:rFonts w:asciiTheme="majorHAnsi" w:eastAsiaTheme="majorEastAsia" w:hAnsiTheme="majorHAnsi" w:cstheme="majorBidi"/>
      </w:rPr>
      <w:tblPr/>
      <w:tcPr>
        <w:tcBorders>
          <w:top w:val="nil"/>
          <w:bottom w:val="single" w:sz="8" w:space="0" w:color="87189D" w:themeColor="accent1"/>
        </w:tcBorders>
      </w:tcPr>
    </w:tblStylePr>
    <w:tblStylePr w:type="lastRow">
      <w:rPr>
        <w:b/>
        <w:bCs/>
        <w:color w:val="3A3467" w:themeColor="text2"/>
      </w:rPr>
      <w:tblPr/>
      <w:tcPr>
        <w:tcBorders>
          <w:top w:val="single" w:sz="8" w:space="0" w:color="87189D" w:themeColor="accent1"/>
          <w:bottom w:val="single" w:sz="8" w:space="0" w:color="87189D" w:themeColor="accent1"/>
        </w:tcBorders>
      </w:tcPr>
    </w:tblStylePr>
    <w:tblStylePr w:type="firstCol">
      <w:rPr>
        <w:b/>
        <w:bCs/>
      </w:rPr>
    </w:tblStylePr>
    <w:tblStylePr w:type="lastCol">
      <w:rPr>
        <w:b/>
        <w:bCs/>
      </w:rPr>
      <w:tblPr/>
      <w:tcPr>
        <w:tcBorders>
          <w:top w:val="single" w:sz="8" w:space="0" w:color="87189D" w:themeColor="accent1"/>
          <w:bottom w:val="single" w:sz="8" w:space="0" w:color="87189D" w:themeColor="accent1"/>
        </w:tcBorders>
      </w:tcPr>
    </w:tblStylePr>
    <w:tblStylePr w:type="band1Vert">
      <w:tblPr/>
      <w:tcPr>
        <w:shd w:val="clear" w:color="auto" w:fill="EAB8F4" w:themeFill="accent1" w:themeFillTint="3F"/>
      </w:tcPr>
    </w:tblStylePr>
    <w:tblStylePr w:type="band1Horz">
      <w:tblPr/>
      <w:tcPr>
        <w:shd w:val="clear" w:color="auto" w:fill="EAB8F4" w:themeFill="accent1" w:themeFillTint="3F"/>
      </w:tcPr>
    </w:tblStylePr>
  </w:style>
  <w:style w:type="table" w:styleId="MediumList1-Accent2">
    <w:name w:val="Medium List 1 Accent 2"/>
    <w:basedOn w:val="TableNormal"/>
    <w:uiPriority w:val="65"/>
    <w:rsid w:val="003324A3"/>
    <w:pPr>
      <w:spacing w:after="100" w:line="264" w:lineRule="auto"/>
    </w:pPr>
    <w:rPr>
      <w:rFonts w:eastAsiaTheme="minorHAnsi"/>
      <w:color w:val="232B39" w:themeColor="text1"/>
      <w:lang w:eastAsia="en-US"/>
    </w:rPr>
    <w:tblPr>
      <w:tblStyleRowBandSize w:val="1"/>
      <w:tblStyleColBandSize w:val="1"/>
      <w:tblBorders>
        <w:top w:val="single" w:sz="8" w:space="0" w:color="AB5DBA" w:themeColor="accent2"/>
        <w:bottom w:val="single" w:sz="8" w:space="0" w:color="AB5DBA" w:themeColor="accent2"/>
      </w:tblBorders>
    </w:tblPr>
    <w:tblStylePr w:type="firstRow">
      <w:rPr>
        <w:rFonts w:asciiTheme="majorHAnsi" w:eastAsiaTheme="majorEastAsia" w:hAnsiTheme="majorHAnsi" w:cstheme="majorBidi"/>
      </w:rPr>
      <w:tblPr/>
      <w:tcPr>
        <w:tcBorders>
          <w:top w:val="nil"/>
          <w:bottom w:val="single" w:sz="8" w:space="0" w:color="AB5DBA" w:themeColor="accent2"/>
        </w:tcBorders>
      </w:tcPr>
    </w:tblStylePr>
    <w:tblStylePr w:type="lastRow">
      <w:rPr>
        <w:b/>
        <w:bCs/>
        <w:color w:val="3A3467" w:themeColor="text2"/>
      </w:rPr>
      <w:tblPr/>
      <w:tcPr>
        <w:tcBorders>
          <w:top w:val="single" w:sz="8" w:space="0" w:color="AB5DBA" w:themeColor="accent2"/>
          <w:bottom w:val="single" w:sz="8" w:space="0" w:color="AB5DBA" w:themeColor="accent2"/>
        </w:tcBorders>
      </w:tcPr>
    </w:tblStylePr>
    <w:tblStylePr w:type="firstCol">
      <w:rPr>
        <w:b/>
        <w:bCs/>
      </w:rPr>
    </w:tblStylePr>
    <w:tblStylePr w:type="lastCol">
      <w:rPr>
        <w:b/>
        <w:bCs/>
      </w:rPr>
      <w:tblPr/>
      <w:tcPr>
        <w:tcBorders>
          <w:top w:val="single" w:sz="8" w:space="0" w:color="AB5DBA" w:themeColor="accent2"/>
          <w:bottom w:val="single" w:sz="8" w:space="0" w:color="AB5DBA" w:themeColor="accent2"/>
        </w:tcBorders>
      </w:tcPr>
    </w:tblStylePr>
    <w:tblStylePr w:type="band1Vert">
      <w:tblPr/>
      <w:tcPr>
        <w:shd w:val="clear" w:color="auto" w:fill="EAD6EE" w:themeFill="accent2" w:themeFillTint="3F"/>
      </w:tcPr>
    </w:tblStylePr>
    <w:tblStylePr w:type="band1Horz">
      <w:tblPr/>
      <w:tcPr>
        <w:shd w:val="clear" w:color="auto" w:fill="EAD6EE" w:themeFill="accent2" w:themeFillTint="3F"/>
      </w:tcPr>
    </w:tblStylePr>
  </w:style>
  <w:style w:type="table" w:styleId="MediumList1-Accent3">
    <w:name w:val="Medium List 1 Accent 3"/>
    <w:basedOn w:val="TableNormal"/>
    <w:uiPriority w:val="65"/>
    <w:rsid w:val="003324A3"/>
    <w:pPr>
      <w:spacing w:after="100" w:line="264" w:lineRule="auto"/>
    </w:pPr>
    <w:rPr>
      <w:rFonts w:eastAsiaTheme="minorHAnsi"/>
      <w:color w:val="232B39" w:themeColor="text1"/>
      <w:lang w:eastAsia="en-US"/>
    </w:rPr>
    <w:tblPr>
      <w:tblStyleRowBandSize w:val="1"/>
      <w:tblStyleColBandSize w:val="1"/>
      <w:tblBorders>
        <w:top w:val="single" w:sz="8" w:space="0" w:color="642667" w:themeColor="accent3"/>
        <w:bottom w:val="single" w:sz="8" w:space="0" w:color="642667" w:themeColor="accent3"/>
      </w:tblBorders>
    </w:tblPr>
    <w:tblStylePr w:type="firstRow">
      <w:rPr>
        <w:rFonts w:asciiTheme="majorHAnsi" w:eastAsiaTheme="majorEastAsia" w:hAnsiTheme="majorHAnsi" w:cstheme="majorBidi"/>
      </w:rPr>
      <w:tblPr/>
      <w:tcPr>
        <w:tcBorders>
          <w:top w:val="nil"/>
          <w:bottom w:val="single" w:sz="8" w:space="0" w:color="642667" w:themeColor="accent3"/>
        </w:tcBorders>
      </w:tcPr>
    </w:tblStylePr>
    <w:tblStylePr w:type="lastRow">
      <w:rPr>
        <w:b/>
        <w:bCs/>
        <w:color w:val="3A3467" w:themeColor="text2"/>
      </w:rPr>
      <w:tblPr/>
      <w:tcPr>
        <w:tcBorders>
          <w:top w:val="single" w:sz="8" w:space="0" w:color="642667" w:themeColor="accent3"/>
          <w:bottom w:val="single" w:sz="8" w:space="0" w:color="642667" w:themeColor="accent3"/>
        </w:tcBorders>
      </w:tcPr>
    </w:tblStylePr>
    <w:tblStylePr w:type="firstCol">
      <w:rPr>
        <w:b/>
        <w:bCs/>
      </w:rPr>
    </w:tblStylePr>
    <w:tblStylePr w:type="lastCol">
      <w:rPr>
        <w:b/>
        <w:bCs/>
      </w:rPr>
      <w:tblPr/>
      <w:tcPr>
        <w:tcBorders>
          <w:top w:val="single" w:sz="8" w:space="0" w:color="642667" w:themeColor="accent3"/>
          <w:bottom w:val="single" w:sz="8" w:space="0" w:color="642667" w:themeColor="accent3"/>
        </w:tcBorders>
      </w:tcPr>
    </w:tblStylePr>
    <w:tblStylePr w:type="band1Vert">
      <w:tblPr/>
      <w:tcPr>
        <w:shd w:val="clear" w:color="auto" w:fill="E4BCE6" w:themeFill="accent3" w:themeFillTint="3F"/>
      </w:tcPr>
    </w:tblStylePr>
    <w:tblStylePr w:type="band1Horz">
      <w:tblPr/>
      <w:tcPr>
        <w:shd w:val="clear" w:color="auto" w:fill="E4BCE6" w:themeFill="accent3" w:themeFillTint="3F"/>
      </w:tcPr>
    </w:tblStylePr>
  </w:style>
  <w:style w:type="table" w:styleId="MediumList1-Accent4">
    <w:name w:val="Medium List 1 Accent 4"/>
    <w:basedOn w:val="TableNormal"/>
    <w:uiPriority w:val="65"/>
    <w:rsid w:val="003324A3"/>
    <w:pPr>
      <w:spacing w:after="100" w:line="264" w:lineRule="auto"/>
    </w:pPr>
    <w:rPr>
      <w:rFonts w:eastAsiaTheme="minorHAnsi"/>
      <w:color w:val="232B39" w:themeColor="text1"/>
      <w:lang w:eastAsia="en-US"/>
    </w:rPr>
    <w:tblPr>
      <w:tblStyleRowBandSize w:val="1"/>
      <w:tblStyleColBandSize w:val="1"/>
      <w:tblBorders>
        <w:top w:val="single" w:sz="8" w:space="0" w:color="D3D5D7" w:themeColor="accent4"/>
        <w:bottom w:val="single" w:sz="8" w:space="0" w:color="D3D5D7" w:themeColor="accent4"/>
      </w:tblBorders>
    </w:tblPr>
    <w:tblStylePr w:type="firstRow">
      <w:rPr>
        <w:rFonts w:asciiTheme="majorHAnsi" w:eastAsiaTheme="majorEastAsia" w:hAnsiTheme="majorHAnsi" w:cstheme="majorBidi"/>
      </w:rPr>
      <w:tblPr/>
      <w:tcPr>
        <w:tcBorders>
          <w:top w:val="nil"/>
          <w:bottom w:val="single" w:sz="8" w:space="0" w:color="D3D5D7" w:themeColor="accent4"/>
        </w:tcBorders>
      </w:tcPr>
    </w:tblStylePr>
    <w:tblStylePr w:type="lastRow">
      <w:rPr>
        <w:b/>
        <w:bCs/>
        <w:color w:val="3A3467" w:themeColor="text2"/>
      </w:rPr>
      <w:tblPr/>
      <w:tcPr>
        <w:tcBorders>
          <w:top w:val="single" w:sz="8" w:space="0" w:color="D3D5D7" w:themeColor="accent4"/>
          <w:bottom w:val="single" w:sz="8" w:space="0" w:color="D3D5D7" w:themeColor="accent4"/>
        </w:tcBorders>
      </w:tcPr>
    </w:tblStylePr>
    <w:tblStylePr w:type="firstCol">
      <w:rPr>
        <w:b/>
        <w:bCs/>
      </w:rPr>
    </w:tblStylePr>
    <w:tblStylePr w:type="lastCol">
      <w:rPr>
        <w:b/>
        <w:bCs/>
      </w:rPr>
      <w:tblPr/>
      <w:tcPr>
        <w:tcBorders>
          <w:top w:val="single" w:sz="8" w:space="0" w:color="D3D5D7" w:themeColor="accent4"/>
          <w:bottom w:val="single" w:sz="8" w:space="0" w:color="D3D5D7" w:themeColor="accent4"/>
        </w:tcBorders>
      </w:tcPr>
    </w:tblStylePr>
    <w:tblStylePr w:type="band1Vert">
      <w:tblPr/>
      <w:tcPr>
        <w:shd w:val="clear" w:color="auto" w:fill="F4F4F5" w:themeFill="accent4" w:themeFillTint="3F"/>
      </w:tcPr>
    </w:tblStylePr>
    <w:tblStylePr w:type="band1Horz">
      <w:tblPr/>
      <w:tcPr>
        <w:shd w:val="clear" w:color="auto" w:fill="F4F4F5" w:themeFill="accent4" w:themeFillTint="3F"/>
      </w:tcPr>
    </w:tblStylePr>
  </w:style>
  <w:style w:type="table" w:styleId="MediumList1-Accent5">
    <w:name w:val="Medium List 1 Accent 5"/>
    <w:basedOn w:val="TableNormal"/>
    <w:uiPriority w:val="65"/>
    <w:rsid w:val="003324A3"/>
    <w:pPr>
      <w:spacing w:after="100" w:line="264" w:lineRule="auto"/>
    </w:pPr>
    <w:rPr>
      <w:rFonts w:eastAsiaTheme="minorHAnsi"/>
      <w:color w:val="232B39" w:themeColor="text1"/>
      <w:lang w:eastAsia="en-US"/>
    </w:rPr>
    <w:tblPr>
      <w:tblStyleRowBandSize w:val="1"/>
      <w:tblStyleColBandSize w:val="1"/>
      <w:tblBorders>
        <w:top w:val="single" w:sz="8" w:space="0" w:color="00BAC7" w:themeColor="accent5"/>
        <w:bottom w:val="single" w:sz="8" w:space="0" w:color="00BAC7" w:themeColor="accent5"/>
      </w:tblBorders>
    </w:tblPr>
    <w:tblStylePr w:type="firstRow">
      <w:rPr>
        <w:rFonts w:asciiTheme="majorHAnsi" w:eastAsiaTheme="majorEastAsia" w:hAnsiTheme="majorHAnsi" w:cstheme="majorBidi"/>
      </w:rPr>
      <w:tblPr/>
      <w:tcPr>
        <w:tcBorders>
          <w:top w:val="nil"/>
          <w:bottom w:val="single" w:sz="8" w:space="0" w:color="00BAC7" w:themeColor="accent5"/>
        </w:tcBorders>
      </w:tcPr>
    </w:tblStylePr>
    <w:tblStylePr w:type="lastRow">
      <w:rPr>
        <w:b/>
        <w:bCs/>
        <w:color w:val="3A3467" w:themeColor="text2"/>
      </w:rPr>
      <w:tblPr/>
      <w:tcPr>
        <w:tcBorders>
          <w:top w:val="single" w:sz="8" w:space="0" w:color="00BAC7" w:themeColor="accent5"/>
          <w:bottom w:val="single" w:sz="8" w:space="0" w:color="00BAC7" w:themeColor="accent5"/>
        </w:tcBorders>
      </w:tcPr>
    </w:tblStylePr>
    <w:tblStylePr w:type="firstCol">
      <w:rPr>
        <w:b/>
        <w:bCs/>
      </w:rPr>
    </w:tblStylePr>
    <w:tblStylePr w:type="lastCol">
      <w:rPr>
        <w:b/>
        <w:bCs/>
      </w:rPr>
      <w:tblPr/>
      <w:tcPr>
        <w:tcBorders>
          <w:top w:val="single" w:sz="8" w:space="0" w:color="00BAC7" w:themeColor="accent5"/>
          <w:bottom w:val="single" w:sz="8" w:space="0" w:color="00BAC7" w:themeColor="accent5"/>
        </w:tcBorders>
      </w:tcPr>
    </w:tblStylePr>
    <w:tblStylePr w:type="band1Vert">
      <w:tblPr/>
      <w:tcPr>
        <w:shd w:val="clear" w:color="auto" w:fill="B2F9FF" w:themeFill="accent5" w:themeFillTint="3F"/>
      </w:tcPr>
    </w:tblStylePr>
    <w:tblStylePr w:type="band1Horz">
      <w:tblPr/>
      <w:tcPr>
        <w:shd w:val="clear" w:color="auto" w:fill="B2F9FF" w:themeFill="accent5" w:themeFillTint="3F"/>
      </w:tcPr>
    </w:tblStylePr>
  </w:style>
  <w:style w:type="table" w:styleId="MediumList1-Accent6">
    <w:name w:val="Medium List 1 Accent 6"/>
    <w:basedOn w:val="TableNormal"/>
    <w:uiPriority w:val="65"/>
    <w:rsid w:val="003324A3"/>
    <w:pPr>
      <w:spacing w:after="100" w:line="264" w:lineRule="auto"/>
    </w:pPr>
    <w:rPr>
      <w:rFonts w:eastAsiaTheme="minorHAnsi"/>
      <w:color w:val="232B39" w:themeColor="text1"/>
      <w:lang w:eastAsia="en-US"/>
    </w:rPr>
    <w:tblPr>
      <w:tblStyleRowBandSize w:val="1"/>
      <w:tblStyleColBandSize w:val="1"/>
      <w:tblBorders>
        <w:top w:val="single" w:sz="8" w:space="0" w:color="D4E15F" w:themeColor="accent6"/>
        <w:bottom w:val="single" w:sz="8" w:space="0" w:color="D4E15F" w:themeColor="accent6"/>
      </w:tblBorders>
    </w:tblPr>
    <w:tblStylePr w:type="firstRow">
      <w:rPr>
        <w:rFonts w:asciiTheme="majorHAnsi" w:eastAsiaTheme="majorEastAsia" w:hAnsiTheme="majorHAnsi" w:cstheme="majorBidi"/>
      </w:rPr>
      <w:tblPr/>
      <w:tcPr>
        <w:tcBorders>
          <w:top w:val="nil"/>
          <w:bottom w:val="single" w:sz="8" w:space="0" w:color="D4E15F" w:themeColor="accent6"/>
        </w:tcBorders>
      </w:tcPr>
    </w:tblStylePr>
    <w:tblStylePr w:type="lastRow">
      <w:rPr>
        <w:b/>
        <w:bCs/>
        <w:color w:val="3A3467" w:themeColor="text2"/>
      </w:rPr>
      <w:tblPr/>
      <w:tcPr>
        <w:tcBorders>
          <w:top w:val="single" w:sz="8" w:space="0" w:color="D4E15F" w:themeColor="accent6"/>
          <w:bottom w:val="single" w:sz="8" w:space="0" w:color="D4E15F" w:themeColor="accent6"/>
        </w:tcBorders>
      </w:tcPr>
    </w:tblStylePr>
    <w:tblStylePr w:type="firstCol">
      <w:rPr>
        <w:b/>
        <w:bCs/>
      </w:rPr>
    </w:tblStylePr>
    <w:tblStylePr w:type="lastCol">
      <w:rPr>
        <w:b/>
        <w:bCs/>
      </w:rPr>
      <w:tblPr/>
      <w:tcPr>
        <w:tcBorders>
          <w:top w:val="single" w:sz="8" w:space="0" w:color="D4E15F" w:themeColor="accent6"/>
          <w:bottom w:val="single" w:sz="8" w:space="0" w:color="D4E15F" w:themeColor="accent6"/>
        </w:tcBorders>
      </w:tcPr>
    </w:tblStylePr>
    <w:tblStylePr w:type="band1Vert">
      <w:tblPr/>
      <w:tcPr>
        <w:shd w:val="clear" w:color="auto" w:fill="F4F7D7" w:themeFill="accent6" w:themeFillTint="3F"/>
      </w:tcPr>
    </w:tblStylePr>
    <w:tblStylePr w:type="band1Horz">
      <w:tblPr/>
      <w:tcPr>
        <w:shd w:val="clear" w:color="auto" w:fill="F4F7D7" w:themeFill="accent6" w:themeFillTint="3F"/>
      </w:tcPr>
    </w:tblStylePr>
  </w:style>
  <w:style w:type="table" w:styleId="MediumList2">
    <w:name w:val="Medium List 2"/>
    <w:basedOn w:val="TableNormal"/>
    <w:uiPriority w:val="66"/>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232B39" w:themeColor="text1"/>
        <w:left w:val="single" w:sz="8" w:space="0" w:color="232B39" w:themeColor="text1"/>
        <w:bottom w:val="single" w:sz="8" w:space="0" w:color="232B39" w:themeColor="text1"/>
        <w:right w:val="single" w:sz="8" w:space="0" w:color="232B39" w:themeColor="text1"/>
      </w:tblBorders>
    </w:tblPr>
    <w:tblStylePr w:type="firstRow">
      <w:rPr>
        <w:sz w:val="24"/>
        <w:szCs w:val="24"/>
      </w:rPr>
      <w:tblPr/>
      <w:tcPr>
        <w:tcBorders>
          <w:top w:val="nil"/>
          <w:left w:val="nil"/>
          <w:bottom w:val="single" w:sz="24" w:space="0" w:color="232B39" w:themeColor="text1"/>
          <w:right w:val="nil"/>
          <w:insideH w:val="nil"/>
          <w:insideV w:val="nil"/>
        </w:tcBorders>
        <w:shd w:val="clear" w:color="auto" w:fill="FFFFFF" w:themeFill="background1"/>
      </w:tcPr>
    </w:tblStylePr>
    <w:tblStylePr w:type="lastRow">
      <w:tblPr/>
      <w:tcPr>
        <w:tcBorders>
          <w:top w:val="single" w:sz="8" w:space="0" w:color="232B39"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B39" w:themeColor="text1"/>
          <w:insideH w:val="nil"/>
          <w:insideV w:val="nil"/>
        </w:tcBorders>
        <w:shd w:val="clear" w:color="auto" w:fill="FFFFFF" w:themeFill="background1"/>
      </w:tcPr>
    </w:tblStylePr>
    <w:tblStylePr w:type="lastCol">
      <w:tblPr/>
      <w:tcPr>
        <w:tcBorders>
          <w:top w:val="nil"/>
          <w:left w:val="single" w:sz="8" w:space="0" w:color="232B39"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top w:val="nil"/>
          <w:bottom w:val="nil"/>
          <w:insideH w:val="nil"/>
          <w:insideV w:val="nil"/>
        </w:tcBorders>
        <w:shd w:val="clear" w:color="auto" w:fill="BFC7D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rPr>
        <w:sz w:val="24"/>
        <w:szCs w:val="24"/>
      </w:rPr>
      <w:tblPr/>
      <w:tcPr>
        <w:tcBorders>
          <w:top w:val="nil"/>
          <w:left w:val="nil"/>
          <w:bottom w:val="single" w:sz="24" w:space="0" w:color="87189D" w:themeColor="accent1"/>
          <w:right w:val="nil"/>
          <w:insideH w:val="nil"/>
          <w:insideV w:val="nil"/>
        </w:tcBorders>
        <w:shd w:val="clear" w:color="auto" w:fill="FFFFFF" w:themeFill="background1"/>
      </w:tcPr>
    </w:tblStylePr>
    <w:tblStylePr w:type="lastRow">
      <w:tblPr/>
      <w:tcPr>
        <w:tcBorders>
          <w:top w:val="single" w:sz="8" w:space="0" w:color="87189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7189D" w:themeColor="accent1"/>
          <w:insideH w:val="nil"/>
          <w:insideV w:val="nil"/>
        </w:tcBorders>
        <w:shd w:val="clear" w:color="auto" w:fill="FFFFFF" w:themeFill="background1"/>
      </w:tcPr>
    </w:tblStylePr>
    <w:tblStylePr w:type="lastCol">
      <w:tblPr/>
      <w:tcPr>
        <w:tcBorders>
          <w:top w:val="nil"/>
          <w:left w:val="single" w:sz="8" w:space="0" w:color="87189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B8F4" w:themeFill="accent1" w:themeFillTint="3F"/>
      </w:tcPr>
    </w:tblStylePr>
    <w:tblStylePr w:type="band1Horz">
      <w:tblPr/>
      <w:tcPr>
        <w:tcBorders>
          <w:top w:val="nil"/>
          <w:bottom w:val="nil"/>
          <w:insideH w:val="nil"/>
          <w:insideV w:val="nil"/>
        </w:tcBorders>
        <w:shd w:val="clear" w:color="auto" w:fill="EAB8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AB5DBA" w:themeColor="accent2"/>
        <w:left w:val="single" w:sz="8" w:space="0" w:color="AB5DBA" w:themeColor="accent2"/>
        <w:bottom w:val="single" w:sz="8" w:space="0" w:color="AB5DBA" w:themeColor="accent2"/>
        <w:right w:val="single" w:sz="8" w:space="0" w:color="AB5DBA" w:themeColor="accent2"/>
      </w:tblBorders>
    </w:tblPr>
    <w:tblStylePr w:type="firstRow">
      <w:rPr>
        <w:sz w:val="24"/>
        <w:szCs w:val="24"/>
      </w:rPr>
      <w:tblPr/>
      <w:tcPr>
        <w:tcBorders>
          <w:top w:val="nil"/>
          <w:left w:val="nil"/>
          <w:bottom w:val="single" w:sz="24" w:space="0" w:color="AB5DBA" w:themeColor="accent2"/>
          <w:right w:val="nil"/>
          <w:insideH w:val="nil"/>
          <w:insideV w:val="nil"/>
        </w:tcBorders>
        <w:shd w:val="clear" w:color="auto" w:fill="FFFFFF" w:themeFill="background1"/>
      </w:tcPr>
    </w:tblStylePr>
    <w:tblStylePr w:type="lastRow">
      <w:tblPr/>
      <w:tcPr>
        <w:tcBorders>
          <w:top w:val="single" w:sz="8" w:space="0" w:color="AB5DB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5DBA" w:themeColor="accent2"/>
          <w:insideH w:val="nil"/>
          <w:insideV w:val="nil"/>
        </w:tcBorders>
        <w:shd w:val="clear" w:color="auto" w:fill="FFFFFF" w:themeFill="background1"/>
      </w:tcPr>
    </w:tblStylePr>
    <w:tblStylePr w:type="lastCol">
      <w:tblPr/>
      <w:tcPr>
        <w:tcBorders>
          <w:top w:val="nil"/>
          <w:left w:val="single" w:sz="8" w:space="0" w:color="AB5DB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D6EE" w:themeFill="accent2" w:themeFillTint="3F"/>
      </w:tcPr>
    </w:tblStylePr>
    <w:tblStylePr w:type="band1Horz">
      <w:tblPr/>
      <w:tcPr>
        <w:tcBorders>
          <w:top w:val="nil"/>
          <w:bottom w:val="nil"/>
          <w:insideH w:val="nil"/>
          <w:insideV w:val="nil"/>
        </w:tcBorders>
        <w:shd w:val="clear" w:color="auto" w:fill="EAD6E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642667" w:themeColor="accent3"/>
        <w:left w:val="single" w:sz="8" w:space="0" w:color="642667" w:themeColor="accent3"/>
        <w:bottom w:val="single" w:sz="8" w:space="0" w:color="642667" w:themeColor="accent3"/>
        <w:right w:val="single" w:sz="8" w:space="0" w:color="642667" w:themeColor="accent3"/>
      </w:tblBorders>
    </w:tblPr>
    <w:tblStylePr w:type="firstRow">
      <w:rPr>
        <w:sz w:val="24"/>
        <w:szCs w:val="24"/>
      </w:rPr>
      <w:tblPr/>
      <w:tcPr>
        <w:tcBorders>
          <w:top w:val="nil"/>
          <w:left w:val="nil"/>
          <w:bottom w:val="single" w:sz="24" w:space="0" w:color="642667" w:themeColor="accent3"/>
          <w:right w:val="nil"/>
          <w:insideH w:val="nil"/>
          <w:insideV w:val="nil"/>
        </w:tcBorders>
        <w:shd w:val="clear" w:color="auto" w:fill="FFFFFF" w:themeFill="background1"/>
      </w:tcPr>
    </w:tblStylePr>
    <w:tblStylePr w:type="lastRow">
      <w:tblPr/>
      <w:tcPr>
        <w:tcBorders>
          <w:top w:val="single" w:sz="8" w:space="0" w:color="64266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2667" w:themeColor="accent3"/>
          <w:insideH w:val="nil"/>
          <w:insideV w:val="nil"/>
        </w:tcBorders>
        <w:shd w:val="clear" w:color="auto" w:fill="FFFFFF" w:themeFill="background1"/>
      </w:tcPr>
    </w:tblStylePr>
    <w:tblStylePr w:type="lastCol">
      <w:tblPr/>
      <w:tcPr>
        <w:tcBorders>
          <w:top w:val="nil"/>
          <w:left w:val="single" w:sz="8" w:space="0" w:color="6426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BCE6" w:themeFill="accent3" w:themeFillTint="3F"/>
      </w:tcPr>
    </w:tblStylePr>
    <w:tblStylePr w:type="band1Horz">
      <w:tblPr/>
      <w:tcPr>
        <w:tcBorders>
          <w:top w:val="nil"/>
          <w:bottom w:val="nil"/>
          <w:insideH w:val="nil"/>
          <w:insideV w:val="nil"/>
        </w:tcBorders>
        <w:shd w:val="clear" w:color="auto" w:fill="E4BCE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rPr>
        <w:sz w:val="24"/>
        <w:szCs w:val="24"/>
      </w:rPr>
      <w:tblPr/>
      <w:tcPr>
        <w:tcBorders>
          <w:top w:val="nil"/>
          <w:left w:val="nil"/>
          <w:bottom w:val="single" w:sz="24" w:space="0" w:color="D3D5D7" w:themeColor="accent4"/>
          <w:right w:val="nil"/>
          <w:insideH w:val="nil"/>
          <w:insideV w:val="nil"/>
        </w:tcBorders>
        <w:shd w:val="clear" w:color="auto" w:fill="FFFFFF" w:themeFill="background1"/>
      </w:tcPr>
    </w:tblStylePr>
    <w:tblStylePr w:type="lastRow">
      <w:tblPr/>
      <w:tcPr>
        <w:tcBorders>
          <w:top w:val="single" w:sz="8" w:space="0" w:color="D3D5D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D5D7" w:themeColor="accent4"/>
          <w:insideH w:val="nil"/>
          <w:insideV w:val="nil"/>
        </w:tcBorders>
        <w:shd w:val="clear" w:color="auto" w:fill="FFFFFF" w:themeFill="background1"/>
      </w:tcPr>
    </w:tblStylePr>
    <w:tblStylePr w:type="lastCol">
      <w:tblPr/>
      <w:tcPr>
        <w:tcBorders>
          <w:top w:val="nil"/>
          <w:left w:val="single" w:sz="8" w:space="0" w:color="D3D5D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4F5" w:themeFill="accent4" w:themeFillTint="3F"/>
      </w:tcPr>
    </w:tblStylePr>
    <w:tblStylePr w:type="band1Horz">
      <w:tblPr/>
      <w:tcPr>
        <w:tcBorders>
          <w:top w:val="nil"/>
          <w:bottom w:val="nil"/>
          <w:insideH w:val="nil"/>
          <w:insideV w:val="nil"/>
        </w:tcBorders>
        <w:shd w:val="clear" w:color="auto" w:fill="F4F4F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00BAC7" w:themeColor="accent5"/>
        <w:left w:val="single" w:sz="8" w:space="0" w:color="00BAC7" w:themeColor="accent5"/>
        <w:bottom w:val="single" w:sz="8" w:space="0" w:color="00BAC7" w:themeColor="accent5"/>
        <w:right w:val="single" w:sz="8" w:space="0" w:color="00BAC7" w:themeColor="accent5"/>
      </w:tblBorders>
    </w:tblPr>
    <w:tblStylePr w:type="firstRow">
      <w:rPr>
        <w:sz w:val="24"/>
        <w:szCs w:val="24"/>
      </w:rPr>
      <w:tblPr/>
      <w:tcPr>
        <w:tcBorders>
          <w:top w:val="nil"/>
          <w:left w:val="nil"/>
          <w:bottom w:val="single" w:sz="24" w:space="0" w:color="00BAC7" w:themeColor="accent5"/>
          <w:right w:val="nil"/>
          <w:insideH w:val="nil"/>
          <w:insideV w:val="nil"/>
        </w:tcBorders>
        <w:shd w:val="clear" w:color="auto" w:fill="FFFFFF" w:themeFill="background1"/>
      </w:tcPr>
    </w:tblStylePr>
    <w:tblStylePr w:type="lastRow">
      <w:tblPr/>
      <w:tcPr>
        <w:tcBorders>
          <w:top w:val="single" w:sz="8" w:space="0" w:color="00BAC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AC7" w:themeColor="accent5"/>
          <w:insideH w:val="nil"/>
          <w:insideV w:val="nil"/>
        </w:tcBorders>
        <w:shd w:val="clear" w:color="auto" w:fill="FFFFFF" w:themeFill="background1"/>
      </w:tcPr>
    </w:tblStylePr>
    <w:tblStylePr w:type="lastCol">
      <w:tblPr/>
      <w:tcPr>
        <w:tcBorders>
          <w:top w:val="nil"/>
          <w:left w:val="single" w:sz="8" w:space="0" w:color="00BAC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9FF" w:themeFill="accent5" w:themeFillTint="3F"/>
      </w:tcPr>
    </w:tblStylePr>
    <w:tblStylePr w:type="band1Horz">
      <w:tblPr/>
      <w:tcPr>
        <w:tcBorders>
          <w:top w:val="nil"/>
          <w:bottom w:val="nil"/>
          <w:insideH w:val="nil"/>
          <w:insideV w:val="nil"/>
        </w:tcBorders>
        <w:shd w:val="clear" w:color="auto" w:fill="B2F9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3324A3"/>
    <w:pPr>
      <w:spacing w:after="100" w:line="264" w:lineRule="auto"/>
    </w:pPr>
    <w:rPr>
      <w:rFonts w:asciiTheme="majorHAnsi" w:eastAsiaTheme="majorEastAsia" w:hAnsiTheme="majorHAnsi" w:cstheme="majorBidi"/>
      <w:color w:val="232B39" w:themeColor="text1"/>
      <w:lang w:eastAsia="en-US"/>
    </w:rPr>
    <w:tblPr>
      <w:tblStyleRowBandSize w:val="1"/>
      <w:tblStyleColBandSize w:val="1"/>
      <w:tblBorders>
        <w:top w:val="single" w:sz="8" w:space="0" w:color="D4E15F" w:themeColor="accent6"/>
        <w:left w:val="single" w:sz="8" w:space="0" w:color="D4E15F" w:themeColor="accent6"/>
        <w:bottom w:val="single" w:sz="8" w:space="0" w:color="D4E15F" w:themeColor="accent6"/>
        <w:right w:val="single" w:sz="8" w:space="0" w:color="D4E15F" w:themeColor="accent6"/>
      </w:tblBorders>
    </w:tblPr>
    <w:tblStylePr w:type="firstRow">
      <w:rPr>
        <w:sz w:val="24"/>
        <w:szCs w:val="24"/>
      </w:rPr>
      <w:tblPr/>
      <w:tcPr>
        <w:tcBorders>
          <w:top w:val="nil"/>
          <w:left w:val="nil"/>
          <w:bottom w:val="single" w:sz="24" w:space="0" w:color="D4E15F" w:themeColor="accent6"/>
          <w:right w:val="nil"/>
          <w:insideH w:val="nil"/>
          <w:insideV w:val="nil"/>
        </w:tcBorders>
        <w:shd w:val="clear" w:color="auto" w:fill="FFFFFF" w:themeFill="background1"/>
      </w:tcPr>
    </w:tblStylePr>
    <w:tblStylePr w:type="lastRow">
      <w:tblPr/>
      <w:tcPr>
        <w:tcBorders>
          <w:top w:val="single" w:sz="8" w:space="0" w:color="D4E15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E15F" w:themeColor="accent6"/>
          <w:insideH w:val="nil"/>
          <w:insideV w:val="nil"/>
        </w:tcBorders>
        <w:shd w:val="clear" w:color="auto" w:fill="FFFFFF" w:themeFill="background1"/>
      </w:tcPr>
    </w:tblStylePr>
    <w:tblStylePr w:type="lastCol">
      <w:tblPr/>
      <w:tcPr>
        <w:tcBorders>
          <w:top w:val="nil"/>
          <w:left w:val="single" w:sz="8" w:space="0" w:color="D4E15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D7" w:themeFill="accent6" w:themeFillTint="3F"/>
      </w:tcPr>
    </w:tblStylePr>
    <w:tblStylePr w:type="band1Horz">
      <w:tblPr/>
      <w:tcPr>
        <w:tcBorders>
          <w:top w:val="nil"/>
          <w:bottom w:val="nil"/>
          <w:insideH w:val="nil"/>
          <w:insideV w:val="nil"/>
        </w:tcBorders>
        <w:shd w:val="clear" w:color="auto" w:fill="F4F7D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3324A3"/>
    <w:pPr>
      <w:spacing w:after="100" w:line="264" w:lineRule="auto"/>
    </w:pPr>
    <w:rPr>
      <w:rFonts w:eastAsiaTheme="minorHAnsi"/>
      <w:lang w:eastAsia="en-US"/>
    </w:rPr>
    <w:tblPr>
      <w:tblStyleRowBandSize w:val="1"/>
      <w:tblStyleColBandSize w:val="1"/>
      <w:tblBorders>
        <w:top w:val="single" w:sz="8" w:space="0" w:color="4B5B79" w:themeColor="text1" w:themeTint="BF"/>
        <w:left w:val="single" w:sz="8" w:space="0" w:color="4B5B79" w:themeColor="text1" w:themeTint="BF"/>
        <w:bottom w:val="single" w:sz="8" w:space="0" w:color="4B5B79" w:themeColor="text1" w:themeTint="BF"/>
        <w:right w:val="single" w:sz="8" w:space="0" w:color="4B5B79" w:themeColor="text1" w:themeTint="BF"/>
        <w:insideH w:val="single" w:sz="8" w:space="0" w:color="4B5B79" w:themeColor="text1" w:themeTint="BF"/>
      </w:tblBorders>
    </w:tblPr>
    <w:tblStylePr w:type="firstRow">
      <w:pPr>
        <w:spacing w:before="0" w:after="0" w:line="240" w:lineRule="auto"/>
      </w:pPr>
      <w:rPr>
        <w:b/>
        <w:bCs/>
        <w:color w:val="FFFFFF" w:themeColor="background1"/>
      </w:rPr>
      <w:tblPr/>
      <w:tcPr>
        <w:tcBorders>
          <w:top w:val="single" w:sz="8" w:space="0" w:color="4B5B79" w:themeColor="text1" w:themeTint="BF"/>
          <w:left w:val="single" w:sz="8" w:space="0" w:color="4B5B79" w:themeColor="text1" w:themeTint="BF"/>
          <w:bottom w:val="single" w:sz="8" w:space="0" w:color="4B5B79" w:themeColor="text1" w:themeTint="BF"/>
          <w:right w:val="single" w:sz="8" w:space="0" w:color="4B5B79" w:themeColor="text1" w:themeTint="BF"/>
          <w:insideH w:val="nil"/>
          <w:insideV w:val="nil"/>
        </w:tcBorders>
        <w:shd w:val="clear" w:color="auto" w:fill="232B39" w:themeFill="text1"/>
      </w:tcPr>
    </w:tblStylePr>
    <w:tblStylePr w:type="lastRow">
      <w:pPr>
        <w:spacing w:before="0" w:after="0" w:line="240" w:lineRule="auto"/>
      </w:pPr>
      <w:rPr>
        <w:b/>
        <w:bCs/>
      </w:rPr>
      <w:tblPr/>
      <w:tcPr>
        <w:tcBorders>
          <w:top w:val="double" w:sz="6" w:space="0" w:color="4B5B79" w:themeColor="text1" w:themeTint="BF"/>
          <w:left w:val="single" w:sz="8" w:space="0" w:color="4B5B79" w:themeColor="text1" w:themeTint="BF"/>
          <w:bottom w:val="single" w:sz="8" w:space="0" w:color="4B5B79" w:themeColor="text1" w:themeTint="BF"/>
          <w:right w:val="single" w:sz="8" w:space="0" w:color="4B5B79" w:themeColor="text1" w:themeTint="BF"/>
          <w:insideH w:val="nil"/>
          <w:insideV w:val="nil"/>
        </w:tcBorders>
      </w:tcPr>
    </w:tblStylePr>
    <w:tblStylePr w:type="firstCol">
      <w:rPr>
        <w:b/>
        <w:bCs/>
      </w:rPr>
    </w:tblStylePr>
    <w:tblStylePr w:type="lastCol">
      <w:rPr>
        <w:b/>
        <w:bCs/>
      </w:rPr>
    </w:tblStylePr>
    <w:tblStylePr w:type="band1Vert">
      <w:tblPr/>
      <w:tcPr>
        <w:shd w:val="clear" w:color="auto" w:fill="BFC7D7" w:themeFill="text1" w:themeFillTint="3F"/>
      </w:tcPr>
    </w:tblStylePr>
    <w:tblStylePr w:type="band1Horz">
      <w:tblPr/>
      <w:tcPr>
        <w:tcBorders>
          <w:insideH w:val="nil"/>
          <w:insideV w:val="nil"/>
        </w:tcBorders>
        <w:shd w:val="clear" w:color="auto" w:fill="BFC7D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3324A3"/>
    <w:pPr>
      <w:spacing w:after="100" w:line="264" w:lineRule="auto"/>
    </w:pPr>
    <w:rPr>
      <w:rFonts w:eastAsiaTheme="minorHAnsi"/>
      <w:lang w:eastAsia="en-US"/>
    </w:rPr>
    <w:tblPr>
      <w:tblStyleRowBandSize w:val="1"/>
      <w:tblStyleColBandSize w:val="1"/>
      <w:tblBorders>
        <w:top w:val="single" w:sz="8" w:space="0" w:color="BF29DE" w:themeColor="accent1" w:themeTint="BF"/>
        <w:left w:val="single" w:sz="8" w:space="0" w:color="BF29DE" w:themeColor="accent1" w:themeTint="BF"/>
        <w:bottom w:val="single" w:sz="8" w:space="0" w:color="BF29DE" w:themeColor="accent1" w:themeTint="BF"/>
        <w:right w:val="single" w:sz="8" w:space="0" w:color="BF29DE" w:themeColor="accent1" w:themeTint="BF"/>
        <w:insideH w:val="single" w:sz="8" w:space="0" w:color="BF29DE" w:themeColor="accent1" w:themeTint="BF"/>
      </w:tblBorders>
    </w:tblPr>
    <w:tblStylePr w:type="firstRow">
      <w:pPr>
        <w:spacing w:before="0" w:after="0" w:line="240" w:lineRule="auto"/>
      </w:pPr>
      <w:rPr>
        <w:b/>
        <w:bCs/>
        <w:color w:val="FFFFFF" w:themeColor="background1"/>
      </w:rPr>
      <w:tblPr/>
      <w:tcPr>
        <w:tcBorders>
          <w:top w:val="single" w:sz="8" w:space="0" w:color="BF29DE" w:themeColor="accent1" w:themeTint="BF"/>
          <w:left w:val="single" w:sz="8" w:space="0" w:color="BF29DE" w:themeColor="accent1" w:themeTint="BF"/>
          <w:bottom w:val="single" w:sz="8" w:space="0" w:color="BF29DE" w:themeColor="accent1" w:themeTint="BF"/>
          <w:right w:val="single" w:sz="8" w:space="0" w:color="BF29DE" w:themeColor="accent1" w:themeTint="BF"/>
          <w:insideH w:val="nil"/>
          <w:insideV w:val="nil"/>
        </w:tcBorders>
        <w:shd w:val="clear" w:color="auto" w:fill="87189D" w:themeFill="accent1"/>
      </w:tcPr>
    </w:tblStylePr>
    <w:tblStylePr w:type="lastRow">
      <w:pPr>
        <w:spacing w:before="0" w:after="0" w:line="240" w:lineRule="auto"/>
      </w:pPr>
      <w:rPr>
        <w:b/>
        <w:bCs/>
      </w:rPr>
      <w:tblPr/>
      <w:tcPr>
        <w:tcBorders>
          <w:top w:val="double" w:sz="6" w:space="0" w:color="BF29DE" w:themeColor="accent1" w:themeTint="BF"/>
          <w:left w:val="single" w:sz="8" w:space="0" w:color="BF29DE" w:themeColor="accent1" w:themeTint="BF"/>
          <w:bottom w:val="single" w:sz="8" w:space="0" w:color="BF29DE" w:themeColor="accent1" w:themeTint="BF"/>
          <w:right w:val="single" w:sz="8" w:space="0" w:color="BF29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AB8F4" w:themeFill="accent1" w:themeFillTint="3F"/>
      </w:tcPr>
    </w:tblStylePr>
    <w:tblStylePr w:type="band1Horz">
      <w:tblPr/>
      <w:tcPr>
        <w:tcBorders>
          <w:insideH w:val="nil"/>
          <w:insideV w:val="nil"/>
        </w:tcBorders>
        <w:shd w:val="clear" w:color="auto" w:fill="EAB8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324A3"/>
    <w:pPr>
      <w:spacing w:after="100" w:line="264" w:lineRule="auto"/>
    </w:pPr>
    <w:rPr>
      <w:rFonts w:eastAsiaTheme="minorHAnsi"/>
      <w:lang w:eastAsia="en-US"/>
    </w:rPr>
    <w:tblPr>
      <w:tblStyleRowBandSize w:val="1"/>
      <w:tblStyleColBandSize w:val="1"/>
      <w:tblBorders>
        <w:top w:val="single" w:sz="8" w:space="0" w:color="BF85CB" w:themeColor="accent2" w:themeTint="BF"/>
        <w:left w:val="single" w:sz="8" w:space="0" w:color="BF85CB" w:themeColor="accent2" w:themeTint="BF"/>
        <w:bottom w:val="single" w:sz="8" w:space="0" w:color="BF85CB" w:themeColor="accent2" w:themeTint="BF"/>
        <w:right w:val="single" w:sz="8" w:space="0" w:color="BF85CB" w:themeColor="accent2" w:themeTint="BF"/>
        <w:insideH w:val="single" w:sz="8" w:space="0" w:color="BF85CB" w:themeColor="accent2" w:themeTint="BF"/>
      </w:tblBorders>
    </w:tblPr>
    <w:tblStylePr w:type="firstRow">
      <w:pPr>
        <w:spacing w:before="0" w:after="0" w:line="240" w:lineRule="auto"/>
      </w:pPr>
      <w:rPr>
        <w:b/>
        <w:bCs/>
        <w:color w:val="FFFFFF" w:themeColor="background1"/>
      </w:rPr>
      <w:tblPr/>
      <w:tcPr>
        <w:tcBorders>
          <w:top w:val="single" w:sz="8" w:space="0" w:color="BF85CB" w:themeColor="accent2" w:themeTint="BF"/>
          <w:left w:val="single" w:sz="8" w:space="0" w:color="BF85CB" w:themeColor="accent2" w:themeTint="BF"/>
          <w:bottom w:val="single" w:sz="8" w:space="0" w:color="BF85CB" w:themeColor="accent2" w:themeTint="BF"/>
          <w:right w:val="single" w:sz="8" w:space="0" w:color="BF85CB" w:themeColor="accent2" w:themeTint="BF"/>
          <w:insideH w:val="nil"/>
          <w:insideV w:val="nil"/>
        </w:tcBorders>
        <w:shd w:val="clear" w:color="auto" w:fill="AB5DBA" w:themeFill="accent2"/>
      </w:tcPr>
    </w:tblStylePr>
    <w:tblStylePr w:type="lastRow">
      <w:pPr>
        <w:spacing w:before="0" w:after="0" w:line="240" w:lineRule="auto"/>
      </w:pPr>
      <w:rPr>
        <w:b/>
        <w:bCs/>
      </w:rPr>
      <w:tblPr/>
      <w:tcPr>
        <w:tcBorders>
          <w:top w:val="double" w:sz="6" w:space="0" w:color="BF85CB" w:themeColor="accent2" w:themeTint="BF"/>
          <w:left w:val="single" w:sz="8" w:space="0" w:color="BF85CB" w:themeColor="accent2" w:themeTint="BF"/>
          <w:bottom w:val="single" w:sz="8" w:space="0" w:color="BF85CB" w:themeColor="accent2" w:themeTint="BF"/>
          <w:right w:val="single" w:sz="8" w:space="0" w:color="BF85CB"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6EE" w:themeFill="accent2" w:themeFillTint="3F"/>
      </w:tcPr>
    </w:tblStylePr>
    <w:tblStylePr w:type="band1Horz">
      <w:tblPr/>
      <w:tcPr>
        <w:tcBorders>
          <w:insideH w:val="nil"/>
          <w:insideV w:val="nil"/>
        </w:tcBorders>
        <w:shd w:val="clear" w:color="auto" w:fill="EAD6E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3324A3"/>
    <w:pPr>
      <w:spacing w:after="100" w:line="264" w:lineRule="auto"/>
    </w:pPr>
    <w:rPr>
      <w:rFonts w:eastAsiaTheme="minorHAnsi"/>
      <w:lang w:eastAsia="en-US"/>
    </w:rPr>
    <w:tblPr>
      <w:tblStyleRowBandSize w:val="1"/>
      <w:tblStyleColBandSize w:val="1"/>
      <w:tblBorders>
        <w:top w:val="single" w:sz="8" w:space="0" w:color="A53FAA" w:themeColor="accent3" w:themeTint="BF"/>
        <w:left w:val="single" w:sz="8" w:space="0" w:color="A53FAA" w:themeColor="accent3" w:themeTint="BF"/>
        <w:bottom w:val="single" w:sz="8" w:space="0" w:color="A53FAA" w:themeColor="accent3" w:themeTint="BF"/>
        <w:right w:val="single" w:sz="8" w:space="0" w:color="A53FAA" w:themeColor="accent3" w:themeTint="BF"/>
        <w:insideH w:val="single" w:sz="8" w:space="0" w:color="A53FAA" w:themeColor="accent3" w:themeTint="BF"/>
      </w:tblBorders>
    </w:tblPr>
    <w:tblStylePr w:type="firstRow">
      <w:pPr>
        <w:spacing w:before="0" w:after="0" w:line="240" w:lineRule="auto"/>
      </w:pPr>
      <w:rPr>
        <w:b/>
        <w:bCs/>
        <w:color w:val="FFFFFF" w:themeColor="background1"/>
      </w:rPr>
      <w:tblPr/>
      <w:tcPr>
        <w:tcBorders>
          <w:top w:val="single" w:sz="8" w:space="0" w:color="A53FAA" w:themeColor="accent3" w:themeTint="BF"/>
          <w:left w:val="single" w:sz="8" w:space="0" w:color="A53FAA" w:themeColor="accent3" w:themeTint="BF"/>
          <w:bottom w:val="single" w:sz="8" w:space="0" w:color="A53FAA" w:themeColor="accent3" w:themeTint="BF"/>
          <w:right w:val="single" w:sz="8" w:space="0" w:color="A53FAA" w:themeColor="accent3" w:themeTint="BF"/>
          <w:insideH w:val="nil"/>
          <w:insideV w:val="nil"/>
        </w:tcBorders>
        <w:shd w:val="clear" w:color="auto" w:fill="642667" w:themeFill="accent3"/>
      </w:tcPr>
    </w:tblStylePr>
    <w:tblStylePr w:type="lastRow">
      <w:pPr>
        <w:spacing w:before="0" w:after="0" w:line="240" w:lineRule="auto"/>
      </w:pPr>
      <w:rPr>
        <w:b/>
        <w:bCs/>
      </w:rPr>
      <w:tblPr/>
      <w:tcPr>
        <w:tcBorders>
          <w:top w:val="double" w:sz="6" w:space="0" w:color="A53FAA" w:themeColor="accent3" w:themeTint="BF"/>
          <w:left w:val="single" w:sz="8" w:space="0" w:color="A53FAA" w:themeColor="accent3" w:themeTint="BF"/>
          <w:bottom w:val="single" w:sz="8" w:space="0" w:color="A53FAA" w:themeColor="accent3" w:themeTint="BF"/>
          <w:right w:val="single" w:sz="8" w:space="0" w:color="A53F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4BCE6" w:themeFill="accent3" w:themeFillTint="3F"/>
      </w:tcPr>
    </w:tblStylePr>
    <w:tblStylePr w:type="band1Horz">
      <w:tblPr/>
      <w:tcPr>
        <w:tcBorders>
          <w:insideH w:val="nil"/>
          <w:insideV w:val="nil"/>
        </w:tcBorders>
        <w:shd w:val="clear" w:color="auto" w:fill="E4BCE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3324A3"/>
    <w:pPr>
      <w:spacing w:after="100" w:line="264" w:lineRule="auto"/>
    </w:pPr>
    <w:rPr>
      <w:rFonts w:eastAsiaTheme="minorHAnsi"/>
      <w:lang w:eastAsia="en-US"/>
    </w:rPr>
    <w:tblPr>
      <w:tblStyleRowBandSize w:val="1"/>
      <w:tblStyleColBandSize w:val="1"/>
      <w:tblBorders>
        <w:top w:val="single" w:sz="8" w:space="0" w:color="DEDFE1" w:themeColor="accent4" w:themeTint="BF"/>
        <w:left w:val="single" w:sz="8" w:space="0" w:color="DEDFE1" w:themeColor="accent4" w:themeTint="BF"/>
        <w:bottom w:val="single" w:sz="8" w:space="0" w:color="DEDFE1" w:themeColor="accent4" w:themeTint="BF"/>
        <w:right w:val="single" w:sz="8" w:space="0" w:color="DEDFE1" w:themeColor="accent4" w:themeTint="BF"/>
        <w:insideH w:val="single" w:sz="8" w:space="0" w:color="DEDFE1" w:themeColor="accent4" w:themeTint="BF"/>
      </w:tblBorders>
    </w:tblPr>
    <w:tblStylePr w:type="firstRow">
      <w:pPr>
        <w:spacing w:before="0" w:after="0" w:line="240" w:lineRule="auto"/>
      </w:pPr>
      <w:rPr>
        <w:b/>
        <w:bCs/>
        <w:color w:val="FFFFFF" w:themeColor="background1"/>
      </w:rPr>
      <w:tblPr/>
      <w:tcPr>
        <w:tcBorders>
          <w:top w:val="single" w:sz="8" w:space="0" w:color="DEDFE1" w:themeColor="accent4" w:themeTint="BF"/>
          <w:left w:val="single" w:sz="8" w:space="0" w:color="DEDFE1" w:themeColor="accent4" w:themeTint="BF"/>
          <w:bottom w:val="single" w:sz="8" w:space="0" w:color="DEDFE1" w:themeColor="accent4" w:themeTint="BF"/>
          <w:right w:val="single" w:sz="8" w:space="0" w:color="DEDFE1" w:themeColor="accent4" w:themeTint="BF"/>
          <w:insideH w:val="nil"/>
          <w:insideV w:val="nil"/>
        </w:tcBorders>
        <w:shd w:val="clear" w:color="auto" w:fill="D3D5D7" w:themeFill="accent4"/>
      </w:tcPr>
    </w:tblStylePr>
    <w:tblStylePr w:type="lastRow">
      <w:pPr>
        <w:spacing w:before="0" w:after="0" w:line="240" w:lineRule="auto"/>
      </w:pPr>
      <w:rPr>
        <w:b/>
        <w:bCs/>
      </w:rPr>
      <w:tblPr/>
      <w:tcPr>
        <w:tcBorders>
          <w:top w:val="double" w:sz="6" w:space="0" w:color="DEDFE1" w:themeColor="accent4" w:themeTint="BF"/>
          <w:left w:val="single" w:sz="8" w:space="0" w:color="DEDFE1" w:themeColor="accent4" w:themeTint="BF"/>
          <w:bottom w:val="single" w:sz="8" w:space="0" w:color="DEDFE1" w:themeColor="accent4" w:themeTint="BF"/>
          <w:right w:val="single" w:sz="8" w:space="0" w:color="DEDFE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4F4F5" w:themeFill="accent4" w:themeFillTint="3F"/>
      </w:tcPr>
    </w:tblStylePr>
    <w:tblStylePr w:type="band1Horz">
      <w:tblPr/>
      <w:tcPr>
        <w:tcBorders>
          <w:insideH w:val="nil"/>
          <w:insideV w:val="nil"/>
        </w:tcBorders>
        <w:shd w:val="clear" w:color="auto" w:fill="F4F4F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324A3"/>
    <w:pPr>
      <w:spacing w:after="100" w:line="264" w:lineRule="auto"/>
    </w:pPr>
    <w:rPr>
      <w:rFonts w:eastAsiaTheme="minorHAnsi"/>
      <w:lang w:eastAsia="en-US"/>
    </w:rPr>
    <w:tblPr>
      <w:tblStyleRowBandSize w:val="1"/>
      <w:tblStyleColBandSize w:val="1"/>
      <w:tblBorders>
        <w:top w:val="single" w:sz="8" w:space="0" w:color="16EFFF" w:themeColor="accent5" w:themeTint="BF"/>
        <w:left w:val="single" w:sz="8" w:space="0" w:color="16EFFF" w:themeColor="accent5" w:themeTint="BF"/>
        <w:bottom w:val="single" w:sz="8" w:space="0" w:color="16EFFF" w:themeColor="accent5" w:themeTint="BF"/>
        <w:right w:val="single" w:sz="8" w:space="0" w:color="16EFFF" w:themeColor="accent5" w:themeTint="BF"/>
        <w:insideH w:val="single" w:sz="8" w:space="0" w:color="16EFFF" w:themeColor="accent5" w:themeTint="BF"/>
      </w:tblBorders>
    </w:tblPr>
    <w:tblStylePr w:type="firstRow">
      <w:pPr>
        <w:spacing w:before="0" w:after="0" w:line="240" w:lineRule="auto"/>
      </w:pPr>
      <w:rPr>
        <w:b/>
        <w:bCs/>
        <w:color w:val="FFFFFF" w:themeColor="background1"/>
      </w:rPr>
      <w:tblPr/>
      <w:tcPr>
        <w:tcBorders>
          <w:top w:val="single" w:sz="8" w:space="0" w:color="16EFFF" w:themeColor="accent5" w:themeTint="BF"/>
          <w:left w:val="single" w:sz="8" w:space="0" w:color="16EFFF" w:themeColor="accent5" w:themeTint="BF"/>
          <w:bottom w:val="single" w:sz="8" w:space="0" w:color="16EFFF" w:themeColor="accent5" w:themeTint="BF"/>
          <w:right w:val="single" w:sz="8" w:space="0" w:color="16EFFF" w:themeColor="accent5" w:themeTint="BF"/>
          <w:insideH w:val="nil"/>
          <w:insideV w:val="nil"/>
        </w:tcBorders>
        <w:shd w:val="clear" w:color="auto" w:fill="00BAC7" w:themeFill="accent5"/>
      </w:tcPr>
    </w:tblStylePr>
    <w:tblStylePr w:type="lastRow">
      <w:pPr>
        <w:spacing w:before="0" w:after="0" w:line="240" w:lineRule="auto"/>
      </w:pPr>
      <w:rPr>
        <w:b/>
        <w:bCs/>
      </w:rPr>
      <w:tblPr/>
      <w:tcPr>
        <w:tcBorders>
          <w:top w:val="double" w:sz="6" w:space="0" w:color="16EFFF" w:themeColor="accent5" w:themeTint="BF"/>
          <w:left w:val="single" w:sz="8" w:space="0" w:color="16EFFF" w:themeColor="accent5" w:themeTint="BF"/>
          <w:bottom w:val="single" w:sz="8" w:space="0" w:color="16EFFF" w:themeColor="accent5" w:themeTint="BF"/>
          <w:right w:val="single" w:sz="8" w:space="0" w:color="16EF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2F9FF" w:themeFill="accent5" w:themeFillTint="3F"/>
      </w:tcPr>
    </w:tblStylePr>
    <w:tblStylePr w:type="band1Horz">
      <w:tblPr/>
      <w:tcPr>
        <w:tcBorders>
          <w:insideH w:val="nil"/>
          <w:insideV w:val="nil"/>
        </w:tcBorders>
        <w:shd w:val="clear" w:color="auto" w:fill="B2F9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3324A3"/>
    <w:pPr>
      <w:spacing w:after="100" w:line="264" w:lineRule="auto"/>
    </w:pPr>
    <w:rPr>
      <w:rFonts w:eastAsiaTheme="minorHAnsi"/>
      <w:lang w:eastAsia="en-US"/>
    </w:rPr>
    <w:tblPr>
      <w:tblStyleRowBandSize w:val="1"/>
      <w:tblStyleColBandSize w:val="1"/>
      <w:tblBorders>
        <w:top w:val="single" w:sz="8" w:space="0" w:color="DEE887" w:themeColor="accent6" w:themeTint="BF"/>
        <w:left w:val="single" w:sz="8" w:space="0" w:color="DEE887" w:themeColor="accent6" w:themeTint="BF"/>
        <w:bottom w:val="single" w:sz="8" w:space="0" w:color="DEE887" w:themeColor="accent6" w:themeTint="BF"/>
        <w:right w:val="single" w:sz="8" w:space="0" w:color="DEE887" w:themeColor="accent6" w:themeTint="BF"/>
        <w:insideH w:val="single" w:sz="8" w:space="0" w:color="DEE887" w:themeColor="accent6" w:themeTint="BF"/>
      </w:tblBorders>
    </w:tblPr>
    <w:tblStylePr w:type="firstRow">
      <w:pPr>
        <w:spacing w:before="0" w:after="0" w:line="240" w:lineRule="auto"/>
      </w:pPr>
      <w:rPr>
        <w:b/>
        <w:bCs/>
        <w:color w:val="FFFFFF" w:themeColor="background1"/>
      </w:rPr>
      <w:tblPr/>
      <w:tcPr>
        <w:tcBorders>
          <w:top w:val="single" w:sz="8" w:space="0" w:color="DEE887" w:themeColor="accent6" w:themeTint="BF"/>
          <w:left w:val="single" w:sz="8" w:space="0" w:color="DEE887" w:themeColor="accent6" w:themeTint="BF"/>
          <w:bottom w:val="single" w:sz="8" w:space="0" w:color="DEE887" w:themeColor="accent6" w:themeTint="BF"/>
          <w:right w:val="single" w:sz="8" w:space="0" w:color="DEE887" w:themeColor="accent6" w:themeTint="BF"/>
          <w:insideH w:val="nil"/>
          <w:insideV w:val="nil"/>
        </w:tcBorders>
        <w:shd w:val="clear" w:color="auto" w:fill="D4E15F" w:themeFill="accent6"/>
      </w:tcPr>
    </w:tblStylePr>
    <w:tblStylePr w:type="lastRow">
      <w:pPr>
        <w:spacing w:before="0" w:after="0" w:line="240" w:lineRule="auto"/>
      </w:pPr>
      <w:rPr>
        <w:b/>
        <w:bCs/>
      </w:rPr>
      <w:tblPr/>
      <w:tcPr>
        <w:tcBorders>
          <w:top w:val="double" w:sz="6" w:space="0" w:color="DEE887" w:themeColor="accent6" w:themeTint="BF"/>
          <w:left w:val="single" w:sz="8" w:space="0" w:color="DEE887" w:themeColor="accent6" w:themeTint="BF"/>
          <w:bottom w:val="single" w:sz="8" w:space="0" w:color="DEE887" w:themeColor="accent6" w:themeTint="BF"/>
          <w:right w:val="single" w:sz="8" w:space="0" w:color="DEE88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F7D7" w:themeFill="accent6" w:themeFillTint="3F"/>
      </w:tcPr>
    </w:tblStylePr>
    <w:tblStylePr w:type="band1Horz">
      <w:tblPr/>
      <w:tcPr>
        <w:tcBorders>
          <w:insideH w:val="nil"/>
          <w:insideV w:val="nil"/>
        </w:tcBorders>
        <w:shd w:val="clear" w:color="auto" w:fill="F4F7D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3324A3"/>
    <w:pPr>
      <w:spacing w:after="100" w:line="264"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B39"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B39" w:themeFill="text1"/>
      </w:tcPr>
    </w:tblStylePr>
    <w:tblStylePr w:type="lastCol">
      <w:rPr>
        <w:b/>
        <w:bCs/>
        <w:color w:val="FFFFFF" w:themeColor="background1"/>
      </w:rPr>
      <w:tblPr/>
      <w:tcPr>
        <w:tcBorders>
          <w:left w:val="nil"/>
          <w:right w:val="nil"/>
          <w:insideH w:val="nil"/>
          <w:insideV w:val="nil"/>
        </w:tcBorders>
        <w:shd w:val="clear" w:color="auto" w:fill="232B39"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324A3"/>
    <w:pPr>
      <w:spacing w:after="100" w:line="264"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189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7189D" w:themeFill="accent1"/>
      </w:tcPr>
    </w:tblStylePr>
    <w:tblStylePr w:type="lastCol">
      <w:rPr>
        <w:b/>
        <w:bCs/>
        <w:color w:val="FFFFFF" w:themeColor="background1"/>
      </w:rPr>
      <w:tblPr/>
      <w:tcPr>
        <w:tcBorders>
          <w:left w:val="nil"/>
          <w:right w:val="nil"/>
          <w:insideH w:val="nil"/>
          <w:insideV w:val="nil"/>
        </w:tcBorders>
        <w:shd w:val="clear" w:color="auto" w:fill="87189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3324A3"/>
    <w:pPr>
      <w:spacing w:after="100" w:line="264"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5DB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5DBA" w:themeFill="accent2"/>
      </w:tcPr>
    </w:tblStylePr>
    <w:tblStylePr w:type="lastCol">
      <w:rPr>
        <w:b/>
        <w:bCs/>
        <w:color w:val="FFFFFF" w:themeColor="background1"/>
      </w:rPr>
      <w:tblPr/>
      <w:tcPr>
        <w:tcBorders>
          <w:left w:val="nil"/>
          <w:right w:val="nil"/>
          <w:insideH w:val="nil"/>
          <w:insideV w:val="nil"/>
        </w:tcBorders>
        <w:shd w:val="clear" w:color="auto" w:fill="AB5DB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324A3"/>
    <w:pPr>
      <w:spacing w:after="100" w:line="264"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26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2667" w:themeFill="accent3"/>
      </w:tcPr>
    </w:tblStylePr>
    <w:tblStylePr w:type="lastCol">
      <w:rPr>
        <w:b/>
        <w:bCs/>
        <w:color w:val="FFFFFF" w:themeColor="background1"/>
      </w:rPr>
      <w:tblPr/>
      <w:tcPr>
        <w:tcBorders>
          <w:left w:val="nil"/>
          <w:right w:val="nil"/>
          <w:insideH w:val="nil"/>
          <w:insideV w:val="nil"/>
        </w:tcBorders>
        <w:shd w:val="clear" w:color="auto" w:fill="6426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3324A3"/>
    <w:pPr>
      <w:spacing w:after="100" w:line="264"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D5D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3D5D7" w:themeFill="accent4"/>
      </w:tcPr>
    </w:tblStylePr>
    <w:tblStylePr w:type="lastCol">
      <w:rPr>
        <w:b/>
        <w:bCs/>
        <w:color w:val="FFFFFF" w:themeColor="background1"/>
      </w:rPr>
      <w:tblPr/>
      <w:tcPr>
        <w:tcBorders>
          <w:left w:val="nil"/>
          <w:right w:val="nil"/>
          <w:insideH w:val="nil"/>
          <w:insideV w:val="nil"/>
        </w:tcBorders>
        <w:shd w:val="clear" w:color="auto" w:fill="D3D5D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3324A3"/>
    <w:pPr>
      <w:spacing w:after="100" w:line="264" w:lineRule="auto"/>
    </w:pPr>
    <w:rPr>
      <w:rFonts w:eastAsiaTheme="minorHAns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E15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E15F" w:themeFill="accent6"/>
      </w:tcPr>
    </w:tblStylePr>
    <w:tblStylePr w:type="lastCol">
      <w:rPr>
        <w:b/>
        <w:bCs/>
        <w:color w:val="FFFFFF" w:themeColor="background1"/>
      </w:rPr>
      <w:tblPr/>
      <w:tcPr>
        <w:tcBorders>
          <w:left w:val="nil"/>
          <w:right w:val="nil"/>
          <w:insideH w:val="nil"/>
          <w:insideV w:val="nil"/>
        </w:tcBorders>
        <w:shd w:val="clear" w:color="auto" w:fill="D4E15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3324A3"/>
    <w:pPr>
      <w:pBdr>
        <w:top w:val="single" w:sz="6" w:space="1" w:color="auto"/>
        <w:left w:val="single" w:sz="6" w:space="1" w:color="auto"/>
        <w:bottom w:val="single" w:sz="6" w:space="1" w:color="auto"/>
        <w:right w:val="single" w:sz="6" w:space="1" w:color="auto"/>
      </w:pBdr>
      <w:shd w:val="pct20" w:color="auto" w:fill="auto"/>
      <w:spacing w:before="0" w:after="100" w:line="276" w:lineRule="auto"/>
      <w:ind w:left="1134" w:hanging="1134"/>
    </w:pPr>
    <w:rPr>
      <w:rFonts w:asciiTheme="majorHAnsi" w:eastAsiaTheme="majorEastAsia" w:hAnsiTheme="majorHAnsi" w:cstheme="majorBidi"/>
      <w:color w:val="auto"/>
      <w:spacing w:val="2"/>
      <w:sz w:val="24"/>
      <w:szCs w:val="24"/>
    </w:rPr>
  </w:style>
  <w:style w:type="character" w:customStyle="1" w:styleId="MessageHeaderChar">
    <w:name w:val="Message Header Char"/>
    <w:basedOn w:val="DefaultParagraphFont"/>
    <w:link w:val="MessageHeader"/>
    <w:uiPriority w:val="99"/>
    <w:semiHidden/>
    <w:rsid w:val="003324A3"/>
    <w:rPr>
      <w:rFonts w:asciiTheme="majorHAnsi" w:eastAsiaTheme="majorEastAsia" w:hAnsiTheme="majorHAnsi" w:cstheme="majorBidi"/>
      <w:spacing w:val="2"/>
      <w:sz w:val="24"/>
      <w:szCs w:val="24"/>
      <w:shd w:val="pct20" w:color="auto" w:fill="auto"/>
    </w:rPr>
  </w:style>
  <w:style w:type="paragraph" w:styleId="NoSpacing">
    <w:name w:val="No Spacing"/>
    <w:uiPriority w:val="1"/>
    <w:semiHidden/>
    <w:rsid w:val="003324A3"/>
    <w:pPr>
      <w:keepLines/>
      <w:spacing w:after="100" w:line="264" w:lineRule="auto"/>
    </w:pPr>
    <w:rPr>
      <w:rFonts w:eastAsiaTheme="minorHAnsi"/>
      <w:lang w:eastAsia="en-US"/>
    </w:rPr>
  </w:style>
  <w:style w:type="paragraph" w:styleId="NoteHeading">
    <w:name w:val="Note Heading"/>
    <w:basedOn w:val="Normal"/>
    <w:next w:val="Normal"/>
    <w:link w:val="NoteHeadingChar"/>
    <w:uiPriority w:val="99"/>
    <w:semiHidden/>
    <w:unhideWhenUsed/>
    <w:rsid w:val="003324A3"/>
    <w:pPr>
      <w:spacing w:before="0" w:after="100" w:line="276" w:lineRule="auto"/>
    </w:pPr>
    <w:rPr>
      <w:color w:val="auto"/>
      <w:spacing w:val="2"/>
    </w:rPr>
  </w:style>
  <w:style w:type="character" w:customStyle="1" w:styleId="NoteHeadingChar">
    <w:name w:val="Note Heading Char"/>
    <w:basedOn w:val="DefaultParagraphFont"/>
    <w:link w:val="NoteHeading"/>
    <w:uiPriority w:val="99"/>
    <w:semiHidden/>
    <w:rsid w:val="003324A3"/>
    <w:rPr>
      <w:spacing w:val="2"/>
    </w:rPr>
  </w:style>
  <w:style w:type="paragraph" w:styleId="Salutation">
    <w:name w:val="Salutation"/>
    <w:basedOn w:val="Normal"/>
    <w:next w:val="Normal"/>
    <w:link w:val="SalutationChar"/>
    <w:uiPriority w:val="99"/>
    <w:semiHidden/>
    <w:unhideWhenUsed/>
    <w:rsid w:val="003324A3"/>
    <w:pPr>
      <w:spacing w:before="160" w:after="100" w:line="276" w:lineRule="auto"/>
    </w:pPr>
    <w:rPr>
      <w:color w:val="auto"/>
      <w:spacing w:val="2"/>
    </w:rPr>
  </w:style>
  <w:style w:type="character" w:customStyle="1" w:styleId="SalutationChar">
    <w:name w:val="Salutation Char"/>
    <w:basedOn w:val="DefaultParagraphFont"/>
    <w:link w:val="Salutation"/>
    <w:uiPriority w:val="99"/>
    <w:semiHidden/>
    <w:rsid w:val="003324A3"/>
    <w:rPr>
      <w:spacing w:val="2"/>
    </w:rPr>
  </w:style>
  <w:style w:type="paragraph" w:styleId="Signature">
    <w:name w:val="Signature"/>
    <w:basedOn w:val="Normal"/>
    <w:link w:val="SignatureChar"/>
    <w:uiPriority w:val="99"/>
    <w:semiHidden/>
    <w:unhideWhenUsed/>
    <w:rsid w:val="003324A3"/>
    <w:pPr>
      <w:spacing w:before="0" w:after="100" w:line="276" w:lineRule="auto"/>
      <w:ind w:left="4252"/>
    </w:pPr>
    <w:rPr>
      <w:color w:val="auto"/>
      <w:spacing w:val="2"/>
    </w:rPr>
  </w:style>
  <w:style w:type="character" w:customStyle="1" w:styleId="SignatureChar">
    <w:name w:val="Signature Char"/>
    <w:basedOn w:val="DefaultParagraphFont"/>
    <w:link w:val="Signature"/>
    <w:uiPriority w:val="99"/>
    <w:semiHidden/>
    <w:rsid w:val="003324A3"/>
    <w:rPr>
      <w:spacing w:val="2"/>
    </w:rPr>
  </w:style>
  <w:style w:type="character" w:styleId="SubtleReference">
    <w:name w:val="Subtle Reference"/>
    <w:basedOn w:val="DefaultParagraphFont"/>
    <w:uiPriority w:val="31"/>
    <w:semiHidden/>
    <w:rsid w:val="003324A3"/>
    <w:rPr>
      <w:smallCaps/>
      <w:color w:val="AB5DBA" w:themeColor="accent2"/>
      <w:u w:val="single"/>
    </w:rPr>
  </w:style>
  <w:style w:type="table" w:styleId="Table3Deffects1">
    <w:name w:val="Table 3D effects 1"/>
    <w:basedOn w:val="TableNormal"/>
    <w:uiPriority w:val="99"/>
    <w:semiHidden/>
    <w:unhideWhenUsed/>
    <w:rsid w:val="003324A3"/>
    <w:pPr>
      <w:keepLines/>
      <w:spacing w:before="160" w:after="100" w:line="264" w:lineRule="auto"/>
    </w:pPr>
    <w:rPr>
      <w:rFonts w:eastAsiaTheme="minorHAnsi"/>
      <w:lang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324A3"/>
    <w:pPr>
      <w:keepLines/>
      <w:spacing w:before="160" w:after="100" w:line="264" w:lineRule="auto"/>
    </w:pPr>
    <w:rPr>
      <w:rFonts w:eastAsiaTheme="minorHAnsi"/>
      <w:lang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324A3"/>
    <w:pPr>
      <w:keepLines/>
      <w:spacing w:before="160" w:after="100" w:line="264" w:lineRule="auto"/>
    </w:pPr>
    <w:rPr>
      <w:rFonts w:eastAsiaTheme="minorHAnsi"/>
      <w:lang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324A3"/>
    <w:pPr>
      <w:keepLines/>
      <w:spacing w:before="160" w:after="100" w:line="264" w:lineRule="auto"/>
    </w:pPr>
    <w:rPr>
      <w:rFonts w:eastAsiaTheme="minorHAnsi"/>
      <w:lang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324A3"/>
    <w:pPr>
      <w:keepLines/>
      <w:spacing w:before="160" w:after="100" w:line="264" w:lineRule="auto"/>
    </w:pPr>
    <w:rPr>
      <w:rFonts w:eastAsiaTheme="minorHAnsi"/>
      <w:lang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324A3"/>
    <w:pPr>
      <w:keepLines/>
      <w:spacing w:before="160" w:after="100" w:line="264" w:lineRule="auto"/>
    </w:pPr>
    <w:rPr>
      <w:rFonts w:eastAsiaTheme="minorHAnsi"/>
      <w:color w:val="000080"/>
      <w:lang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324A3"/>
    <w:pPr>
      <w:keepLines/>
      <w:spacing w:before="160" w:after="100" w:line="264" w:lineRule="auto"/>
    </w:pPr>
    <w:rPr>
      <w:rFonts w:eastAsiaTheme="minorHAnsi"/>
      <w:lang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324A3"/>
    <w:pPr>
      <w:keepLines/>
      <w:spacing w:before="160" w:after="100" w:line="264" w:lineRule="auto"/>
    </w:pPr>
    <w:rPr>
      <w:rFonts w:eastAsiaTheme="minorHAnsi"/>
      <w:color w:val="FFFFFF"/>
      <w:lang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324A3"/>
    <w:pPr>
      <w:keepLines/>
      <w:spacing w:before="160" w:after="100" w:line="264" w:lineRule="auto"/>
    </w:pPr>
    <w:rPr>
      <w:rFonts w:eastAsiaTheme="minorHAnsi"/>
      <w:lang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324A3"/>
    <w:pPr>
      <w:keepLines/>
      <w:spacing w:before="160" w:after="100" w:line="264" w:lineRule="auto"/>
    </w:pPr>
    <w:rPr>
      <w:rFonts w:eastAsiaTheme="minorHAnsi"/>
      <w:lang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324A3"/>
    <w:pPr>
      <w:keepLines/>
      <w:spacing w:before="160" w:after="100" w:line="264" w:lineRule="auto"/>
    </w:pPr>
    <w:rPr>
      <w:rFonts w:eastAsiaTheme="minorHAnsi"/>
      <w:b/>
      <w:bCs/>
      <w:lang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324A3"/>
    <w:pPr>
      <w:keepLines/>
      <w:spacing w:before="160" w:after="100" w:line="264" w:lineRule="auto"/>
    </w:pPr>
    <w:rPr>
      <w:rFonts w:eastAsiaTheme="minorHAnsi"/>
      <w:b/>
      <w:bCs/>
      <w:lang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324A3"/>
    <w:pPr>
      <w:keepLines/>
      <w:spacing w:before="160" w:after="100" w:line="264" w:lineRule="auto"/>
    </w:pPr>
    <w:rPr>
      <w:rFonts w:eastAsiaTheme="minorHAnsi"/>
      <w:b/>
      <w:bCs/>
      <w:lang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324A3"/>
    <w:pPr>
      <w:keepLines/>
      <w:spacing w:before="160" w:after="100" w:line="264" w:lineRule="auto"/>
    </w:pPr>
    <w:rPr>
      <w:rFonts w:eastAsiaTheme="minorHAnsi"/>
      <w:lang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324A3"/>
    <w:pPr>
      <w:keepLines/>
      <w:spacing w:before="160" w:after="100" w:line="264" w:lineRule="auto"/>
    </w:pPr>
    <w:rPr>
      <w:rFonts w:eastAsiaTheme="minorHAnsi"/>
      <w:lang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324A3"/>
    <w:pPr>
      <w:keepLines/>
      <w:spacing w:before="160" w:after="100" w:line="264" w:lineRule="auto"/>
    </w:pPr>
    <w:rPr>
      <w:rFonts w:eastAsiaTheme="minorHAnsi"/>
      <w:lang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324A3"/>
    <w:pPr>
      <w:keepLines/>
      <w:spacing w:before="160" w:after="100" w:line="264" w:lineRule="auto"/>
    </w:pPr>
    <w:rPr>
      <w:rFonts w:eastAsiaTheme="minorHAnsi"/>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324A3"/>
    <w:pPr>
      <w:keepLines/>
      <w:spacing w:before="160" w:after="100" w:line="264" w:lineRule="auto"/>
    </w:pPr>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324A3"/>
    <w:pPr>
      <w:keepLines/>
      <w:spacing w:before="160" w:after="100" w:line="264" w:lineRule="auto"/>
    </w:pPr>
    <w:rPr>
      <w:rFonts w:eastAsiaTheme="minorHAnsi"/>
      <w:lang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324A3"/>
    <w:pPr>
      <w:keepLines/>
      <w:spacing w:before="160" w:after="100" w:line="264" w:lineRule="auto"/>
    </w:pPr>
    <w:rPr>
      <w:rFonts w:eastAsiaTheme="minorHAnsi"/>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324A3"/>
    <w:pPr>
      <w:keepLines/>
      <w:spacing w:before="160" w:after="100" w:line="264" w:lineRule="auto"/>
    </w:pPr>
    <w:rPr>
      <w:rFonts w:eastAsiaTheme="minorHAnsi"/>
      <w:lang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324A3"/>
    <w:pPr>
      <w:keepLines/>
      <w:spacing w:before="160" w:after="100" w:line="264" w:lineRule="auto"/>
    </w:pPr>
    <w:rPr>
      <w:rFonts w:eastAsiaTheme="minorHAnsi"/>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324A3"/>
    <w:pPr>
      <w:keepLines/>
      <w:spacing w:before="160" w:after="100" w:line="264" w:lineRule="auto"/>
    </w:pPr>
    <w:rPr>
      <w:rFonts w:eastAsiaTheme="minorHAnsi"/>
      <w:lang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324A3"/>
    <w:pPr>
      <w:keepLines/>
      <w:spacing w:before="160" w:after="100" w:line="264" w:lineRule="auto"/>
    </w:pPr>
    <w:rPr>
      <w:rFonts w:eastAsiaTheme="minorHAnsi"/>
      <w:b/>
      <w:bCs/>
      <w:lang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324A3"/>
    <w:pPr>
      <w:keepLines/>
      <w:spacing w:before="160" w:after="100" w:line="264" w:lineRule="auto"/>
    </w:pPr>
    <w:rPr>
      <w:rFonts w:eastAsiaTheme="minorHAnsi"/>
      <w:lang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3324A3"/>
    <w:pPr>
      <w:keepLines/>
      <w:spacing w:before="160" w:after="100" w:line="264" w:lineRule="auto"/>
    </w:pPr>
    <w:rPr>
      <w:rFonts w:eastAsiaTheme="minorHAnsi"/>
      <w:lang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324A3"/>
    <w:pPr>
      <w:keepLines/>
      <w:spacing w:before="160" w:after="100" w:line="264" w:lineRule="auto"/>
    </w:pPr>
    <w:rPr>
      <w:rFonts w:eastAsiaTheme="minorHAnsi"/>
      <w:lang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324A3"/>
    <w:pPr>
      <w:keepLines/>
      <w:spacing w:before="160" w:after="100" w:line="264" w:lineRule="auto"/>
    </w:pPr>
    <w:rPr>
      <w:rFonts w:eastAsiaTheme="minorHAnsi"/>
      <w:lang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324A3"/>
    <w:pPr>
      <w:keepLines/>
      <w:spacing w:before="160" w:after="100" w:line="264" w:lineRule="auto"/>
    </w:pPr>
    <w:rPr>
      <w:rFonts w:eastAsiaTheme="minorHAnsi"/>
      <w:lang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324A3"/>
    <w:pPr>
      <w:keepLines/>
      <w:spacing w:before="160" w:after="100" w:line="264" w:lineRule="auto"/>
    </w:pPr>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324A3"/>
    <w:pPr>
      <w:keepLines/>
      <w:spacing w:before="160" w:after="100" w:line="264" w:lineRule="auto"/>
    </w:pPr>
    <w:rPr>
      <w:rFonts w:eastAsiaTheme="minorHAnsi"/>
      <w:lang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324A3"/>
    <w:pPr>
      <w:keepLines/>
      <w:spacing w:before="160" w:after="100" w:line="264" w:lineRule="auto"/>
    </w:pPr>
    <w:rPr>
      <w:rFonts w:eastAsiaTheme="minorHAnsi"/>
      <w:lang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324A3"/>
    <w:pPr>
      <w:keepLines/>
      <w:spacing w:before="160" w:after="100" w:line="264" w:lineRule="auto"/>
    </w:pPr>
    <w:rPr>
      <w:rFonts w:eastAsiaTheme="minorHAnsi"/>
      <w:lang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3324A3"/>
    <w:pPr>
      <w:keepLines/>
      <w:spacing w:before="160" w:after="100" w:line="264" w:lineRule="auto"/>
    </w:pPr>
    <w:rPr>
      <w:rFonts w:eastAsiaTheme="minorHAns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semiHidden/>
    <w:unhideWhenUsed/>
    <w:rsid w:val="003324A3"/>
    <w:pPr>
      <w:keepLines/>
      <w:spacing w:before="160" w:after="100" w:line="264"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324A3"/>
    <w:pPr>
      <w:keepLines/>
      <w:spacing w:before="160" w:after="100" w:line="264" w:lineRule="auto"/>
    </w:pPr>
    <w:rPr>
      <w:rFonts w:eastAsiaTheme="minorHAnsi"/>
      <w:lang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324A3"/>
    <w:pPr>
      <w:keepLines/>
      <w:spacing w:before="160" w:after="100" w:line="264" w:lineRule="auto"/>
    </w:pPr>
    <w:rPr>
      <w:rFonts w:eastAsiaTheme="minorHAnsi"/>
      <w:lang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324A3"/>
    <w:pPr>
      <w:keepLines/>
      <w:spacing w:before="160" w:after="100" w:line="264" w:lineRule="auto"/>
    </w:pPr>
    <w:rPr>
      <w:rFonts w:eastAsiaTheme="minorHAnsi"/>
      <w:lang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3324A3"/>
    <w:pPr>
      <w:spacing w:before="160" w:after="100" w:line="276" w:lineRule="auto"/>
    </w:pPr>
    <w:rPr>
      <w:rFonts w:asciiTheme="majorHAnsi" w:eastAsiaTheme="majorEastAsia" w:hAnsiTheme="majorHAnsi" w:cstheme="majorBidi"/>
      <w:b/>
      <w:bCs/>
      <w:color w:val="auto"/>
      <w:spacing w:val="2"/>
      <w:sz w:val="24"/>
      <w:szCs w:val="24"/>
    </w:rPr>
  </w:style>
  <w:style w:type="paragraph" w:styleId="TOC8">
    <w:name w:val="toc 8"/>
    <w:basedOn w:val="Normal"/>
    <w:next w:val="Normal"/>
    <w:autoRedefine/>
    <w:uiPriority w:val="39"/>
    <w:semiHidden/>
    <w:rsid w:val="003324A3"/>
    <w:pPr>
      <w:spacing w:before="160" w:after="100" w:line="276" w:lineRule="auto"/>
      <w:ind w:left="1540"/>
    </w:pPr>
    <w:rPr>
      <w:color w:val="auto"/>
      <w:spacing w:val="2"/>
    </w:rPr>
  </w:style>
  <w:style w:type="character" w:customStyle="1" w:styleId="FooterevenChar">
    <w:name w:val="Footer (even) Char"/>
    <w:basedOn w:val="FooterChar"/>
    <w:link w:val="Footereven"/>
    <w:uiPriority w:val="84"/>
    <w:rsid w:val="003324A3"/>
    <w:rPr>
      <w:rFonts w:asciiTheme="majorHAnsi" w:hAnsiTheme="majorHAnsi"/>
      <w:noProof/>
      <w:color w:val="232B39" w:themeColor="text1"/>
      <w:spacing w:val="2"/>
      <w:sz w:val="18"/>
      <w:szCs w:val="18"/>
    </w:rPr>
  </w:style>
  <w:style w:type="paragraph" w:customStyle="1" w:styleId="ObjectiveHeading">
    <w:name w:val="Objective Heading"/>
    <w:basedOn w:val="Normal"/>
    <w:next w:val="Normal"/>
    <w:uiPriority w:val="62"/>
    <w:semiHidden/>
    <w:qFormat/>
    <w:rsid w:val="003324A3"/>
    <w:pPr>
      <w:keepNext/>
      <w:pBdr>
        <w:top w:val="single" w:sz="6" w:space="3" w:color="auto"/>
        <w:left w:val="single" w:sz="6" w:space="5" w:color="auto"/>
        <w:bottom w:val="single" w:sz="6" w:space="3" w:color="auto"/>
        <w:right w:val="single" w:sz="6" w:space="5" w:color="auto"/>
      </w:pBdr>
      <w:shd w:val="clear" w:color="auto" w:fill="F2F2F2" w:themeFill="background1" w:themeFillShade="F2"/>
      <w:spacing w:before="160" w:after="100" w:line="276" w:lineRule="auto"/>
    </w:pPr>
    <w:rPr>
      <w:rFonts w:asciiTheme="majorHAnsi" w:hAnsiTheme="majorHAnsi"/>
      <w:b/>
      <w:color w:val="auto"/>
      <w:spacing w:val="2"/>
      <w:sz w:val="24"/>
    </w:rPr>
  </w:style>
  <w:style w:type="paragraph" w:customStyle="1" w:styleId="HighlightBoxcheckbox">
    <w:name w:val="Highlight Box checkbox"/>
    <w:basedOn w:val="HighlightBoxBullet"/>
    <w:uiPriority w:val="61"/>
    <w:qFormat/>
    <w:rsid w:val="003324A3"/>
    <w:pPr>
      <w:numPr>
        <w:numId w:val="9"/>
      </w:numPr>
    </w:pPr>
  </w:style>
  <w:style w:type="paragraph" w:styleId="Revision">
    <w:name w:val="Revision"/>
    <w:hidden/>
    <w:uiPriority w:val="99"/>
    <w:semiHidden/>
    <w:rsid w:val="003324A3"/>
    <w:pPr>
      <w:spacing w:after="0" w:line="240" w:lineRule="auto"/>
    </w:pPr>
    <w:rPr>
      <w:spacing w:val="2"/>
    </w:rPr>
  </w:style>
  <w:style w:type="character" w:customStyle="1" w:styleId="ListnumChar">
    <w:name w:val="List num Char"/>
    <w:basedOn w:val="DefaultParagraphFont"/>
    <w:link w:val="Listnum"/>
    <w:uiPriority w:val="2"/>
    <w:rsid w:val="00301FA9"/>
    <w:rPr>
      <w:color w:val="232B39" w:themeColor="text1"/>
    </w:rPr>
  </w:style>
  <w:style w:type="paragraph" w:customStyle="1" w:styleId="Index11">
    <w:name w:val="Index 11"/>
    <w:basedOn w:val="Normal"/>
    <w:next w:val="Normal"/>
    <w:uiPriority w:val="99"/>
    <w:semiHidden/>
    <w:rsid w:val="00301FA9"/>
    <w:pPr>
      <w:spacing w:after="60" w:line="240" w:lineRule="auto"/>
      <w:ind w:left="851"/>
    </w:pPr>
    <w:rPr>
      <w:rFonts w:ascii="Arial" w:eastAsia="MS Mincho" w:hAnsi="Arial" w:cs="Times New Roman"/>
      <w:color w:val="232B39"/>
      <w:sz w:val="16"/>
    </w:rPr>
  </w:style>
  <w:style w:type="paragraph" w:customStyle="1" w:styleId="Index21">
    <w:name w:val="Index 21"/>
    <w:basedOn w:val="Normal"/>
    <w:next w:val="Normal"/>
    <w:uiPriority w:val="99"/>
    <w:semiHidden/>
    <w:rsid w:val="00301FA9"/>
    <w:pPr>
      <w:spacing w:after="0" w:line="240" w:lineRule="auto"/>
      <w:ind w:left="216"/>
    </w:pPr>
    <w:rPr>
      <w:rFonts w:ascii="Arial" w:eastAsia="MS Mincho" w:hAnsi="Arial" w:cs="Times New Roman"/>
      <w:color w:val="232B39"/>
      <w:sz w:val="16"/>
      <w:szCs w:val="16"/>
    </w:rPr>
  </w:style>
  <w:style w:type="paragraph" w:customStyle="1" w:styleId="BalloonText1">
    <w:name w:val="Balloon Text1"/>
    <w:basedOn w:val="Normal"/>
    <w:next w:val="BalloonText"/>
    <w:uiPriority w:val="99"/>
    <w:semiHidden/>
    <w:rsid w:val="00301FA9"/>
    <w:pPr>
      <w:spacing w:after="0" w:line="240" w:lineRule="auto"/>
      <w:ind w:left="851"/>
    </w:pPr>
    <w:rPr>
      <w:rFonts w:ascii="Tahoma" w:eastAsia="Calibri" w:hAnsi="Tahoma" w:cs="Tahoma"/>
      <w:color w:val="232B39"/>
      <w:sz w:val="16"/>
      <w:szCs w:val="16"/>
      <w:lang w:eastAsia="en-US"/>
    </w:rPr>
  </w:style>
  <w:style w:type="paragraph" w:customStyle="1" w:styleId="IndexHeading1">
    <w:name w:val="Index Heading1"/>
    <w:basedOn w:val="Normal"/>
    <w:next w:val="Index1"/>
    <w:uiPriority w:val="99"/>
    <w:semiHidden/>
    <w:rsid w:val="00301FA9"/>
    <w:pPr>
      <w:ind w:left="851"/>
    </w:pPr>
    <w:rPr>
      <w:rFonts w:ascii="Arial" w:eastAsia="MS Gothic" w:hAnsi="Arial" w:cs="Times New Roman"/>
      <w:b/>
      <w:bCs/>
      <w:color w:val="232B39"/>
    </w:rPr>
  </w:style>
  <w:style w:type="paragraph" w:customStyle="1" w:styleId="FootnoteText1">
    <w:name w:val="Footnote Text1"/>
    <w:basedOn w:val="Normal"/>
    <w:next w:val="FootnoteText"/>
    <w:uiPriority w:val="99"/>
    <w:semiHidden/>
    <w:rsid w:val="00301FA9"/>
    <w:pPr>
      <w:spacing w:after="0" w:line="240" w:lineRule="auto"/>
      <w:ind w:left="851"/>
    </w:pPr>
    <w:rPr>
      <w:rFonts w:ascii="Arial" w:eastAsia="Calibri" w:hAnsi="Arial" w:cs="Times New Roman"/>
      <w:color w:val="232B39"/>
      <w:sz w:val="17"/>
      <w:szCs w:val="22"/>
      <w:lang w:eastAsia="en-US"/>
    </w:rPr>
  </w:style>
  <w:style w:type="character" w:customStyle="1" w:styleId="FollowedHyperlink1">
    <w:name w:val="FollowedHyperlink1"/>
    <w:basedOn w:val="DefaultParagraphFont"/>
    <w:uiPriority w:val="99"/>
    <w:semiHidden/>
    <w:rsid w:val="00301FA9"/>
    <w:rPr>
      <w:color w:val="808080"/>
      <w:u w:val="none"/>
    </w:rPr>
  </w:style>
  <w:style w:type="numbering" w:customStyle="1" w:styleId="Bullet">
    <w:name w:val="Bullet"/>
    <w:uiPriority w:val="99"/>
    <w:rsid w:val="00301FA9"/>
    <w:pPr>
      <w:numPr>
        <w:numId w:val="4"/>
      </w:numPr>
    </w:pPr>
  </w:style>
  <w:style w:type="paragraph" w:customStyle="1" w:styleId="Revision1">
    <w:name w:val="Revision1"/>
    <w:next w:val="Revision"/>
    <w:hidden/>
    <w:uiPriority w:val="99"/>
    <w:semiHidden/>
    <w:rsid w:val="00301FA9"/>
    <w:pPr>
      <w:spacing w:after="0" w:line="240" w:lineRule="auto"/>
    </w:pPr>
    <w:rPr>
      <w:rFonts w:eastAsia="MS Mincho"/>
      <w:color w:val="232B39"/>
    </w:rPr>
  </w:style>
  <w:style w:type="character" w:styleId="Mention">
    <w:name w:val="Mention"/>
    <w:basedOn w:val="DefaultParagraphFont"/>
    <w:uiPriority w:val="99"/>
    <w:unhideWhenUsed/>
    <w:rsid w:val="00301FA9"/>
    <w:rPr>
      <w:color w:val="2B579A"/>
      <w:shd w:val="clear" w:color="auto" w:fill="E1DFDD"/>
    </w:rPr>
  </w:style>
  <w:style w:type="character" w:customStyle="1" w:styleId="Heading2Char1">
    <w:name w:val="Heading 2 Char1"/>
    <w:basedOn w:val="DefaultParagraphFont"/>
    <w:uiPriority w:val="9"/>
    <w:semiHidden/>
    <w:rsid w:val="00301FA9"/>
    <w:rPr>
      <w:rFonts w:ascii="Calibri Light" w:eastAsia="Times New Roman" w:hAnsi="Calibri Light" w:cs="Times New Roman"/>
      <w:color w:val="2F5496"/>
      <w:sz w:val="26"/>
      <w:szCs w:val="26"/>
    </w:rPr>
  </w:style>
  <w:style w:type="character" w:customStyle="1" w:styleId="Heading3Char1">
    <w:name w:val="Heading 3 Char1"/>
    <w:basedOn w:val="DefaultParagraphFont"/>
    <w:uiPriority w:val="9"/>
    <w:semiHidden/>
    <w:rsid w:val="00301FA9"/>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301FA9"/>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301FA9"/>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301FA9"/>
    <w:rPr>
      <w:rFonts w:ascii="Calibri Light" w:eastAsia="Times New Roman" w:hAnsi="Calibri Light" w:cs="Times New Roman"/>
      <w:color w:val="1F3763"/>
    </w:rPr>
  </w:style>
  <w:style w:type="character" w:customStyle="1" w:styleId="BalloonTextChar1">
    <w:name w:val="Balloon Text Char1"/>
    <w:basedOn w:val="DefaultParagraphFont"/>
    <w:uiPriority w:val="99"/>
    <w:semiHidden/>
    <w:rsid w:val="00301FA9"/>
    <w:rPr>
      <w:rFonts w:ascii="Segoe UI" w:hAnsi="Segoe UI" w:cs="Segoe UI"/>
      <w:sz w:val="18"/>
      <w:szCs w:val="18"/>
    </w:rPr>
  </w:style>
  <w:style w:type="character" w:customStyle="1" w:styleId="FooterChar1">
    <w:name w:val="Footer Char1"/>
    <w:basedOn w:val="DefaultParagraphFont"/>
    <w:uiPriority w:val="99"/>
    <w:rsid w:val="00301FA9"/>
  </w:style>
  <w:style w:type="character" w:customStyle="1" w:styleId="BodyTextChar1">
    <w:name w:val="Body Text Char1"/>
    <w:basedOn w:val="DefaultParagraphFont"/>
    <w:uiPriority w:val="99"/>
    <w:semiHidden/>
    <w:rsid w:val="00301FA9"/>
  </w:style>
  <w:style w:type="character" w:customStyle="1" w:styleId="FootnoteTextChar1">
    <w:name w:val="Footnote Text Char1"/>
    <w:basedOn w:val="DefaultParagraphFont"/>
    <w:uiPriority w:val="99"/>
    <w:semiHidden/>
    <w:rsid w:val="00301FA9"/>
    <w:rPr>
      <w:sz w:val="20"/>
      <w:szCs w:val="20"/>
    </w:rPr>
  </w:style>
  <w:style w:type="paragraph" w:customStyle="1" w:styleId="ListBullet2">
    <w:name w:val="List Bullet2"/>
    <w:basedOn w:val="Normal"/>
    <w:next w:val="Normal"/>
    <w:uiPriority w:val="99"/>
    <w:semiHidden/>
    <w:unhideWhenUsed/>
    <w:rsid w:val="00301FA9"/>
    <w:pPr>
      <w:tabs>
        <w:tab w:val="num" w:pos="360"/>
      </w:tabs>
      <w:spacing w:after="160" w:line="259" w:lineRule="auto"/>
      <w:ind w:left="360" w:hanging="360"/>
      <w:contextualSpacing/>
    </w:pPr>
    <w:rPr>
      <w:rFonts w:ascii="Arial" w:eastAsia="Calibri" w:hAnsi="Arial" w:cs="Times New Roman"/>
      <w:color w:val="auto"/>
      <w:sz w:val="22"/>
      <w:szCs w:val="22"/>
      <w:lang w:eastAsia="en-US"/>
    </w:rPr>
  </w:style>
  <w:style w:type="paragraph" w:customStyle="1" w:styleId="ListBullet22">
    <w:name w:val="List Bullet 22"/>
    <w:basedOn w:val="Normal"/>
    <w:next w:val="Normal"/>
    <w:uiPriority w:val="99"/>
    <w:semiHidden/>
    <w:unhideWhenUsed/>
    <w:rsid w:val="00301FA9"/>
    <w:pPr>
      <w:tabs>
        <w:tab w:val="num" w:pos="360"/>
      </w:tabs>
      <w:spacing w:after="160" w:line="259" w:lineRule="auto"/>
      <w:ind w:left="360" w:hanging="360"/>
      <w:contextualSpacing/>
    </w:pPr>
    <w:rPr>
      <w:rFonts w:ascii="Arial" w:eastAsia="Calibri" w:hAnsi="Arial" w:cs="Times New Roman"/>
      <w:color w:val="auto"/>
      <w:sz w:val="22"/>
      <w:szCs w:val="22"/>
      <w:lang w:eastAsia="en-US"/>
    </w:rPr>
  </w:style>
  <w:style w:type="paragraph" w:customStyle="1" w:styleId="ListBullet32">
    <w:name w:val="List Bullet 32"/>
    <w:basedOn w:val="Normal"/>
    <w:next w:val="Normal"/>
    <w:uiPriority w:val="99"/>
    <w:semiHidden/>
    <w:unhideWhenUsed/>
    <w:rsid w:val="00301FA9"/>
    <w:pPr>
      <w:spacing w:after="160" w:line="259" w:lineRule="auto"/>
      <w:ind w:left="360" w:hanging="360"/>
      <w:contextualSpacing/>
    </w:pPr>
    <w:rPr>
      <w:rFonts w:ascii="Arial" w:eastAsia="Calibri" w:hAnsi="Arial" w:cs="Times New Roman"/>
      <w:color w:val="auto"/>
      <w:sz w:val="22"/>
      <w:szCs w:val="22"/>
      <w:lang w:eastAsia="en-US"/>
    </w:rPr>
  </w:style>
  <w:style w:type="paragraph" w:customStyle="1" w:styleId="Revision2">
    <w:name w:val="Revision2"/>
    <w:next w:val="Revision"/>
    <w:hidden/>
    <w:uiPriority w:val="99"/>
    <w:semiHidden/>
    <w:rsid w:val="00301FA9"/>
    <w:pPr>
      <w:spacing w:after="0" w:line="240" w:lineRule="auto"/>
    </w:pPr>
    <w:rPr>
      <w:rFonts w:eastAsia="Calibri"/>
      <w:sz w:val="22"/>
      <w:szCs w:val="22"/>
      <w:lang w:eastAsia="en-US"/>
    </w:rPr>
  </w:style>
  <w:style w:type="character" w:customStyle="1" w:styleId="Heading6Char2">
    <w:name w:val="Heading 6 Char2"/>
    <w:basedOn w:val="DefaultParagraphFont"/>
    <w:uiPriority w:val="9"/>
    <w:semiHidden/>
    <w:rsid w:val="00301FA9"/>
    <w:rPr>
      <w:rFonts w:asciiTheme="majorHAnsi" w:eastAsiaTheme="majorEastAsia" w:hAnsiTheme="majorHAnsi" w:cstheme="majorBidi"/>
      <w:color w:val="420C4E" w:themeColor="accent1" w:themeShade="7F"/>
    </w:rPr>
  </w:style>
  <w:style w:type="table" w:styleId="ListTable3-Accent3">
    <w:name w:val="List Table 3 Accent 3"/>
    <w:basedOn w:val="TableNormal"/>
    <w:uiPriority w:val="48"/>
    <w:rsid w:val="00301FA9"/>
    <w:pPr>
      <w:spacing w:after="0" w:line="240" w:lineRule="auto"/>
    </w:pPr>
    <w:tblPr>
      <w:tblStyleRowBandSize w:val="1"/>
      <w:tblStyleColBandSize w:val="1"/>
      <w:tblBorders>
        <w:top w:val="single" w:sz="4" w:space="0" w:color="642667" w:themeColor="accent3"/>
        <w:left w:val="single" w:sz="4" w:space="0" w:color="642667" w:themeColor="accent3"/>
        <w:bottom w:val="single" w:sz="4" w:space="0" w:color="642667" w:themeColor="accent3"/>
        <w:right w:val="single" w:sz="4" w:space="0" w:color="642667" w:themeColor="accent3"/>
      </w:tblBorders>
    </w:tblPr>
    <w:tblStylePr w:type="firstRow">
      <w:rPr>
        <w:b/>
        <w:bCs/>
        <w:color w:val="FFFFFF" w:themeColor="background1"/>
      </w:rPr>
      <w:tblPr/>
      <w:tcPr>
        <w:shd w:val="clear" w:color="auto" w:fill="642667" w:themeFill="accent3"/>
      </w:tcPr>
    </w:tblStylePr>
    <w:tblStylePr w:type="lastRow">
      <w:rPr>
        <w:b/>
        <w:bCs/>
      </w:rPr>
      <w:tblPr/>
      <w:tcPr>
        <w:tcBorders>
          <w:top w:val="double" w:sz="4" w:space="0" w:color="6426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2667" w:themeColor="accent3"/>
          <w:right w:val="single" w:sz="4" w:space="0" w:color="642667" w:themeColor="accent3"/>
        </w:tcBorders>
      </w:tcPr>
    </w:tblStylePr>
    <w:tblStylePr w:type="band1Horz">
      <w:tblPr/>
      <w:tcPr>
        <w:tcBorders>
          <w:top w:val="single" w:sz="4" w:space="0" w:color="642667" w:themeColor="accent3"/>
          <w:bottom w:val="single" w:sz="4" w:space="0" w:color="6426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2667" w:themeColor="accent3"/>
          <w:left w:val="nil"/>
        </w:tcBorders>
      </w:tcPr>
    </w:tblStylePr>
    <w:tblStylePr w:type="swCell">
      <w:tblPr/>
      <w:tcPr>
        <w:tcBorders>
          <w:top w:val="double" w:sz="4" w:space="0" w:color="642667" w:themeColor="accent3"/>
          <w:right w:val="nil"/>
        </w:tcBorders>
      </w:tcPr>
    </w:tblStylePr>
  </w:style>
  <w:style w:type="table" w:styleId="ListTable3">
    <w:name w:val="List Table 3"/>
    <w:basedOn w:val="TableNormal"/>
    <w:uiPriority w:val="48"/>
    <w:rsid w:val="00301FA9"/>
    <w:pPr>
      <w:spacing w:after="0" w:line="240" w:lineRule="auto"/>
    </w:pPr>
    <w:tblPr>
      <w:tblStyleRowBandSize w:val="1"/>
      <w:tblStyleColBandSize w:val="1"/>
      <w:tblBorders>
        <w:top w:val="single" w:sz="4" w:space="0" w:color="232B39" w:themeColor="text1"/>
        <w:left w:val="single" w:sz="4" w:space="0" w:color="232B39" w:themeColor="text1"/>
        <w:bottom w:val="single" w:sz="4" w:space="0" w:color="232B39" w:themeColor="text1"/>
        <w:right w:val="single" w:sz="4" w:space="0" w:color="232B39" w:themeColor="text1"/>
      </w:tblBorders>
    </w:tblPr>
    <w:tblStylePr w:type="firstRow">
      <w:rPr>
        <w:b/>
        <w:bCs/>
        <w:color w:val="FFFFFF" w:themeColor="background1"/>
      </w:rPr>
      <w:tblPr/>
      <w:tcPr>
        <w:shd w:val="clear" w:color="auto" w:fill="232B39" w:themeFill="text1"/>
      </w:tcPr>
    </w:tblStylePr>
    <w:tblStylePr w:type="lastRow">
      <w:rPr>
        <w:b/>
        <w:bCs/>
      </w:rPr>
      <w:tblPr/>
      <w:tcPr>
        <w:tcBorders>
          <w:top w:val="double" w:sz="4" w:space="0" w:color="232B3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B39" w:themeColor="text1"/>
          <w:right w:val="single" w:sz="4" w:space="0" w:color="232B39" w:themeColor="text1"/>
        </w:tcBorders>
      </w:tcPr>
    </w:tblStylePr>
    <w:tblStylePr w:type="band1Horz">
      <w:tblPr/>
      <w:tcPr>
        <w:tcBorders>
          <w:top w:val="single" w:sz="4" w:space="0" w:color="232B39" w:themeColor="text1"/>
          <w:bottom w:val="single" w:sz="4" w:space="0" w:color="232B3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B39" w:themeColor="text1"/>
          <w:left w:val="nil"/>
        </w:tcBorders>
      </w:tcPr>
    </w:tblStylePr>
    <w:tblStylePr w:type="swCell">
      <w:tblPr/>
      <w:tcPr>
        <w:tcBorders>
          <w:top w:val="double" w:sz="4" w:space="0" w:color="232B39" w:themeColor="text1"/>
          <w:right w:val="nil"/>
        </w:tcBorders>
      </w:tcPr>
    </w:tblStylePr>
  </w:style>
  <w:style w:type="table" w:styleId="ListTable4-Accent6">
    <w:name w:val="List Table 4 Accent 6"/>
    <w:basedOn w:val="TableNormal"/>
    <w:uiPriority w:val="49"/>
    <w:rsid w:val="00301FA9"/>
    <w:pPr>
      <w:spacing w:after="0" w:line="240" w:lineRule="auto"/>
    </w:pPr>
    <w:tblPr>
      <w:tblStyleRowBandSize w:val="1"/>
      <w:tblStyleColBandSize w:val="1"/>
      <w:tblBorders>
        <w:top w:val="single" w:sz="4" w:space="0" w:color="E5ED9F" w:themeColor="accent6" w:themeTint="99"/>
        <w:left w:val="single" w:sz="4" w:space="0" w:color="E5ED9F" w:themeColor="accent6" w:themeTint="99"/>
        <w:bottom w:val="single" w:sz="4" w:space="0" w:color="E5ED9F" w:themeColor="accent6" w:themeTint="99"/>
        <w:right w:val="single" w:sz="4" w:space="0" w:color="E5ED9F" w:themeColor="accent6" w:themeTint="99"/>
        <w:insideH w:val="single" w:sz="4" w:space="0" w:color="E5ED9F" w:themeColor="accent6" w:themeTint="99"/>
      </w:tblBorders>
    </w:tblPr>
    <w:tblStylePr w:type="firstRow">
      <w:rPr>
        <w:b/>
        <w:bCs/>
        <w:color w:val="FFFFFF" w:themeColor="background1"/>
      </w:rPr>
      <w:tblPr/>
      <w:tcPr>
        <w:tcBorders>
          <w:top w:val="single" w:sz="4" w:space="0" w:color="D4E15F" w:themeColor="accent6"/>
          <w:left w:val="single" w:sz="4" w:space="0" w:color="D4E15F" w:themeColor="accent6"/>
          <w:bottom w:val="single" w:sz="4" w:space="0" w:color="D4E15F" w:themeColor="accent6"/>
          <w:right w:val="single" w:sz="4" w:space="0" w:color="D4E15F" w:themeColor="accent6"/>
          <w:insideH w:val="nil"/>
        </w:tcBorders>
        <w:shd w:val="clear" w:color="auto" w:fill="D4E15F" w:themeFill="accent6"/>
      </w:tcPr>
    </w:tblStylePr>
    <w:tblStylePr w:type="lastRow">
      <w:rPr>
        <w:b/>
        <w:bCs/>
      </w:rPr>
      <w:tblPr/>
      <w:tcPr>
        <w:tcBorders>
          <w:top w:val="double" w:sz="4" w:space="0" w:color="E5ED9F" w:themeColor="accent6" w:themeTint="99"/>
        </w:tcBorders>
      </w:tcPr>
    </w:tblStylePr>
    <w:tblStylePr w:type="firstCol">
      <w:rPr>
        <w:b/>
        <w:bCs/>
      </w:rPr>
    </w:tblStylePr>
    <w:tblStylePr w:type="lastCol">
      <w:rPr>
        <w:b/>
        <w:bCs/>
      </w:rPr>
    </w:tblStylePr>
    <w:tblStylePr w:type="band1Vert">
      <w:tblPr/>
      <w:tcPr>
        <w:shd w:val="clear" w:color="auto" w:fill="F6F9DF" w:themeFill="accent6" w:themeFillTint="33"/>
      </w:tcPr>
    </w:tblStylePr>
    <w:tblStylePr w:type="band1Horz">
      <w:tblPr/>
      <w:tcPr>
        <w:shd w:val="clear" w:color="auto" w:fill="F6F9DF" w:themeFill="accent6" w:themeFillTint="33"/>
      </w:tcPr>
    </w:tblStylePr>
  </w:style>
  <w:style w:type="table" w:styleId="ListTable4-Accent3">
    <w:name w:val="List Table 4 Accent 3"/>
    <w:basedOn w:val="TableNormal"/>
    <w:uiPriority w:val="49"/>
    <w:rsid w:val="00301FA9"/>
    <w:pPr>
      <w:spacing w:after="0" w:line="240" w:lineRule="auto"/>
    </w:pPr>
    <w:tblPr>
      <w:tblStyleRowBandSize w:val="1"/>
      <w:tblStyleColBandSize w:val="1"/>
      <w:tblBorders>
        <w:top w:val="single" w:sz="4" w:space="0" w:color="BE5DC3" w:themeColor="accent3" w:themeTint="99"/>
        <w:left w:val="single" w:sz="4" w:space="0" w:color="BE5DC3" w:themeColor="accent3" w:themeTint="99"/>
        <w:bottom w:val="single" w:sz="4" w:space="0" w:color="BE5DC3" w:themeColor="accent3" w:themeTint="99"/>
        <w:right w:val="single" w:sz="4" w:space="0" w:color="BE5DC3" w:themeColor="accent3" w:themeTint="99"/>
        <w:insideH w:val="single" w:sz="4" w:space="0" w:color="BE5DC3" w:themeColor="accent3" w:themeTint="99"/>
      </w:tblBorders>
    </w:tblPr>
    <w:tblStylePr w:type="firstRow">
      <w:rPr>
        <w:b/>
        <w:bCs/>
        <w:color w:val="FFFFFF" w:themeColor="background1"/>
      </w:rPr>
      <w:tblPr/>
      <w:tcPr>
        <w:tcBorders>
          <w:top w:val="single" w:sz="4" w:space="0" w:color="642667" w:themeColor="accent3"/>
          <w:left w:val="single" w:sz="4" w:space="0" w:color="642667" w:themeColor="accent3"/>
          <w:bottom w:val="single" w:sz="4" w:space="0" w:color="642667" w:themeColor="accent3"/>
          <w:right w:val="single" w:sz="4" w:space="0" w:color="642667" w:themeColor="accent3"/>
          <w:insideH w:val="nil"/>
        </w:tcBorders>
        <w:shd w:val="clear" w:color="auto" w:fill="642667" w:themeFill="accent3"/>
      </w:tcPr>
    </w:tblStylePr>
    <w:tblStylePr w:type="lastRow">
      <w:rPr>
        <w:b/>
        <w:bCs/>
      </w:rPr>
      <w:tblPr/>
      <w:tcPr>
        <w:tcBorders>
          <w:top w:val="double" w:sz="4" w:space="0" w:color="BE5DC3" w:themeColor="accent3" w:themeTint="99"/>
        </w:tcBorders>
      </w:tcPr>
    </w:tblStylePr>
    <w:tblStylePr w:type="firstCol">
      <w:rPr>
        <w:b/>
        <w:bCs/>
      </w:rPr>
    </w:tblStylePr>
    <w:tblStylePr w:type="lastCol">
      <w:rPr>
        <w:b/>
        <w:bCs/>
      </w:rPr>
    </w:tblStylePr>
    <w:tblStylePr w:type="band1Vert">
      <w:tblPr/>
      <w:tcPr>
        <w:shd w:val="clear" w:color="auto" w:fill="E9C8EB" w:themeFill="accent3" w:themeFillTint="33"/>
      </w:tcPr>
    </w:tblStylePr>
    <w:tblStylePr w:type="band1Horz">
      <w:tblPr/>
      <w:tcPr>
        <w:shd w:val="clear" w:color="auto" w:fill="E9C8EB" w:themeFill="accent3" w:themeFillTint="33"/>
      </w:tcPr>
    </w:tblStylePr>
  </w:style>
  <w:style w:type="table" w:styleId="ListTable3-Accent1">
    <w:name w:val="List Table 3 Accent 1"/>
    <w:basedOn w:val="TableNormal"/>
    <w:uiPriority w:val="48"/>
    <w:rsid w:val="00301FA9"/>
    <w:pPr>
      <w:spacing w:after="0" w:line="240" w:lineRule="auto"/>
    </w:pPr>
    <w:tblPr>
      <w:tblStyleRowBandSize w:val="1"/>
      <w:tblStyleColBandSize w:val="1"/>
      <w:tblBorders>
        <w:top w:val="single" w:sz="4" w:space="0" w:color="87189D" w:themeColor="accent1"/>
        <w:left w:val="single" w:sz="4" w:space="0" w:color="87189D" w:themeColor="accent1"/>
        <w:bottom w:val="single" w:sz="4" w:space="0" w:color="87189D" w:themeColor="accent1"/>
        <w:right w:val="single" w:sz="4" w:space="0" w:color="87189D" w:themeColor="accent1"/>
      </w:tblBorders>
    </w:tblPr>
    <w:tblStylePr w:type="firstRow">
      <w:rPr>
        <w:b/>
        <w:bCs/>
        <w:color w:val="FFFFFF" w:themeColor="background1"/>
      </w:rPr>
      <w:tblPr/>
      <w:tcPr>
        <w:shd w:val="clear" w:color="auto" w:fill="87189D" w:themeFill="accent1"/>
      </w:tcPr>
    </w:tblStylePr>
    <w:tblStylePr w:type="lastRow">
      <w:rPr>
        <w:b/>
        <w:bCs/>
      </w:rPr>
      <w:tblPr/>
      <w:tcPr>
        <w:tcBorders>
          <w:top w:val="double" w:sz="4" w:space="0" w:color="87189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189D" w:themeColor="accent1"/>
          <w:right w:val="single" w:sz="4" w:space="0" w:color="87189D" w:themeColor="accent1"/>
        </w:tcBorders>
      </w:tcPr>
    </w:tblStylePr>
    <w:tblStylePr w:type="band1Horz">
      <w:tblPr/>
      <w:tcPr>
        <w:tcBorders>
          <w:top w:val="single" w:sz="4" w:space="0" w:color="87189D" w:themeColor="accent1"/>
          <w:bottom w:val="single" w:sz="4" w:space="0" w:color="87189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189D" w:themeColor="accent1"/>
          <w:left w:val="nil"/>
        </w:tcBorders>
      </w:tcPr>
    </w:tblStylePr>
    <w:tblStylePr w:type="swCell">
      <w:tblPr/>
      <w:tcPr>
        <w:tcBorders>
          <w:top w:val="double" w:sz="4" w:space="0" w:color="87189D" w:themeColor="accent1"/>
          <w:right w:val="nil"/>
        </w:tcBorders>
      </w:tcPr>
    </w:tblStylePr>
  </w:style>
  <w:style w:type="table" w:styleId="ListTable3-Accent5">
    <w:name w:val="List Table 3 Accent 5"/>
    <w:basedOn w:val="TableNormal"/>
    <w:uiPriority w:val="48"/>
    <w:rsid w:val="0036676E"/>
    <w:pPr>
      <w:spacing w:after="0" w:line="240" w:lineRule="auto"/>
    </w:pPr>
    <w:rPr>
      <w:rFonts w:eastAsiaTheme="minorHAnsi"/>
      <w:sz w:val="22"/>
      <w:szCs w:val="22"/>
      <w:lang w:eastAsia="en-US"/>
    </w:rPr>
    <w:tblPr>
      <w:tblStyleRowBandSize w:val="1"/>
      <w:tblStyleColBandSize w:val="1"/>
      <w:tblBorders>
        <w:top w:val="single" w:sz="4" w:space="0" w:color="00BAC7" w:themeColor="accent5"/>
        <w:left w:val="single" w:sz="4" w:space="0" w:color="00BAC7" w:themeColor="accent5"/>
        <w:bottom w:val="single" w:sz="4" w:space="0" w:color="00BAC7" w:themeColor="accent5"/>
        <w:right w:val="single" w:sz="4" w:space="0" w:color="00BAC7" w:themeColor="accent5"/>
      </w:tblBorders>
    </w:tblPr>
    <w:tblStylePr w:type="firstRow">
      <w:rPr>
        <w:b/>
        <w:bCs/>
        <w:color w:val="FFFFFF" w:themeColor="background1"/>
      </w:rPr>
      <w:tblPr/>
      <w:tcPr>
        <w:shd w:val="clear" w:color="auto" w:fill="00BAC7" w:themeFill="accent5"/>
      </w:tcPr>
    </w:tblStylePr>
    <w:tblStylePr w:type="lastRow">
      <w:rPr>
        <w:b/>
        <w:bCs/>
      </w:rPr>
      <w:tblPr/>
      <w:tcPr>
        <w:tcBorders>
          <w:top w:val="double" w:sz="4" w:space="0" w:color="00BAC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AC7" w:themeColor="accent5"/>
          <w:right w:val="single" w:sz="4" w:space="0" w:color="00BAC7" w:themeColor="accent5"/>
        </w:tcBorders>
      </w:tcPr>
    </w:tblStylePr>
    <w:tblStylePr w:type="band1Horz">
      <w:tblPr/>
      <w:tcPr>
        <w:tcBorders>
          <w:top w:val="single" w:sz="4" w:space="0" w:color="00BAC7" w:themeColor="accent5"/>
          <w:bottom w:val="single" w:sz="4" w:space="0" w:color="00BAC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AC7" w:themeColor="accent5"/>
          <w:left w:val="nil"/>
        </w:tcBorders>
      </w:tcPr>
    </w:tblStylePr>
    <w:tblStylePr w:type="swCell">
      <w:tblPr/>
      <w:tcPr>
        <w:tcBorders>
          <w:top w:val="double" w:sz="4" w:space="0" w:color="00BAC7" w:themeColor="accent5"/>
          <w:right w:val="nil"/>
        </w:tcBorders>
      </w:tcPr>
    </w:tblStyle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color w:val="232B39" w:themeColor="text1"/>
    </w:rPr>
  </w:style>
  <w:style w:type="paragraph" w:customStyle="1" w:styleId="Partheading">
    <w:name w:val="Part heading"/>
    <w:basedOn w:val="Heading1"/>
    <w:uiPriority w:val="99"/>
    <w:qFormat/>
    <w:rsid w:val="000732E5"/>
    <w:pPr>
      <w:pageBreakBefore/>
      <w:pBdr>
        <w:bottom w:val="single" w:sz="18" w:space="4" w:color="AB5DBA" w:themeColor="accent2"/>
      </w:pBdr>
      <w:spacing w:before="440" w:line="216" w:lineRule="auto"/>
      <w:ind w:right="-58"/>
    </w:pPr>
    <w:rPr>
      <w:color w:val="642667" w:themeColor="accent3"/>
      <w:sz w:val="48"/>
      <w:szCs w:val="48"/>
    </w:rPr>
  </w:style>
  <w:style w:type="paragraph" w:styleId="ListParagraph">
    <w:name w:val="List Paragraph"/>
    <w:basedOn w:val="Normal"/>
    <w:uiPriority w:val="34"/>
    <w:qFormat/>
    <w:rsid w:val="00CD5761"/>
    <w:pPr>
      <w:ind w:left="720"/>
      <w:contextualSpacing/>
    </w:pPr>
  </w:style>
  <w:style w:type="character" w:styleId="Strong">
    <w:name w:val="Strong"/>
    <w:basedOn w:val="DefaultParagraphFont"/>
    <w:uiPriority w:val="22"/>
    <w:semiHidden/>
    <w:qFormat/>
    <w:rsid w:val="003E0BA8"/>
    <w:rPr>
      <w:b/>
      <w:bCs/>
    </w:rPr>
  </w:style>
  <w:style w:type="table" w:customStyle="1" w:styleId="TableGrid10">
    <w:name w:val="Table Grid1"/>
    <w:basedOn w:val="TableNormal"/>
    <w:next w:val="TableGrid"/>
    <w:uiPriority w:val="39"/>
    <w:rsid w:val="003E0BA8"/>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TFtexttable1">
    <w:name w:val="DTF text table1"/>
    <w:basedOn w:val="TableNormal"/>
    <w:uiPriority w:val="99"/>
    <w:rsid w:val="003E0BA8"/>
    <w:pPr>
      <w:spacing w:before="30" w:after="30" w:line="264" w:lineRule="auto"/>
    </w:pPr>
    <w:rPr>
      <w:rFonts w:eastAsiaTheme="minorHAnsi"/>
      <w:spacing w:val="2"/>
      <w:sz w:val="17"/>
      <w:szCs w:val="21"/>
      <w:lang w:eastAsia="en-US"/>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texttable2">
    <w:name w:val="DTF text table2"/>
    <w:basedOn w:val="TableNormal"/>
    <w:uiPriority w:val="99"/>
    <w:rsid w:val="003E0BA8"/>
    <w:pPr>
      <w:spacing w:before="30" w:after="30" w:line="264" w:lineRule="auto"/>
    </w:pPr>
    <w:rPr>
      <w:rFonts w:eastAsiaTheme="minorHAnsi"/>
      <w:spacing w:val="2"/>
      <w:sz w:val="17"/>
      <w:szCs w:val="21"/>
      <w:lang w:eastAsia="en-US"/>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texttable3">
    <w:name w:val="DTF text table3"/>
    <w:basedOn w:val="TableNormal"/>
    <w:uiPriority w:val="99"/>
    <w:rsid w:val="003E0BA8"/>
    <w:pPr>
      <w:spacing w:before="30" w:after="30" w:line="264" w:lineRule="auto"/>
    </w:pPr>
    <w:rPr>
      <w:rFonts w:eastAsiaTheme="minorHAnsi"/>
      <w:spacing w:val="2"/>
      <w:sz w:val="17"/>
      <w:szCs w:val="21"/>
      <w:lang w:eastAsia="en-US"/>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styleId="BodyText">
    <w:name w:val="Body Text"/>
    <w:basedOn w:val="Normal"/>
    <w:link w:val="BodyTextChar"/>
    <w:uiPriority w:val="49"/>
    <w:semiHidden/>
    <w:qFormat/>
    <w:rsid w:val="0098080C"/>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3E0BA8"/>
    <w:rPr>
      <w:rFonts w:ascii="Calibri" w:eastAsia="Times New Roman" w:hAnsi="Calibri" w:cs="Calibri"/>
      <w:color w:val="232B39" w:themeColor="text1"/>
      <w:sz w:val="22"/>
      <w:szCs w:val="22"/>
    </w:rPr>
  </w:style>
  <w:style w:type="table" w:customStyle="1" w:styleId="MD">
    <w:name w:val="MD"/>
    <w:basedOn w:val="TableNormal"/>
    <w:uiPriority w:val="99"/>
    <w:rsid w:val="003E0BA8"/>
    <w:pPr>
      <w:spacing w:after="0" w:line="240" w:lineRule="auto"/>
    </w:pPr>
    <w:tblPr/>
  </w:style>
  <w:style w:type="paragraph" w:customStyle="1" w:styleId="TertiaryTitle">
    <w:name w:val="Tertiary Title"/>
    <w:next w:val="Normal"/>
    <w:uiPriority w:val="99"/>
    <w:semiHidden/>
    <w:rsid w:val="00396C10"/>
    <w:pPr>
      <w:spacing w:after="0"/>
    </w:pPr>
    <w:rPr>
      <w:rFonts w:asciiTheme="majorHAnsi" w:eastAsia="Times New Roman" w:hAnsiTheme="majorHAnsi" w:cstheme="majorHAnsi"/>
      <w:color w:val="FFFFFF" w:themeColor="background1"/>
      <w:spacing w:val="-2"/>
      <w:szCs w:val="40"/>
      <w:lang w:eastAsia="en-US"/>
    </w:rPr>
  </w:style>
  <w:style w:type="paragraph" w:customStyle="1" w:styleId="Appendixtitle">
    <w:name w:val="Appendix title"/>
    <w:basedOn w:val="Heading1"/>
    <w:next w:val="Normal"/>
    <w:qFormat/>
    <w:rsid w:val="001D2615"/>
    <w:pPr>
      <w:pageBreakBefore/>
      <w:numPr>
        <w:numId w:val="14"/>
      </w:numPr>
      <w:tabs>
        <w:tab w:val="num" w:pos="360"/>
      </w:tabs>
      <w:spacing w:before="600" w:after="0" w:line="252" w:lineRule="auto"/>
    </w:pPr>
    <w:rPr>
      <w:color w:val="201547"/>
      <w:szCs w:val="60"/>
    </w:rPr>
  </w:style>
  <w:style w:type="paragraph" w:customStyle="1" w:styleId="pf0">
    <w:name w:val="pf0"/>
    <w:basedOn w:val="Normal"/>
    <w:rsid w:val="00562ED5"/>
    <w:pPr>
      <w:keepLines w:val="0"/>
      <w:spacing w:before="100" w:beforeAutospacing="1" w:after="100" w:afterAutospacing="1" w:line="240" w:lineRule="auto"/>
      <w:ind w:left="780"/>
    </w:pPr>
    <w:rPr>
      <w:rFonts w:ascii="Times New Roman" w:eastAsia="Times New Roman" w:hAnsi="Times New Roman" w:cs="Times New Roman"/>
      <w:color w:val="auto"/>
      <w:sz w:val="24"/>
      <w:szCs w:val="24"/>
    </w:rPr>
  </w:style>
  <w:style w:type="character" w:customStyle="1" w:styleId="cf01">
    <w:name w:val="cf01"/>
    <w:basedOn w:val="DefaultParagraphFont"/>
    <w:rsid w:val="00562ED5"/>
    <w:rPr>
      <w:rFonts w:ascii="Segoe UI" w:hAnsi="Segoe UI" w:cs="Segoe UI" w:hint="default"/>
      <w:color w:val="232B3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0246">
      <w:bodyDiv w:val="1"/>
      <w:marLeft w:val="0"/>
      <w:marRight w:val="0"/>
      <w:marTop w:val="0"/>
      <w:marBottom w:val="0"/>
      <w:divBdr>
        <w:top w:val="none" w:sz="0" w:space="0" w:color="auto"/>
        <w:left w:val="none" w:sz="0" w:space="0" w:color="auto"/>
        <w:bottom w:val="none" w:sz="0" w:space="0" w:color="auto"/>
        <w:right w:val="none" w:sz="0" w:space="0" w:color="auto"/>
      </w:divBdr>
      <w:divsChild>
        <w:div w:id="685792381">
          <w:marLeft w:val="0"/>
          <w:marRight w:val="0"/>
          <w:marTop w:val="0"/>
          <w:marBottom w:val="0"/>
          <w:divBdr>
            <w:top w:val="none" w:sz="0" w:space="0" w:color="auto"/>
            <w:left w:val="none" w:sz="0" w:space="0" w:color="auto"/>
            <w:bottom w:val="none" w:sz="0" w:space="0" w:color="auto"/>
            <w:right w:val="none" w:sz="0" w:space="0" w:color="auto"/>
          </w:divBdr>
          <w:divsChild>
            <w:div w:id="1132988553">
              <w:marLeft w:val="0"/>
              <w:marRight w:val="0"/>
              <w:marTop w:val="0"/>
              <w:marBottom w:val="0"/>
              <w:divBdr>
                <w:top w:val="none" w:sz="0" w:space="0" w:color="auto"/>
                <w:left w:val="none" w:sz="0" w:space="0" w:color="auto"/>
                <w:bottom w:val="none" w:sz="0" w:space="0" w:color="auto"/>
                <w:right w:val="none" w:sz="0" w:space="0" w:color="auto"/>
              </w:divBdr>
            </w:div>
            <w:div w:id="1227302783">
              <w:marLeft w:val="0"/>
              <w:marRight w:val="0"/>
              <w:marTop w:val="0"/>
              <w:marBottom w:val="0"/>
              <w:divBdr>
                <w:top w:val="none" w:sz="0" w:space="0" w:color="auto"/>
                <w:left w:val="none" w:sz="0" w:space="0" w:color="auto"/>
                <w:bottom w:val="none" w:sz="0" w:space="0" w:color="auto"/>
                <w:right w:val="none" w:sz="0" w:space="0" w:color="auto"/>
              </w:divBdr>
            </w:div>
            <w:div w:id="1465927689">
              <w:marLeft w:val="0"/>
              <w:marRight w:val="0"/>
              <w:marTop w:val="0"/>
              <w:marBottom w:val="0"/>
              <w:divBdr>
                <w:top w:val="none" w:sz="0" w:space="0" w:color="auto"/>
                <w:left w:val="none" w:sz="0" w:space="0" w:color="auto"/>
                <w:bottom w:val="none" w:sz="0" w:space="0" w:color="auto"/>
                <w:right w:val="none" w:sz="0" w:space="0" w:color="auto"/>
              </w:divBdr>
            </w:div>
            <w:div w:id="1720713530">
              <w:marLeft w:val="0"/>
              <w:marRight w:val="0"/>
              <w:marTop w:val="0"/>
              <w:marBottom w:val="0"/>
              <w:divBdr>
                <w:top w:val="none" w:sz="0" w:space="0" w:color="auto"/>
                <w:left w:val="none" w:sz="0" w:space="0" w:color="auto"/>
                <w:bottom w:val="none" w:sz="0" w:space="0" w:color="auto"/>
                <w:right w:val="none" w:sz="0" w:space="0" w:color="auto"/>
              </w:divBdr>
            </w:div>
            <w:div w:id="1983271546">
              <w:marLeft w:val="0"/>
              <w:marRight w:val="0"/>
              <w:marTop w:val="0"/>
              <w:marBottom w:val="0"/>
              <w:divBdr>
                <w:top w:val="none" w:sz="0" w:space="0" w:color="auto"/>
                <w:left w:val="none" w:sz="0" w:space="0" w:color="auto"/>
                <w:bottom w:val="none" w:sz="0" w:space="0" w:color="auto"/>
                <w:right w:val="none" w:sz="0" w:space="0" w:color="auto"/>
              </w:divBdr>
            </w:div>
          </w:divsChild>
        </w:div>
        <w:div w:id="904221747">
          <w:marLeft w:val="0"/>
          <w:marRight w:val="0"/>
          <w:marTop w:val="0"/>
          <w:marBottom w:val="0"/>
          <w:divBdr>
            <w:top w:val="none" w:sz="0" w:space="0" w:color="auto"/>
            <w:left w:val="none" w:sz="0" w:space="0" w:color="auto"/>
            <w:bottom w:val="none" w:sz="0" w:space="0" w:color="auto"/>
            <w:right w:val="none" w:sz="0" w:space="0" w:color="auto"/>
          </w:divBdr>
          <w:divsChild>
            <w:div w:id="1008337318">
              <w:marLeft w:val="0"/>
              <w:marRight w:val="0"/>
              <w:marTop w:val="0"/>
              <w:marBottom w:val="0"/>
              <w:divBdr>
                <w:top w:val="none" w:sz="0" w:space="0" w:color="auto"/>
                <w:left w:val="none" w:sz="0" w:space="0" w:color="auto"/>
                <w:bottom w:val="none" w:sz="0" w:space="0" w:color="auto"/>
                <w:right w:val="none" w:sz="0" w:space="0" w:color="auto"/>
              </w:divBdr>
            </w:div>
            <w:div w:id="1347173868">
              <w:marLeft w:val="0"/>
              <w:marRight w:val="0"/>
              <w:marTop w:val="0"/>
              <w:marBottom w:val="0"/>
              <w:divBdr>
                <w:top w:val="none" w:sz="0" w:space="0" w:color="auto"/>
                <w:left w:val="none" w:sz="0" w:space="0" w:color="auto"/>
                <w:bottom w:val="none" w:sz="0" w:space="0" w:color="auto"/>
                <w:right w:val="none" w:sz="0" w:space="0" w:color="auto"/>
              </w:divBdr>
            </w:div>
            <w:div w:id="1962760890">
              <w:marLeft w:val="0"/>
              <w:marRight w:val="0"/>
              <w:marTop w:val="0"/>
              <w:marBottom w:val="0"/>
              <w:divBdr>
                <w:top w:val="none" w:sz="0" w:space="0" w:color="auto"/>
                <w:left w:val="none" w:sz="0" w:space="0" w:color="auto"/>
                <w:bottom w:val="none" w:sz="0" w:space="0" w:color="auto"/>
                <w:right w:val="none" w:sz="0" w:space="0" w:color="auto"/>
              </w:divBdr>
            </w:div>
          </w:divsChild>
        </w:div>
        <w:div w:id="960914736">
          <w:marLeft w:val="0"/>
          <w:marRight w:val="0"/>
          <w:marTop w:val="0"/>
          <w:marBottom w:val="0"/>
          <w:divBdr>
            <w:top w:val="none" w:sz="0" w:space="0" w:color="auto"/>
            <w:left w:val="none" w:sz="0" w:space="0" w:color="auto"/>
            <w:bottom w:val="none" w:sz="0" w:space="0" w:color="auto"/>
            <w:right w:val="none" w:sz="0" w:space="0" w:color="auto"/>
          </w:divBdr>
          <w:divsChild>
            <w:div w:id="300234104">
              <w:marLeft w:val="0"/>
              <w:marRight w:val="0"/>
              <w:marTop w:val="0"/>
              <w:marBottom w:val="0"/>
              <w:divBdr>
                <w:top w:val="none" w:sz="0" w:space="0" w:color="auto"/>
                <w:left w:val="none" w:sz="0" w:space="0" w:color="auto"/>
                <w:bottom w:val="none" w:sz="0" w:space="0" w:color="auto"/>
                <w:right w:val="none" w:sz="0" w:space="0" w:color="auto"/>
              </w:divBdr>
            </w:div>
            <w:div w:id="384380429">
              <w:marLeft w:val="0"/>
              <w:marRight w:val="0"/>
              <w:marTop w:val="0"/>
              <w:marBottom w:val="0"/>
              <w:divBdr>
                <w:top w:val="none" w:sz="0" w:space="0" w:color="auto"/>
                <w:left w:val="none" w:sz="0" w:space="0" w:color="auto"/>
                <w:bottom w:val="none" w:sz="0" w:space="0" w:color="auto"/>
                <w:right w:val="none" w:sz="0" w:space="0" w:color="auto"/>
              </w:divBdr>
            </w:div>
            <w:div w:id="1423407994">
              <w:marLeft w:val="0"/>
              <w:marRight w:val="0"/>
              <w:marTop w:val="0"/>
              <w:marBottom w:val="0"/>
              <w:divBdr>
                <w:top w:val="none" w:sz="0" w:space="0" w:color="auto"/>
                <w:left w:val="none" w:sz="0" w:space="0" w:color="auto"/>
                <w:bottom w:val="none" w:sz="0" w:space="0" w:color="auto"/>
                <w:right w:val="none" w:sz="0" w:space="0" w:color="auto"/>
              </w:divBdr>
            </w:div>
          </w:divsChild>
        </w:div>
        <w:div w:id="1271861503">
          <w:marLeft w:val="0"/>
          <w:marRight w:val="0"/>
          <w:marTop w:val="0"/>
          <w:marBottom w:val="0"/>
          <w:divBdr>
            <w:top w:val="none" w:sz="0" w:space="0" w:color="auto"/>
            <w:left w:val="none" w:sz="0" w:space="0" w:color="auto"/>
            <w:bottom w:val="none" w:sz="0" w:space="0" w:color="auto"/>
            <w:right w:val="none" w:sz="0" w:space="0" w:color="auto"/>
          </w:divBdr>
          <w:divsChild>
            <w:div w:id="1192305900">
              <w:marLeft w:val="0"/>
              <w:marRight w:val="0"/>
              <w:marTop w:val="0"/>
              <w:marBottom w:val="0"/>
              <w:divBdr>
                <w:top w:val="none" w:sz="0" w:space="0" w:color="auto"/>
                <w:left w:val="none" w:sz="0" w:space="0" w:color="auto"/>
                <w:bottom w:val="none" w:sz="0" w:space="0" w:color="auto"/>
                <w:right w:val="none" w:sz="0" w:space="0" w:color="auto"/>
              </w:divBdr>
            </w:div>
            <w:div w:id="20415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3156">
      <w:bodyDiv w:val="1"/>
      <w:marLeft w:val="0"/>
      <w:marRight w:val="0"/>
      <w:marTop w:val="0"/>
      <w:marBottom w:val="0"/>
      <w:divBdr>
        <w:top w:val="none" w:sz="0" w:space="0" w:color="auto"/>
        <w:left w:val="none" w:sz="0" w:space="0" w:color="auto"/>
        <w:bottom w:val="none" w:sz="0" w:space="0" w:color="auto"/>
        <w:right w:val="none" w:sz="0" w:space="0" w:color="auto"/>
      </w:divBdr>
    </w:div>
    <w:div w:id="89668487">
      <w:bodyDiv w:val="1"/>
      <w:marLeft w:val="0"/>
      <w:marRight w:val="0"/>
      <w:marTop w:val="0"/>
      <w:marBottom w:val="0"/>
      <w:divBdr>
        <w:top w:val="none" w:sz="0" w:space="0" w:color="auto"/>
        <w:left w:val="none" w:sz="0" w:space="0" w:color="auto"/>
        <w:bottom w:val="none" w:sz="0" w:space="0" w:color="auto"/>
        <w:right w:val="none" w:sz="0" w:space="0" w:color="auto"/>
      </w:divBdr>
    </w:div>
    <w:div w:id="132722596">
      <w:bodyDiv w:val="1"/>
      <w:marLeft w:val="0"/>
      <w:marRight w:val="0"/>
      <w:marTop w:val="0"/>
      <w:marBottom w:val="0"/>
      <w:divBdr>
        <w:top w:val="none" w:sz="0" w:space="0" w:color="auto"/>
        <w:left w:val="none" w:sz="0" w:space="0" w:color="auto"/>
        <w:bottom w:val="none" w:sz="0" w:space="0" w:color="auto"/>
        <w:right w:val="none" w:sz="0" w:space="0" w:color="auto"/>
      </w:divBdr>
    </w:div>
    <w:div w:id="197088293">
      <w:bodyDiv w:val="1"/>
      <w:marLeft w:val="0"/>
      <w:marRight w:val="0"/>
      <w:marTop w:val="0"/>
      <w:marBottom w:val="0"/>
      <w:divBdr>
        <w:top w:val="none" w:sz="0" w:space="0" w:color="auto"/>
        <w:left w:val="none" w:sz="0" w:space="0" w:color="auto"/>
        <w:bottom w:val="none" w:sz="0" w:space="0" w:color="auto"/>
        <w:right w:val="none" w:sz="0" w:space="0" w:color="auto"/>
      </w:divBdr>
    </w:div>
    <w:div w:id="226038655">
      <w:bodyDiv w:val="1"/>
      <w:marLeft w:val="0"/>
      <w:marRight w:val="0"/>
      <w:marTop w:val="0"/>
      <w:marBottom w:val="0"/>
      <w:divBdr>
        <w:top w:val="none" w:sz="0" w:space="0" w:color="auto"/>
        <w:left w:val="none" w:sz="0" w:space="0" w:color="auto"/>
        <w:bottom w:val="none" w:sz="0" w:space="0" w:color="auto"/>
        <w:right w:val="none" w:sz="0" w:space="0" w:color="auto"/>
      </w:divBdr>
    </w:div>
    <w:div w:id="264928097">
      <w:bodyDiv w:val="1"/>
      <w:marLeft w:val="0"/>
      <w:marRight w:val="0"/>
      <w:marTop w:val="0"/>
      <w:marBottom w:val="0"/>
      <w:divBdr>
        <w:top w:val="none" w:sz="0" w:space="0" w:color="auto"/>
        <w:left w:val="none" w:sz="0" w:space="0" w:color="auto"/>
        <w:bottom w:val="none" w:sz="0" w:space="0" w:color="auto"/>
        <w:right w:val="none" w:sz="0" w:space="0" w:color="auto"/>
      </w:divBdr>
    </w:div>
    <w:div w:id="277685996">
      <w:bodyDiv w:val="1"/>
      <w:marLeft w:val="0"/>
      <w:marRight w:val="0"/>
      <w:marTop w:val="0"/>
      <w:marBottom w:val="0"/>
      <w:divBdr>
        <w:top w:val="none" w:sz="0" w:space="0" w:color="auto"/>
        <w:left w:val="none" w:sz="0" w:space="0" w:color="auto"/>
        <w:bottom w:val="none" w:sz="0" w:space="0" w:color="auto"/>
        <w:right w:val="none" w:sz="0" w:space="0" w:color="auto"/>
      </w:divBdr>
    </w:div>
    <w:div w:id="393427474">
      <w:bodyDiv w:val="1"/>
      <w:marLeft w:val="0"/>
      <w:marRight w:val="0"/>
      <w:marTop w:val="0"/>
      <w:marBottom w:val="0"/>
      <w:divBdr>
        <w:top w:val="none" w:sz="0" w:space="0" w:color="auto"/>
        <w:left w:val="none" w:sz="0" w:space="0" w:color="auto"/>
        <w:bottom w:val="none" w:sz="0" w:space="0" w:color="auto"/>
        <w:right w:val="none" w:sz="0" w:space="0" w:color="auto"/>
      </w:divBdr>
    </w:div>
    <w:div w:id="516507122">
      <w:bodyDiv w:val="1"/>
      <w:marLeft w:val="0"/>
      <w:marRight w:val="0"/>
      <w:marTop w:val="0"/>
      <w:marBottom w:val="0"/>
      <w:divBdr>
        <w:top w:val="none" w:sz="0" w:space="0" w:color="auto"/>
        <w:left w:val="none" w:sz="0" w:space="0" w:color="auto"/>
        <w:bottom w:val="none" w:sz="0" w:space="0" w:color="auto"/>
        <w:right w:val="none" w:sz="0" w:space="0" w:color="auto"/>
      </w:divBdr>
    </w:div>
    <w:div w:id="543834084">
      <w:bodyDiv w:val="1"/>
      <w:marLeft w:val="0"/>
      <w:marRight w:val="0"/>
      <w:marTop w:val="0"/>
      <w:marBottom w:val="0"/>
      <w:divBdr>
        <w:top w:val="none" w:sz="0" w:space="0" w:color="auto"/>
        <w:left w:val="none" w:sz="0" w:space="0" w:color="auto"/>
        <w:bottom w:val="none" w:sz="0" w:space="0" w:color="auto"/>
        <w:right w:val="none" w:sz="0" w:space="0" w:color="auto"/>
      </w:divBdr>
    </w:div>
    <w:div w:id="577636102">
      <w:bodyDiv w:val="1"/>
      <w:marLeft w:val="0"/>
      <w:marRight w:val="0"/>
      <w:marTop w:val="0"/>
      <w:marBottom w:val="0"/>
      <w:divBdr>
        <w:top w:val="none" w:sz="0" w:space="0" w:color="auto"/>
        <w:left w:val="none" w:sz="0" w:space="0" w:color="auto"/>
        <w:bottom w:val="none" w:sz="0" w:space="0" w:color="auto"/>
        <w:right w:val="none" w:sz="0" w:space="0" w:color="auto"/>
      </w:divBdr>
    </w:div>
    <w:div w:id="641235403">
      <w:bodyDiv w:val="1"/>
      <w:marLeft w:val="0"/>
      <w:marRight w:val="0"/>
      <w:marTop w:val="0"/>
      <w:marBottom w:val="0"/>
      <w:divBdr>
        <w:top w:val="none" w:sz="0" w:space="0" w:color="auto"/>
        <w:left w:val="none" w:sz="0" w:space="0" w:color="auto"/>
        <w:bottom w:val="none" w:sz="0" w:space="0" w:color="auto"/>
        <w:right w:val="none" w:sz="0" w:space="0" w:color="auto"/>
      </w:divBdr>
      <w:divsChild>
        <w:div w:id="205728198">
          <w:marLeft w:val="547"/>
          <w:marRight w:val="0"/>
          <w:marTop w:val="0"/>
          <w:marBottom w:val="100"/>
          <w:divBdr>
            <w:top w:val="none" w:sz="0" w:space="0" w:color="auto"/>
            <w:left w:val="none" w:sz="0" w:space="0" w:color="auto"/>
            <w:bottom w:val="none" w:sz="0" w:space="0" w:color="auto"/>
            <w:right w:val="none" w:sz="0" w:space="0" w:color="auto"/>
          </w:divBdr>
        </w:div>
        <w:div w:id="246958503">
          <w:marLeft w:val="547"/>
          <w:marRight w:val="0"/>
          <w:marTop w:val="0"/>
          <w:marBottom w:val="100"/>
          <w:divBdr>
            <w:top w:val="none" w:sz="0" w:space="0" w:color="auto"/>
            <w:left w:val="none" w:sz="0" w:space="0" w:color="auto"/>
            <w:bottom w:val="none" w:sz="0" w:space="0" w:color="auto"/>
            <w:right w:val="none" w:sz="0" w:space="0" w:color="auto"/>
          </w:divBdr>
        </w:div>
        <w:div w:id="389614587">
          <w:marLeft w:val="547"/>
          <w:marRight w:val="0"/>
          <w:marTop w:val="0"/>
          <w:marBottom w:val="100"/>
          <w:divBdr>
            <w:top w:val="none" w:sz="0" w:space="0" w:color="auto"/>
            <w:left w:val="none" w:sz="0" w:space="0" w:color="auto"/>
            <w:bottom w:val="none" w:sz="0" w:space="0" w:color="auto"/>
            <w:right w:val="none" w:sz="0" w:space="0" w:color="auto"/>
          </w:divBdr>
        </w:div>
        <w:div w:id="1210730055">
          <w:marLeft w:val="1109"/>
          <w:marRight w:val="0"/>
          <w:marTop w:val="0"/>
          <w:marBottom w:val="100"/>
          <w:divBdr>
            <w:top w:val="none" w:sz="0" w:space="0" w:color="auto"/>
            <w:left w:val="none" w:sz="0" w:space="0" w:color="auto"/>
            <w:bottom w:val="none" w:sz="0" w:space="0" w:color="auto"/>
            <w:right w:val="none" w:sz="0" w:space="0" w:color="auto"/>
          </w:divBdr>
        </w:div>
        <w:div w:id="1762410889">
          <w:marLeft w:val="547"/>
          <w:marRight w:val="0"/>
          <w:marTop w:val="0"/>
          <w:marBottom w:val="100"/>
          <w:divBdr>
            <w:top w:val="none" w:sz="0" w:space="0" w:color="auto"/>
            <w:left w:val="none" w:sz="0" w:space="0" w:color="auto"/>
            <w:bottom w:val="none" w:sz="0" w:space="0" w:color="auto"/>
            <w:right w:val="none" w:sz="0" w:space="0" w:color="auto"/>
          </w:divBdr>
        </w:div>
        <w:div w:id="1778526136">
          <w:marLeft w:val="547"/>
          <w:marRight w:val="0"/>
          <w:marTop w:val="0"/>
          <w:marBottom w:val="100"/>
          <w:divBdr>
            <w:top w:val="none" w:sz="0" w:space="0" w:color="auto"/>
            <w:left w:val="none" w:sz="0" w:space="0" w:color="auto"/>
            <w:bottom w:val="none" w:sz="0" w:space="0" w:color="auto"/>
            <w:right w:val="none" w:sz="0" w:space="0" w:color="auto"/>
          </w:divBdr>
        </w:div>
      </w:divsChild>
    </w:div>
    <w:div w:id="650407438">
      <w:bodyDiv w:val="1"/>
      <w:marLeft w:val="0"/>
      <w:marRight w:val="0"/>
      <w:marTop w:val="0"/>
      <w:marBottom w:val="0"/>
      <w:divBdr>
        <w:top w:val="none" w:sz="0" w:space="0" w:color="auto"/>
        <w:left w:val="none" w:sz="0" w:space="0" w:color="auto"/>
        <w:bottom w:val="none" w:sz="0" w:space="0" w:color="auto"/>
        <w:right w:val="none" w:sz="0" w:space="0" w:color="auto"/>
      </w:divBdr>
      <w:divsChild>
        <w:div w:id="161894573">
          <w:marLeft w:val="403"/>
          <w:marRight w:val="0"/>
          <w:marTop w:val="0"/>
          <w:marBottom w:val="0"/>
          <w:divBdr>
            <w:top w:val="none" w:sz="0" w:space="0" w:color="auto"/>
            <w:left w:val="none" w:sz="0" w:space="0" w:color="auto"/>
            <w:bottom w:val="none" w:sz="0" w:space="0" w:color="auto"/>
            <w:right w:val="none" w:sz="0" w:space="0" w:color="auto"/>
          </w:divBdr>
        </w:div>
      </w:divsChild>
    </w:div>
    <w:div w:id="666517492">
      <w:bodyDiv w:val="1"/>
      <w:marLeft w:val="0"/>
      <w:marRight w:val="0"/>
      <w:marTop w:val="0"/>
      <w:marBottom w:val="0"/>
      <w:divBdr>
        <w:top w:val="none" w:sz="0" w:space="0" w:color="auto"/>
        <w:left w:val="none" w:sz="0" w:space="0" w:color="auto"/>
        <w:bottom w:val="none" w:sz="0" w:space="0" w:color="auto"/>
        <w:right w:val="none" w:sz="0" w:space="0" w:color="auto"/>
      </w:divBdr>
    </w:div>
    <w:div w:id="684601376">
      <w:bodyDiv w:val="1"/>
      <w:marLeft w:val="0"/>
      <w:marRight w:val="0"/>
      <w:marTop w:val="0"/>
      <w:marBottom w:val="0"/>
      <w:divBdr>
        <w:top w:val="none" w:sz="0" w:space="0" w:color="auto"/>
        <w:left w:val="none" w:sz="0" w:space="0" w:color="auto"/>
        <w:bottom w:val="none" w:sz="0" w:space="0" w:color="auto"/>
        <w:right w:val="none" w:sz="0" w:space="0" w:color="auto"/>
      </w:divBdr>
      <w:divsChild>
        <w:div w:id="1005134521">
          <w:marLeft w:val="547"/>
          <w:marRight w:val="0"/>
          <w:marTop w:val="120"/>
          <w:marBottom w:val="160"/>
          <w:divBdr>
            <w:top w:val="none" w:sz="0" w:space="0" w:color="auto"/>
            <w:left w:val="none" w:sz="0" w:space="0" w:color="auto"/>
            <w:bottom w:val="none" w:sz="0" w:space="0" w:color="auto"/>
            <w:right w:val="none" w:sz="0" w:space="0" w:color="auto"/>
          </w:divBdr>
        </w:div>
        <w:div w:id="1949854297">
          <w:marLeft w:val="547"/>
          <w:marRight w:val="0"/>
          <w:marTop w:val="120"/>
          <w:marBottom w:val="0"/>
          <w:divBdr>
            <w:top w:val="none" w:sz="0" w:space="0" w:color="auto"/>
            <w:left w:val="none" w:sz="0" w:space="0" w:color="auto"/>
            <w:bottom w:val="none" w:sz="0" w:space="0" w:color="auto"/>
            <w:right w:val="none" w:sz="0" w:space="0" w:color="auto"/>
          </w:divBdr>
        </w:div>
      </w:divsChild>
    </w:div>
    <w:div w:id="691758238">
      <w:bodyDiv w:val="1"/>
      <w:marLeft w:val="0"/>
      <w:marRight w:val="0"/>
      <w:marTop w:val="0"/>
      <w:marBottom w:val="0"/>
      <w:divBdr>
        <w:top w:val="none" w:sz="0" w:space="0" w:color="auto"/>
        <w:left w:val="none" w:sz="0" w:space="0" w:color="auto"/>
        <w:bottom w:val="none" w:sz="0" w:space="0" w:color="auto"/>
        <w:right w:val="none" w:sz="0" w:space="0" w:color="auto"/>
      </w:divBdr>
    </w:div>
    <w:div w:id="700856917">
      <w:bodyDiv w:val="1"/>
      <w:marLeft w:val="0"/>
      <w:marRight w:val="0"/>
      <w:marTop w:val="0"/>
      <w:marBottom w:val="0"/>
      <w:divBdr>
        <w:top w:val="none" w:sz="0" w:space="0" w:color="auto"/>
        <w:left w:val="none" w:sz="0" w:space="0" w:color="auto"/>
        <w:bottom w:val="none" w:sz="0" w:space="0" w:color="auto"/>
        <w:right w:val="none" w:sz="0" w:space="0" w:color="auto"/>
      </w:divBdr>
    </w:div>
    <w:div w:id="726807922">
      <w:bodyDiv w:val="1"/>
      <w:marLeft w:val="0"/>
      <w:marRight w:val="0"/>
      <w:marTop w:val="0"/>
      <w:marBottom w:val="0"/>
      <w:divBdr>
        <w:top w:val="none" w:sz="0" w:space="0" w:color="auto"/>
        <w:left w:val="none" w:sz="0" w:space="0" w:color="auto"/>
        <w:bottom w:val="none" w:sz="0" w:space="0" w:color="auto"/>
        <w:right w:val="none" w:sz="0" w:space="0" w:color="auto"/>
      </w:divBdr>
      <w:divsChild>
        <w:div w:id="1685933463">
          <w:marLeft w:val="446"/>
          <w:marRight w:val="0"/>
          <w:marTop w:val="200"/>
          <w:marBottom w:val="0"/>
          <w:divBdr>
            <w:top w:val="none" w:sz="0" w:space="0" w:color="auto"/>
            <w:left w:val="none" w:sz="0" w:space="0" w:color="auto"/>
            <w:bottom w:val="none" w:sz="0" w:space="0" w:color="auto"/>
            <w:right w:val="none" w:sz="0" w:space="0" w:color="auto"/>
          </w:divBdr>
        </w:div>
      </w:divsChild>
    </w:div>
    <w:div w:id="876313293">
      <w:bodyDiv w:val="1"/>
      <w:marLeft w:val="0"/>
      <w:marRight w:val="0"/>
      <w:marTop w:val="0"/>
      <w:marBottom w:val="0"/>
      <w:divBdr>
        <w:top w:val="none" w:sz="0" w:space="0" w:color="auto"/>
        <w:left w:val="none" w:sz="0" w:space="0" w:color="auto"/>
        <w:bottom w:val="none" w:sz="0" w:space="0" w:color="auto"/>
        <w:right w:val="none" w:sz="0" w:space="0" w:color="auto"/>
      </w:divBdr>
    </w:div>
    <w:div w:id="915045648">
      <w:bodyDiv w:val="1"/>
      <w:marLeft w:val="0"/>
      <w:marRight w:val="0"/>
      <w:marTop w:val="0"/>
      <w:marBottom w:val="0"/>
      <w:divBdr>
        <w:top w:val="none" w:sz="0" w:space="0" w:color="auto"/>
        <w:left w:val="none" w:sz="0" w:space="0" w:color="auto"/>
        <w:bottom w:val="none" w:sz="0" w:space="0" w:color="auto"/>
        <w:right w:val="none" w:sz="0" w:space="0" w:color="auto"/>
      </w:divBdr>
    </w:div>
    <w:div w:id="1032848178">
      <w:bodyDiv w:val="1"/>
      <w:marLeft w:val="0"/>
      <w:marRight w:val="0"/>
      <w:marTop w:val="0"/>
      <w:marBottom w:val="0"/>
      <w:divBdr>
        <w:top w:val="none" w:sz="0" w:space="0" w:color="auto"/>
        <w:left w:val="none" w:sz="0" w:space="0" w:color="auto"/>
        <w:bottom w:val="none" w:sz="0" w:space="0" w:color="auto"/>
        <w:right w:val="none" w:sz="0" w:space="0" w:color="auto"/>
      </w:divBdr>
    </w:div>
    <w:div w:id="1066342290">
      <w:bodyDiv w:val="1"/>
      <w:marLeft w:val="0"/>
      <w:marRight w:val="0"/>
      <w:marTop w:val="0"/>
      <w:marBottom w:val="0"/>
      <w:divBdr>
        <w:top w:val="none" w:sz="0" w:space="0" w:color="auto"/>
        <w:left w:val="none" w:sz="0" w:space="0" w:color="auto"/>
        <w:bottom w:val="none" w:sz="0" w:space="0" w:color="auto"/>
        <w:right w:val="none" w:sz="0" w:space="0" w:color="auto"/>
      </w:divBdr>
    </w:div>
    <w:div w:id="1087460946">
      <w:bodyDiv w:val="1"/>
      <w:marLeft w:val="0"/>
      <w:marRight w:val="0"/>
      <w:marTop w:val="0"/>
      <w:marBottom w:val="0"/>
      <w:divBdr>
        <w:top w:val="none" w:sz="0" w:space="0" w:color="auto"/>
        <w:left w:val="none" w:sz="0" w:space="0" w:color="auto"/>
        <w:bottom w:val="none" w:sz="0" w:space="0" w:color="auto"/>
        <w:right w:val="none" w:sz="0" w:space="0" w:color="auto"/>
      </w:divBdr>
    </w:div>
    <w:div w:id="1103651723">
      <w:bodyDiv w:val="1"/>
      <w:marLeft w:val="0"/>
      <w:marRight w:val="0"/>
      <w:marTop w:val="0"/>
      <w:marBottom w:val="0"/>
      <w:divBdr>
        <w:top w:val="none" w:sz="0" w:space="0" w:color="auto"/>
        <w:left w:val="none" w:sz="0" w:space="0" w:color="auto"/>
        <w:bottom w:val="none" w:sz="0" w:space="0" w:color="auto"/>
        <w:right w:val="none" w:sz="0" w:space="0" w:color="auto"/>
      </w:divBdr>
      <w:divsChild>
        <w:div w:id="55402364">
          <w:marLeft w:val="547"/>
          <w:marRight w:val="0"/>
          <w:marTop w:val="0"/>
          <w:marBottom w:val="0"/>
          <w:divBdr>
            <w:top w:val="none" w:sz="0" w:space="0" w:color="auto"/>
            <w:left w:val="none" w:sz="0" w:space="0" w:color="auto"/>
            <w:bottom w:val="none" w:sz="0" w:space="0" w:color="auto"/>
            <w:right w:val="none" w:sz="0" w:space="0" w:color="auto"/>
          </w:divBdr>
        </w:div>
        <w:div w:id="777068760">
          <w:marLeft w:val="547"/>
          <w:marRight w:val="0"/>
          <w:marTop w:val="0"/>
          <w:marBottom w:val="0"/>
          <w:divBdr>
            <w:top w:val="none" w:sz="0" w:space="0" w:color="auto"/>
            <w:left w:val="none" w:sz="0" w:space="0" w:color="auto"/>
            <w:bottom w:val="none" w:sz="0" w:space="0" w:color="auto"/>
            <w:right w:val="none" w:sz="0" w:space="0" w:color="auto"/>
          </w:divBdr>
        </w:div>
        <w:div w:id="1112095795">
          <w:marLeft w:val="547"/>
          <w:marRight w:val="0"/>
          <w:marTop w:val="0"/>
          <w:marBottom w:val="0"/>
          <w:divBdr>
            <w:top w:val="none" w:sz="0" w:space="0" w:color="auto"/>
            <w:left w:val="none" w:sz="0" w:space="0" w:color="auto"/>
            <w:bottom w:val="none" w:sz="0" w:space="0" w:color="auto"/>
            <w:right w:val="none" w:sz="0" w:space="0" w:color="auto"/>
          </w:divBdr>
        </w:div>
        <w:div w:id="1520852030">
          <w:marLeft w:val="547"/>
          <w:marRight w:val="0"/>
          <w:marTop w:val="0"/>
          <w:marBottom w:val="0"/>
          <w:divBdr>
            <w:top w:val="none" w:sz="0" w:space="0" w:color="auto"/>
            <w:left w:val="none" w:sz="0" w:space="0" w:color="auto"/>
            <w:bottom w:val="none" w:sz="0" w:space="0" w:color="auto"/>
            <w:right w:val="none" w:sz="0" w:space="0" w:color="auto"/>
          </w:divBdr>
        </w:div>
        <w:div w:id="1855654304">
          <w:marLeft w:val="547"/>
          <w:marRight w:val="0"/>
          <w:marTop w:val="0"/>
          <w:marBottom w:val="0"/>
          <w:divBdr>
            <w:top w:val="none" w:sz="0" w:space="0" w:color="auto"/>
            <w:left w:val="none" w:sz="0" w:space="0" w:color="auto"/>
            <w:bottom w:val="none" w:sz="0" w:space="0" w:color="auto"/>
            <w:right w:val="none" w:sz="0" w:space="0" w:color="auto"/>
          </w:divBdr>
        </w:div>
        <w:div w:id="2100981497">
          <w:marLeft w:val="547"/>
          <w:marRight w:val="0"/>
          <w:marTop w:val="0"/>
          <w:marBottom w:val="0"/>
          <w:divBdr>
            <w:top w:val="none" w:sz="0" w:space="0" w:color="auto"/>
            <w:left w:val="none" w:sz="0" w:space="0" w:color="auto"/>
            <w:bottom w:val="none" w:sz="0" w:space="0" w:color="auto"/>
            <w:right w:val="none" w:sz="0" w:space="0" w:color="auto"/>
          </w:divBdr>
        </w:div>
      </w:divsChild>
    </w:div>
    <w:div w:id="1231192019">
      <w:bodyDiv w:val="1"/>
      <w:marLeft w:val="0"/>
      <w:marRight w:val="0"/>
      <w:marTop w:val="0"/>
      <w:marBottom w:val="0"/>
      <w:divBdr>
        <w:top w:val="none" w:sz="0" w:space="0" w:color="auto"/>
        <w:left w:val="none" w:sz="0" w:space="0" w:color="auto"/>
        <w:bottom w:val="none" w:sz="0" w:space="0" w:color="auto"/>
        <w:right w:val="none" w:sz="0" w:space="0" w:color="auto"/>
      </w:divBdr>
    </w:div>
    <w:div w:id="1267887943">
      <w:bodyDiv w:val="1"/>
      <w:marLeft w:val="0"/>
      <w:marRight w:val="0"/>
      <w:marTop w:val="0"/>
      <w:marBottom w:val="0"/>
      <w:divBdr>
        <w:top w:val="none" w:sz="0" w:space="0" w:color="auto"/>
        <w:left w:val="none" w:sz="0" w:space="0" w:color="auto"/>
        <w:bottom w:val="none" w:sz="0" w:space="0" w:color="auto"/>
        <w:right w:val="none" w:sz="0" w:space="0" w:color="auto"/>
      </w:divBdr>
    </w:div>
    <w:div w:id="1292249888">
      <w:bodyDiv w:val="1"/>
      <w:marLeft w:val="0"/>
      <w:marRight w:val="0"/>
      <w:marTop w:val="0"/>
      <w:marBottom w:val="0"/>
      <w:divBdr>
        <w:top w:val="none" w:sz="0" w:space="0" w:color="auto"/>
        <w:left w:val="none" w:sz="0" w:space="0" w:color="auto"/>
        <w:bottom w:val="none" w:sz="0" w:space="0" w:color="auto"/>
        <w:right w:val="none" w:sz="0" w:space="0" w:color="auto"/>
      </w:divBdr>
    </w:div>
    <w:div w:id="1310478216">
      <w:bodyDiv w:val="1"/>
      <w:marLeft w:val="0"/>
      <w:marRight w:val="0"/>
      <w:marTop w:val="0"/>
      <w:marBottom w:val="0"/>
      <w:divBdr>
        <w:top w:val="none" w:sz="0" w:space="0" w:color="auto"/>
        <w:left w:val="none" w:sz="0" w:space="0" w:color="auto"/>
        <w:bottom w:val="none" w:sz="0" w:space="0" w:color="auto"/>
        <w:right w:val="none" w:sz="0" w:space="0" w:color="auto"/>
      </w:divBdr>
    </w:div>
    <w:div w:id="1347514012">
      <w:bodyDiv w:val="1"/>
      <w:marLeft w:val="0"/>
      <w:marRight w:val="0"/>
      <w:marTop w:val="0"/>
      <w:marBottom w:val="0"/>
      <w:divBdr>
        <w:top w:val="none" w:sz="0" w:space="0" w:color="auto"/>
        <w:left w:val="none" w:sz="0" w:space="0" w:color="auto"/>
        <w:bottom w:val="none" w:sz="0" w:space="0" w:color="auto"/>
        <w:right w:val="none" w:sz="0" w:space="0" w:color="auto"/>
      </w:divBdr>
      <w:divsChild>
        <w:div w:id="287785599">
          <w:marLeft w:val="0"/>
          <w:marRight w:val="0"/>
          <w:marTop w:val="0"/>
          <w:marBottom w:val="0"/>
          <w:divBdr>
            <w:top w:val="none" w:sz="0" w:space="0" w:color="auto"/>
            <w:left w:val="none" w:sz="0" w:space="0" w:color="auto"/>
            <w:bottom w:val="none" w:sz="0" w:space="0" w:color="auto"/>
            <w:right w:val="none" w:sz="0" w:space="0" w:color="auto"/>
          </w:divBdr>
        </w:div>
        <w:div w:id="513498988">
          <w:marLeft w:val="0"/>
          <w:marRight w:val="0"/>
          <w:marTop w:val="0"/>
          <w:marBottom w:val="0"/>
          <w:divBdr>
            <w:top w:val="none" w:sz="0" w:space="0" w:color="auto"/>
            <w:left w:val="none" w:sz="0" w:space="0" w:color="auto"/>
            <w:bottom w:val="none" w:sz="0" w:space="0" w:color="auto"/>
            <w:right w:val="none" w:sz="0" w:space="0" w:color="auto"/>
          </w:divBdr>
        </w:div>
        <w:div w:id="1237744372">
          <w:marLeft w:val="0"/>
          <w:marRight w:val="0"/>
          <w:marTop w:val="0"/>
          <w:marBottom w:val="0"/>
          <w:divBdr>
            <w:top w:val="none" w:sz="0" w:space="0" w:color="auto"/>
            <w:left w:val="none" w:sz="0" w:space="0" w:color="auto"/>
            <w:bottom w:val="none" w:sz="0" w:space="0" w:color="auto"/>
            <w:right w:val="none" w:sz="0" w:space="0" w:color="auto"/>
          </w:divBdr>
        </w:div>
      </w:divsChild>
    </w:div>
    <w:div w:id="1447699120">
      <w:bodyDiv w:val="1"/>
      <w:marLeft w:val="0"/>
      <w:marRight w:val="0"/>
      <w:marTop w:val="0"/>
      <w:marBottom w:val="0"/>
      <w:divBdr>
        <w:top w:val="none" w:sz="0" w:space="0" w:color="auto"/>
        <w:left w:val="none" w:sz="0" w:space="0" w:color="auto"/>
        <w:bottom w:val="none" w:sz="0" w:space="0" w:color="auto"/>
        <w:right w:val="none" w:sz="0" w:space="0" w:color="auto"/>
      </w:divBdr>
      <w:divsChild>
        <w:div w:id="99035528">
          <w:marLeft w:val="0"/>
          <w:marRight w:val="0"/>
          <w:marTop w:val="0"/>
          <w:marBottom w:val="0"/>
          <w:divBdr>
            <w:top w:val="none" w:sz="0" w:space="0" w:color="auto"/>
            <w:left w:val="none" w:sz="0" w:space="0" w:color="auto"/>
            <w:bottom w:val="none" w:sz="0" w:space="0" w:color="auto"/>
            <w:right w:val="none" w:sz="0" w:space="0" w:color="auto"/>
          </w:divBdr>
        </w:div>
        <w:div w:id="344481452">
          <w:marLeft w:val="0"/>
          <w:marRight w:val="0"/>
          <w:marTop w:val="0"/>
          <w:marBottom w:val="0"/>
          <w:divBdr>
            <w:top w:val="none" w:sz="0" w:space="0" w:color="auto"/>
            <w:left w:val="none" w:sz="0" w:space="0" w:color="auto"/>
            <w:bottom w:val="none" w:sz="0" w:space="0" w:color="auto"/>
            <w:right w:val="none" w:sz="0" w:space="0" w:color="auto"/>
          </w:divBdr>
        </w:div>
        <w:div w:id="381638969">
          <w:marLeft w:val="0"/>
          <w:marRight w:val="0"/>
          <w:marTop w:val="0"/>
          <w:marBottom w:val="0"/>
          <w:divBdr>
            <w:top w:val="none" w:sz="0" w:space="0" w:color="auto"/>
            <w:left w:val="none" w:sz="0" w:space="0" w:color="auto"/>
            <w:bottom w:val="none" w:sz="0" w:space="0" w:color="auto"/>
            <w:right w:val="none" w:sz="0" w:space="0" w:color="auto"/>
          </w:divBdr>
        </w:div>
        <w:div w:id="817068878">
          <w:marLeft w:val="0"/>
          <w:marRight w:val="0"/>
          <w:marTop w:val="0"/>
          <w:marBottom w:val="0"/>
          <w:divBdr>
            <w:top w:val="none" w:sz="0" w:space="0" w:color="auto"/>
            <w:left w:val="none" w:sz="0" w:space="0" w:color="auto"/>
            <w:bottom w:val="none" w:sz="0" w:space="0" w:color="auto"/>
            <w:right w:val="none" w:sz="0" w:space="0" w:color="auto"/>
          </w:divBdr>
        </w:div>
        <w:div w:id="880825467">
          <w:marLeft w:val="0"/>
          <w:marRight w:val="0"/>
          <w:marTop w:val="0"/>
          <w:marBottom w:val="0"/>
          <w:divBdr>
            <w:top w:val="none" w:sz="0" w:space="0" w:color="auto"/>
            <w:left w:val="none" w:sz="0" w:space="0" w:color="auto"/>
            <w:bottom w:val="none" w:sz="0" w:space="0" w:color="auto"/>
            <w:right w:val="none" w:sz="0" w:space="0" w:color="auto"/>
          </w:divBdr>
        </w:div>
        <w:div w:id="1028263805">
          <w:marLeft w:val="0"/>
          <w:marRight w:val="0"/>
          <w:marTop w:val="0"/>
          <w:marBottom w:val="0"/>
          <w:divBdr>
            <w:top w:val="none" w:sz="0" w:space="0" w:color="auto"/>
            <w:left w:val="none" w:sz="0" w:space="0" w:color="auto"/>
            <w:bottom w:val="none" w:sz="0" w:space="0" w:color="auto"/>
            <w:right w:val="none" w:sz="0" w:space="0" w:color="auto"/>
          </w:divBdr>
        </w:div>
        <w:div w:id="1101949781">
          <w:marLeft w:val="0"/>
          <w:marRight w:val="0"/>
          <w:marTop w:val="0"/>
          <w:marBottom w:val="0"/>
          <w:divBdr>
            <w:top w:val="none" w:sz="0" w:space="0" w:color="auto"/>
            <w:left w:val="none" w:sz="0" w:space="0" w:color="auto"/>
            <w:bottom w:val="none" w:sz="0" w:space="0" w:color="auto"/>
            <w:right w:val="none" w:sz="0" w:space="0" w:color="auto"/>
          </w:divBdr>
        </w:div>
      </w:divsChild>
    </w:div>
    <w:div w:id="1470783694">
      <w:bodyDiv w:val="1"/>
      <w:marLeft w:val="0"/>
      <w:marRight w:val="0"/>
      <w:marTop w:val="0"/>
      <w:marBottom w:val="0"/>
      <w:divBdr>
        <w:top w:val="none" w:sz="0" w:space="0" w:color="auto"/>
        <w:left w:val="none" w:sz="0" w:space="0" w:color="auto"/>
        <w:bottom w:val="none" w:sz="0" w:space="0" w:color="auto"/>
        <w:right w:val="none" w:sz="0" w:space="0" w:color="auto"/>
      </w:divBdr>
      <w:divsChild>
        <w:div w:id="1406340279">
          <w:marLeft w:val="0"/>
          <w:marRight w:val="0"/>
          <w:marTop w:val="0"/>
          <w:marBottom w:val="0"/>
          <w:divBdr>
            <w:top w:val="none" w:sz="0" w:space="0" w:color="auto"/>
            <w:left w:val="none" w:sz="0" w:space="0" w:color="auto"/>
            <w:bottom w:val="none" w:sz="0" w:space="0" w:color="auto"/>
            <w:right w:val="none" w:sz="0" w:space="0" w:color="auto"/>
          </w:divBdr>
          <w:divsChild>
            <w:div w:id="1603535120">
              <w:marLeft w:val="0"/>
              <w:marRight w:val="0"/>
              <w:marTop w:val="30"/>
              <w:marBottom w:val="30"/>
              <w:divBdr>
                <w:top w:val="none" w:sz="0" w:space="0" w:color="auto"/>
                <w:left w:val="none" w:sz="0" w:space="0" w:color="auto"/>
                <w:bottom w:val="none" w:sz="0" w:space="0" w:color="auto"/>
                <w:right w:val="none" w:sz="0" w:space="0" w:color="auto"/>
              </w:divBdr>
              <w:divsChild>
                <w:div w:id="26179025">
                  <w:marLeft w:val="0"/>
                  <w:marRight w:val="0"/>
                  <w:marTop w:val="0"/>
                  <w:marBottom w:val="0"/>
                  <w:divBdr>
                    <w:top w:val="none" w:sz="0" w:space="0" w:color="auto"/>
                    <w:left w:val="none" w:sz="0" w:space="0" w:color="auto"/>
                    <w:bottom w:val="none" w:sz="0" w:space="0" w:color="auto"/>
                    <w:right w:val="none" w:sz="0" w:space="0" w:color="auto"/>
                  </w:divBdr>
                  <w:divsChild>
                    <w:div w:id="618997448">
                      <w:marLeft w:val="0"/>
                      <w:marRight w:val="0"/>
                      <w:marTop w:val="0"/>
                      <w:marBottom w:val="0"/>
                      <w:divBdr>
                        <w:top w:val="none" w:sz="0" w:space="0" w:color="auto"/>
                        <w:left w:val="none" w:sz="0" w:space="0" w:color="auto"/>
                        <w:bottom w:val="none" w:sz="0" w:space="0" w:color="auto"/>
                        <w:right w:val="none" w:sz="0" w:space="0" w:color="auto"/>
                      </w:divBdr>
                    </w:div>
                    <w:div w:id="1258948662">
                      <w:marLeft w:val="0"/>
                      <w:marRight w:val="0"/>
                      <w:marTop w:val="0"/>
                      <w:marBottom w:val="0"/>
                      <w:divBdr>
                        <w:top w:val="none" w:sz="0" w:space="0" w:color="auto"/>
                        <w:left w:val="none" w:sz="0" w:space="0" w:color="auto"/>
                        <w:bottom w:val="none" w:sz="0" w:space="0" w:color="auto"/>
                        <w:right w:val="none" w:sz="0" w:space="0" w:color="auto"/>
                      </w:divBdr>
                    </w:div>
                    <w:div w:id="1556965427">
                      <w:marLeft w:val="0"/>
                      <w:marRight w:val="0"/>
                      <w:marTop w:val="0"/>
                      <w:marBottom w:val="0"/>
                      <w:divBdr>
                        <w:top w:val="none" w:sz="0" w:space="0" w:color="auto"/>
                        <w:left w:val="none" w:sz="0" w:space="0" w:color="auto"/>
                        <w:bottom w:val="none" w:sz="0" w:space="0" w:color="auto"/>
                        <w:right w:val="none" w:sz="0" w:space="0" w:color="auto"/>
                      </w:divBdr>
                    </w:div>
                  </w:divsChild>
                </w:div>
                <w:div w:id="175462570">
                  <w:marLeft w:val="0"/>
                  <w:marRight w:val="0"/>
                  <w:marTop w:val="0"/>
                  <w:marBottom w:val="0"/>
                  <w:divBdr>
                    <w:top w:val="none" w:sz="0" w:space="0" w:color="auto"/>
                    <w:left w:val="none" w:sz="0" w:space="0" w:color="auto"/>
                    <w:bottom w:val="none" w:sz="0" w:space="0" w:color="auto"/>
                    <w:right w:val="none" w:sz="0" w:space="0" w:color="auto"/>
                  </w:divBdr>
                  <w:divsChild>
                    <w:div w:id="1522089775">
                      <w:marLeft w:val="0"/>
                      <w:marRight w:val="0"/>
                      <w:marTop w:val="0"/>
                      <w:marBottom w:val="0"/>
                      <w:divBdr>
                        <w:top w:val="none" w:sz="0" w:space="0" w:color="auto"/>
                        <w:left w:val="none" w:sz="0" w:space="0" w:color="auto"/>
                        <w:bottom w:val="none" w:sz="0" w:space="0" w:color="auto"/>
                        <w:right w:val="none" w:sz="0" w:space="0" w:color="auto"/>
                      </w:divBdr>
                    </w:div>
                  </w:divsChild>
                </w:div>
                <w:div w:id="195579688">
                  <w:marLeft w:val="0"/>
                  <w:marRight w:val="0"/>
                  <w:marTop w:val="0"/>
                  <w:marBottom w:val="0"/>
                  <w:divBdr>
                    <w:top w:val="none" w:sz="0" w:space="0" w:color="auto"/>
                    <w:left w:val="none" w:sz="0" w:space="0" w:color="auto"/>
                    <w:bottom w:val="none" w:sz="0" w:space="0" w:color="auto"/>
                    <w:right w:val="none" w:sz="0" w:space="0" w:color="auto"/>
                  </w:divBdr>
                  <w:divsChild>
                    <w:div w:id="171186447">
                      <w:marLeft w:val="0"/>
                      <w:marRight w:val="0"/>
                      <w:marTop w:val="0"/>
                      <w:marBottom w:val="0"/>
                      <w:divBdr>
                        <w:top w:val="none" w:sz="0" w:space="0" w:color="auto"/>
                        <w:left w:val="none" w:sz="0" w:space="0" w:color="auto"/>
                        <w:bottom w:val="none" w:sz="0" w:space="0" w:color="auto"/>
                        <w:right w:val="none" w:sz="0" w:space="0" w:color="auto"/>
                      </w:divBdr>
                    </w:div>
                    <w:div w:id="754478448">
                      <w:marLeft w:val="0"/>
                      <w:marRight w:val="0"/>
                      <w:marTop w:val="0"/>
                      <w:marBottom w:val="0"/>
                      <w:divBdr>
                        <w:top w:val="none" w:sz="0" w:space="0" w:color="auto"/>
                        <w:left w:val="none" w:sz="0" w:space="0" w:color="auto"/>
                        <w:bottom w:val="none" w:sz="0" w:space="0" w:color="auto"/>
                        <w:right w:val="none" w:sz="0" w:space="0" w:color="auto"/>
                      </w:divBdr>
                    </w:div>
                    <w:div w:id="1094595348">
                      <w:marLeft w:val="0"/>
                      <w:marRight w:val="0"/>
                      <w:marTop w:val="0"/>
                      <w:marBottom w:val="0"/>
                      <w:divBdr>
                        <w:top w:val="none" w:sz="0" w:space="0" w:color="auto"/>
                        <w:left w:val="none" w:sz="0" w:space="0" w:color="auto"/>
                        <w:bottom w:val="none" w:sz="0" w:space="0" w:color="auto"/>
                        <w:right w:val="none" w:sz="0" w:space="0" w:color="auto"/>
                      </w:divBdr>
                    </w:div>
                    <w:div w:id="1524708336">
                      <w:marLeft w:val="0"/>
                      <w:marRight w:val="0"/>
                      <w:marTop w:val="0"/>
                      <w:marBottom w:val="0"/>
                      <w:divBdr>
                        <w:top w:val="none" w:sz="0" w:space="0" w:color="auto"/>
                        <w:left w:val="none" w:sz="0" w:space="0" w:color="auto"/>
                        <w:bottom w:val="none" w:sz="0" w:space="0" w:color="auto"/>
                        <w:right w:val="none" w:sz="0" w:space="0" w:color="auto"/>
                      </w:divBdr>
                    </w:div>
                  </w:divsChild>
                </w:div>
                <w:div w:id="378437143">
                  <w:marLeft w:val="0"/>
                  <w:marRight w:val="0"/>
                  <w:marTop w:val="0"/>
                  <w:marBottom w:val="0"/>
                  <w:divBdr>
                    <w:top w:val="none" w:sz="0" w:space="0" w:color="auto"/>
                    <w:left w:val="none" w:sz="0" w:space="0" w:color="auto"/>
                    <w:bottom w:val="none" w:sz="0" w:space="0" w:color="auto"/>
                    <w:right w:val="none" w:sz="0" w:space="0" w:color="auto"/>
                  </w:divBdr>
                  <w:divsChild>
                    <w:div w:id="1227103617">
                      <w:marLeft w:val="0"/>
                      <w:marRight w:val="0"/>
                      <w:marTop w:val="0"/>
                      <w:marBottom w:val="0"/>
                      <w:divBdr>
                        <w:top w:val="none" w:sz="0" w:space="0" w:color="auto"/>
                        <w:left w:val="none" w:sz="0" w:space="0" w:color="auto"/>
                        <w:bottom w:val="none" w:sz="0" w:space="0" w:color="auto"/>
                        <w:right w:val="none" w:sz="0" w:space="0" w:color="auto"/>
                      </w:divBdr>
                    </w:div>
                    <w:div w:id="1541473934">
                      <w:marLeft w:val="0"/>
                      <w:marRight w:val="0"/>
                      <w:marTop w:val="0"/>
                      <w:marBottom w:val="0"/>
                      <w:divBdr>
                        <w:top w:val="none" w:sz="0" w:space="0" w:color="auto"/>
                        <w:left w:val="none" w:sz="0" w:space="0" w:color="auto"/>
                        <w:bottom w:val="none" w:sz="0" w:space="0" w:color="auto"/>
                        <w:right w:val="none" w:sz="0" w:space="0" w:color="auto"/>
                      </w:divBdr>
                    </w:div>
                    <w:div w:id="1884050692">
                      <w:marLeft w:val="0"/>
                      <w:marRight w:val="0"/>
                      <w:marTop w:val="0"/>
                      <w:marBottom w:val="0"/>
                      <w:divBdr>
                        <w:top w:val="none" w:sz="0" w:space="0" w:color="auto"/>
                        <w:left w:val="none" w:sz="0" w:space="0" w:color="auto"/>
                        <w:bottom w:val="none" w:sz="0" w:space="0" w:color="auto"/>
                        <w:right w:val="none" w:sz="0" w:space="0" w:color="auto"/>
                      </w:divBdr>
                    </w:div>
                  </w:divsChild>
                </w:div>
                <w:div w:id="530849977">
                  <w:marLeft w:val="0"/>
                  <w:marRight w:val="0"/>
                  <w:marTop w:val="0"/>
                  <w:marBottom w:val="0"/>
                  <w:divBdr>
                    <w:top w:val="none" w:sz="0" w:space="0" w:color="auto"/>
                    <w:left w:val="none" w:sz="0" w:space="0" w:color="auto"/>
                    <w:bottom w:val="none" w:sz="0" w:space="0" w:color="auto"/>
                    <w:right w:val="none" w:sz="0" w:space="0" w:color="auto"/>
                  </w:divBdr>
                  <w:divsChild>
                    <w:div w:id="365252384">
                      <w:marLeft w:val="0"/>
                      <w:marRight w:val="0"/>
                      <w:marTop w:val="0"/>
                      <w:marBottom w:val="0"/>
                      <w:divBdr>
                        <w:top w:val="none" w:sz="0" w:space="0" w:color="auto"/>
                        <w:left w:val="none" w:sz="0" w:space="0" w:color="auto"/>
                        <w:bottom w:val="none" w:sz="0" w:space="0" w:color="auto"/>
                        <w:right w:val="none" w:sz="0" w:space="0" w:color="auto"/>
                      </w:divBdr>
                    </w:div>
                  </w:divsChild>
                </w:div>
                <w:div w:id="617683957">
                  <w:marLeft w:val="0"/>
                  <w:marRight w:val="0"/>
                  <w:marTop w:val="0"/>
                  <w:marBottom w:val="0"/>
                  <w:divBdr>
                    <w:top w:val="none" w:sz="0" w:space="0" w:color="auto"/>
                    <w:left w:val="none" w:sz="0" w:space="0" w:color="auto"/>
                    <w:bottom w:val="none" w:sz="0" w:space="0" w:color="auto"/>
                    <w:right w:val="none" w:sz="0" w:space="0" w:color="auto"/>
                  </w:divBdr>
                  <w:divsChild>
                    <w:div w:id="1959526471">
                      <w:marLeft w:val="0"/>
                      <w:marRight w:val="0"/>
                      <w:marTop w:val="0"/>
                      <w:marBottom w:val="0"/>
                      <w:divBdr>
                        <w:top w:val="none" w:sz="0" w:space="0" w:color="auto"/>
                        <w:left w:val="none" w:sz="0" w:space="0" w:color="auto"/>
                        <w:bottom w:val="none" w:sz="0" w:space="0" w:color="auto"/>
                        <w:right w:val="none" w:sz="0" w:space="0" w:color="auto"/>
                      </w:divBdr>
                    </w:div>
                  </w:divsChild>
                </w:div>
                <w:div w:id="1247883826">
                  <w:marLeft w:val="0"/>
                  <w:marRight w:val="0"/>
                  <w:marTop w:val="0"/>
                  <w:marBottom w:val="0"/>
                  <w:divBdr>
                    <w:top w:val="none" w:sz="0" w:space="0" w:color="auto"/>
                    <w:left w:val="none" w:sz="0" w:space="0" w:color="auto"/>
                    <w:bottom w:val="none" w:sz="0" w:space="0" w:color="auto"/>
                    <w:right w:val="none" w:sz="0" w:space="0" w:color="auto"/>
                  </w:divBdr>
                  <w:divsChild>
                    <w:div w:id="1563830463">
                      <w:marLeft w:val="0"/>
                      <w:marRight w:val="0"/>
                      <w:marTop w:val="0"/>
                      <w:marBottom w:val="0"/>
                      <w:divBdr>
                        <w:top w:val="none" w:sz="0" w:space="0" w:color="auto"/>
                        <w:left w:val="none" w:sz="0" w:space="0" w:color="auto"/>
                        <w:bottom w:val="none" w:sz="0" w:space="0" w:color="auto"/>
                        <w:right w:val="none" w:sz="0" w:space="0" w:color="auto"/>
                      </w:divBdr>
                    </w:div>
                  </w:divsChild>
                </w:div>
                <w:div w:id="1366518010">
                  <w:marLeft w:val="0"/>
                  <w:marRight w:val="0"/>
                  <w:marTop w:val="0"/>
                  <w:marBottom w:val="0"/>
                  <w:divBdr>
                    <w:top w:val="none" w:sz="0" w:space="0" w:color="auto"/>
                    <w:left w:val="none" w:sz="0" w:space="0" w:color="auto"/>
                    <w:bottom w:val="none" w:sz="0" w:space="0" w:color="auto"/>
                    <w:right w:val="none" w:sz="0" w:space="0" w:color="auto"/>
                  </w:divBdr>
                  <w:divsChild>
                    <w:div w:id="927538457">
                      <w:marLeft w:val="0"/>
                      <w:marRight w:val="0"/>
                      <w:marTop w:val="0"/>
                      <w:marBottom w:val="0"/>
                      <w:divBdr>
                        <w:top w:val="none" w:sz="0" w:space="0" w:color="auto"/>
                        <w:left w:val="none" w:sz="0" w:space="0" w:color="auto"/>
                        <w:bottom w:val="none" w:sz="0" w:space="0" w:color="auto"/>
                        <w:right w:val="none" w:sz="0" w:space="0" w:color="auto"/>
                      </w:divBdr>
                    </w:div>
                  </w:divsChild>
                </w:div>
                <w:div w:id="1733459858">
                  <w:marLeft w:val="0"/>
                  <w:marRight w:val="0"/>
                  <w:marTop w:val="0"/>
                  <w:marBottom w:val="0"/>
                  <w:divBdr>
                    <w:top w:val="none" w:sz="0" w:space="0" w:color="auto"/>
                    <w:left w:val="none" w:sz="0" w:space="0" w:color="auto"/>
                    <w:bottom w:val="none" w:sz="0" w:space="0" w:color="auto"/>
                    <w:right w:val="none" w:sz="0" w:space="0" w:color="auto"/>
                  </w:divBdr>
                  <w:divsChild>
                    <w:div w:id="3363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81734">
          <w:marLeft w:val="0"/>
          <w:marRight w:val="0"/>
          <w:marTop w:val="0"/>
          <w:marBottom w:val="0"/>
          <w:divBdr>
            <w:top w:val="none" w:sz="0" w:space="0" w:color="auto"/>
            <w:left w:val="none" w:sz="0" w:space="0" w:color="auto"/>
            <w:bottom w:val="none" w:sz="0" w:space="0" w:color="auto"/>
            <w:right w:val="none" w:sz="0" w:space="0" w:color="auto"/>
          </w:divBdr>
        </w:div>
      </w:divsChild>
    </w:div>
    <w:div w:id="1506431321">
      <w:bodyDiv w:val="1"/>
      <w:marLeft w:val="0"/>
      <w:marRight w:val="0"/>
      <w:marTop w:val="0"/>
      <w:marBottom w:val="0"/>
      <w:divBdr>
        <w:top w:val="none" w:sz="0" w:space="0" w:color="auto"/>
        <w:left w:val="none" w:sz="0" w:space="0" w:color="auto"/>
        <w:bottom w:val="none" w:sz="0" w:space="0" w:color="auto"/>
        <w:right w:val="none" w:sz="0" w:space="0" w:color="auto"/>
      </w:divBdr>
      <w:divsChild>
        <w:div w:id="1810978607">
          <w:marLeft w:val="446"/>
          <w:marRight w:val="0"/>
          <w:marTop w:val="200"/>
          <w:marBottom w:val="0"/>
          <w:divBdr>
            <w:top w:val="none" w:sz="0" w:space="0" w:color="auto"/>
            <w:left w:val="none" w:sz="0" w:space="0" w:color="auto"/>
            <w:bottom w:val="none" w:sz="0" w:space="0" w:color="auto"/>
            <w:right w:val="none" w:sz="0" w:space="0" w:color="auto"/>
          </w:divBdr>
        </w:div>
      </w:divsChild>
    </w:div>
    <w:div w:id="1584995321">
      <w:bodyDiv w:val="1"/>
      <w:marLeft w:val="0"/>
      <w:marRight w:val="0"/>
      <w:marTop w:val="0"/>
      <w:marBottom w:val="0"/>
      <w:divBdr>
        <w:top w:val="none" w:sz="0" w:space="0" w:color="auto"/>
        <w:left w:val="none" w:sz="0" w:space="0" w:color="auto"/>
        <w:bottom w:val="none" w:sz="0" w:space="0" w:color="auto"/>
        <w:right w:val="none" w:sz="0" w:space="0" w:color="auto"/>
      </w:divBdr>
      <w:divsChild>
        <w:div w:id="461773425">
          <w:marLeft w:val="403"/>
          <w:marRight w:val="0"/>
          <w:marTop w:val="0"/>
          <w:marBottom w:val="0"/>
          <w:divBdr>
            <w:top w:val="none" w:sz="0" w:space="0" w:color="auto"/>
            <w:left w:val="none" w:sz="0" w:space="0" w:color="auto"/>
            <w:bottom w:val="none" w:sz="0" w:space="0" w:color="auto"/>
            <w:right w:val="none" w:sz="0" w:space="0" w:color="auto"/>
          </w:divBdr>
        </w:div>
      </w:divsChild>
    </w:div>
    <w:div w:id="1678457192">
      <w:bodyDiv w:val="1"/>
      <w:marLeft w:val="0"/>
      <w:marRight w:val="0"/>
      <w:marTop w:val="0"/>
      <w:marBottom w:val="0"/>
      <w:divBdr>
        <w:top w:val="none" w:sz="0" w:space="0" w:color="auto"/>
        <w:left w:val="none" w:sz="0" w:space="0" w:color="auto"/>
        <w:bottom w:val="none" w:sz="0" w:space="0" w:color="auto"/>
        <w:right w:val="none" w:sz="0" w:space="0" w:color="auto"/>
      </w:divBdr>
    </w:div>
    <w:div w:id="1689411616">
      <w:bodyDiv w:val="1"/>
      <w:marLeft w:val="0"/>
      <w:marRight w:val="0"/>
      <w:marTop w:val="0"/>
      <w:marBottom w:val="0"/>
      <w:divBdr>
        <w:top w:val="none" w:sz="0" w:space="0" w:color="auto"/>
        <w:left w:val="none" w:sz="0" w:space="0" w:color="auto"/>
        <w:bottom w:val="none" w:sz="0" w:space="0" w:color="auto"/>
        <w:right w:val="none" w:sz="0" w:space="0" w:color="auto"/>
      </w:divBdr>
    </w:div>
    <w:div w:id="1790514603">
      <w:bodyDiv w:val="1"/>
      <w:marLeft w:val="0"/>
      <w:marRight w:val="0"/>
      <w:marTop w:val="0"/>
      <w:marBottom w:val="0"/>
      <w:divBdr>
        <w:top w:val="none" w:sz="0" w:space="0" w:color="auto"/>
        <w:left w:val="none" w:sz="0" w:space="0" w:color="auto"/>
        <w:bottom w:val="none" w:sz="0" w:space="0" w:color="auto"/>
        <w:right w:val="none" w:sz="0" w:space="0" w:color="auto"/>
      </w:divBdr>
    </w:div>
    <w:div w:id="1811048859">
      <w:bodyDiv w:val="1"/>
      <w:marLeft w:val="0"/>
      <w:marRight w:val="0"/>
      <w:marTop w:val="0"/>
      <w:marBottom w:val="0"/>
      <w:divBdr>
        <w:top w:val="none" w:sz="0" w:space="0" w:color="auto"/>
        <w:left w:val="none" w:sz="0" w:space="0" w:color="auto"/>
        <w:bottom w:val="none" w:sz="0" w:space="0" w:color="auto"/>
        <w:right w:val="none" w:sz="0" w:space="0" w:color="auto"/>
      </w:divBdr>
    </w:div>
    <w:div w:id="1926524611">
      <w:bodyDiv w:val="1"/>
      <w:marLeft w:val="0"/>
      <w:marRight w:val="0"/>
      <w:marTop w:val="0"/>
      <w:marBottom w:val="0"/>
      <w:divBdr>
        <w:top w:val="none" w:sz="0" w:space="0" w:color="auto"/>
        <w:left w:val="none" w:sz="0" w:space="0" w:color="auto"/>
        <w:bottom w:val="none" w:sz="0" w:space="0" w:color="auto"/>
        <w:right w:val="none" w:sz="0" w:space="0" w:color="auto"/>
      </w:divBdr>
    </w:div>
    <w:div w:id="1959488230">
      <w:bodyDiv w:val="1"/>
      <w:marLeft w:val="0"/>
      <w:marRight w:val="0"/>
      <w:marTop w:val="0"/>
      <w:marBottom w:val="0"/>
      <w:divBdr>
        <w:top w:val="none" w:sz="0" w:space="0" w:color="auto"/>
        <w:left w:val="none" w:sz="0" w:space="0" w:color="auto"/>
        <w:bottom w:val="none" w:sz="0" w:space="0" w:color="auto"/>
        <w:right w:val="none" w:sz="0" w:space="0" w:color="auto"/>
      </w:divBdr>
    </w:div>
    <w:div w:id="2044090823">
      <w:bodyDiv w:val="1"/>
      <w:marLeft w:val="0"/>
      <w:marRight w:val="0"/>
      <w:marTop w:val="0"/>
      <w:marBottom w:val="0"/>
      <w:divBdr>
        <w:top w:val="none" w:sz="0" w:space="0" w:color="auto"/>
        <w:left w:val="none" w:sz="0" w:space="0" w:color="auto"/>
        <w:bottom w:val="none" w:sz="0" w:space="0" w:color="auto"/>
        <w:right w:val="none" w:sz="0" w:space="0" w:color="auto"/>
      </w:divBdr>
    </w:div>
    <w:div w:id="2057393282">
      <w:bodyDiv w:val="1"/>
      <w:marLeft w:val="0"/>
      <w:marRight w:val="0"/>
      <w:marTop w:val="0"/>
      <w:marBottom w:val="0"/>
      <w:divBdr>
        <w:top w:val="none" w:sz="0" w:space="0" w:color="auto"/>
        <w:left w:val="none" w:sz="0" w:space="0" w:color="auto"/>
        <w:bottom w:val="none" w:sz="0" w:space="0" w:color="auto"/>
        <w:right w:val="none" w:sz="0" w:space="0" w:color="auto"/>
      </w:divBdr>
      <w:divsChild>
        <w:div w:id="1057631188">
          <w:marLeft w:val="0"/>
          <w:marRight w:val="0"/>
          <w:marTop w:val="0"/>
          <w:marBottom w:val="0"/>
          <w:divBdr>
            <w:top w:val="none" w:sz="0" w:space="0" w:color="auto"/>
            <w:left w:val="none" w:sz="0" w:space="0" w:color="auto"/>
            <w:bottom w:val="none" w:sz="0" w:space="0" w:color="auto"/>
            <w:right w:val="none" w:sz="0" w:space="0" w:color="auto"/>
          </w:divBdr>
        </w:div>
        <w:div w:id="1612131523">
          <w:marLeft w:val="0"/>
          <w:marRight w:val="0"/>
          <w:marTop w:val="0"/>
          <w:marBottom w:val="0"/>
          <w:divBdr>
            <w:top w:val="none" w:sz="0" w:space="0" w:color="auto"/>
            <w:left w:val="none" w:sz="0" w:space="0" w:color="auto"/>
            <w:bottom w:val="none" w:sz="0" w:space="0" w:color="auto"/>
            <w:right w:val="none" w:sz="0" w:space="0" w:color="auto"/>
          </w:divBdr>
        </w:div>
        <w:div w:id="2038845946">
          <w:marLeft w:val="0"/>
          <w:marRight w:val="0"/>
          <w:marTop w:val="0"/>
          <w:marBottom w:val="0"/>
          <w:divBdr>
            <w:top w:val="none" w:sz="0" w:space="0" w:color="auto"/>
            <w:left w:val="none" w:sz="0" w:space="0" w:color="auto"/>
            <w:bottom w:val="none" w:sz="0" w:space="0" w:color="auto"/>
            <w:right w:val="none" w:sz="0" w:space="0" w:color="auto"/>
          </w:divBdr>
        </w:div>
      </w:divsChild>
    </w:div>
    <w:div w:id="2059277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tf.vic.gov.au/practitioners-toolkit/practitioners-toolkit-document-library" TargetMode="External"/><Relationship Id="rId21" Type="http://schemas.openxmlformats.org/officeDocument/2006/relationships/header" Target="header3.xml"/><Relationship Id="rId63" Type="http://schemas.openxmlformats.org/officeDocument/2006/relationships/hyperlink" Target="https://www.legislation.vic.gov.au/in-force/acts/land-act-1958/150" TargetMode="External"/><Relationship Id="rId159" Type="http://schemas.openxmlformats.org/officeDocument/2006/relationships/hyperlink" Target="https://www.buyingfor.vic.gov.au/plan-probity" TargetMode="External"/><Relationship Id="rId170" Type="http://schemas.openxmlformats.org/officeDocument/2006/relationships/hyperlink" Target="https://www.dtf.vic.gov.au/infrastructure-investment/bid-cost-reimbursement-major-construction-projects" TargetMode="External"/><Relationship Id="rId226" Type="http://schemas.openxmlformats.org/officeDocument/2006/relationships/hyperlink" Target="https://www.legislation.vic.gov.au/as-made/acts/professional-engineers-registration-act-2019" TargetMode="External"/><Relationship Id="rId268" Type="http://schemas.openxmlformats.org/officeDocument/2006/relationships/customXml" Target="../customXml/item3.xml"/><Relationship Id="rId11" Type="http://schemas.openxmlformats.org/officeDocument/2006/relationships/footer" Target="footer1.xml"/><Relationship Id="rId32" Type="http://schemas.openxmlformats.org/officeDocument/2006/relationships/hyperlink" Target="https://www.dtf.vic.gov.au/investment-lifecycle-and-high-value-high-risk-guidelines/stage-1-business-case" TargetMode="External"/><Relationship Id="rId53" Type="http://schemas.openxmlformats.org/officeDocument/2006/relationships/image" Target="media/image27.svg"/><Relationship Id="rId74" Type="http://schemas.openxmlformats.org/officeDocument/2006/relationships/hyperlink" Target="https://www.dtf.vic.gov.au/stage-2-procurement/whole-life-procurement-category" TargetMode="External"/><Relationship Id="rId128" Type="http://schemas.openxmlformats.org/officeDocument/2006/relationships/image" Target="media/image53.png"/><Relationship Id="rId149" Type="http://schemas.openxmlformats.org/officeDocument/2006/relationships/hyperlink" Target="http://www.dtf.vic.gov.au/infrastructure-investment/construction-supplier-register" TargetMode="External"/><Relationship Id="rId5" Type="http://schemas.openxmlformats.org/officeDocument/2006/relationships/settings" Target="settings.xml"/><Relationship Id="rId95" Type="http://schemas.openxmlformats.org/officeDocument/2006/relationships/header" Target="header8.xml"/><Relationship Id="rId160" Type="http://schemas.openxmlformats.org/officeDocument/2006/relationships/hyperlink" Target="https://www.dtf.vic.gov.au/stage-2-procurement/cost-reimbursable-procurement-category" TargetMode="External"/><Relationship Id="rId181" Type="http://schemas.openxmlformats.org/officeDocument/2006/relationships/hyperlink" Target="https://www.tenders.vic.gov.au/" TargetMode="External"/><Relationship Id="rId216" Type="http://schemas.openxmlformats.org/officeDocument/2006/relationships/hyperlink" Target="https://www.legislation.vic.gov.au/in-force/acts/crown-land-reserves-act-1978" TargetMode="External"/><Relationship Id="rId237" Type="http://schemas.openxmlformats.org/officeDocument/2006/relationships/hyperlink" Target="https://www.vic.gov.au/building-equality-policy" TargetMode="External"/><Relationship Id="rId258" Type="http://schemas.openxmlformats.org/officeDocument/2006/relationships/header" Target="header12.xml"/><Relationship Id="rId22" Type="http://schemas.openxmlformats.org/officeDocument/2006/relationships/header" Target="header4.xml"/><Relationship Id="rId43" Type="http://schemas.openxmlformats.org/officeDocument/2006/relationships/image" Target="media/image18.png"/><Relationship Id="rId64" Type="http://schemas.openxmlformats.org/officeDocument/2006/relationships/hyperlink" Target="https://www.legislation.vic.gov.au/in-force/acts/sale-land-act-1962/168" TargetMode="External"/><Relationship Id="rId118" Type="http://schemas.openxmlformats.org/officeDocument/2006/relationships/image" Target="media/image48.png"/><Relationship Id="rId139" Type="http://schemas.openxmlformats.org/officeDocument/2006/relationships/image" Target="media/image58.png"/><Relationship Id="rId85" Type="http://schemas.openxmlformats.org/officeDocument/2006/relationships/image" Target="media/image35.png"/><Relationship Id="rId150" Type="http://schemas.openxmlformats.org/officeDocument/2006/relationships/image" Target="media/image60.png"/><Relationship Id="rId171" Type="http://schemas.openxmlformats.org/officeDocument/2006/relationships/hyperlink" Target="https://www.dtf.vic.gov.au/ministerial-directions-and-instructions-public-construction-procurement/contracting-requirements-direction-and-instruction-71" TargetMode="External"/><Relationship Id="rId192" Type="http://schemas.openxmlformats.org/officeDocument/2006/relationships/header" Target="header9.xml"/><Relationship Id="rId206" Type="http://schemas.openxmlformats.org/officeDocument/2006/relationships/hyperlink" Target="https://www.dtf.vic.gov.au/public-construction-policy-and-resources/ministerial-directions-and-instructions-public-construction-procurement" TargetMode="External"/><Relationship Id="rId227" Type="http://schemas.openxmlformats.org/officeDocument/2006/relationships/hyperlink" Target="https://www.legislation.vic.gov.au/in-force/acts/planning-and-environment-act-1987/153" TargetMode="External"/><Relationship Id="rId248" Type="http://schemas.openxmlformats.org/officeDocument/2006/relationships/hyperlink" Target="https://www.buyingfor.vic.gov.au/supplier-code-conduct-toolkit-and-document-library" TargetMode="External"/><Relationship Id="rId269" Type="http://schemas.openxmlformats.org/officeDocument/2006/relationships/customXml" Target="../customXml/item4.xml"/><Relationship Id="rId12" Type="http://schemas.openxmlformats.org/officeDocument/2006/relationships/footer" Target="footer2.xml"/><Relationship Id="rId33" Type="http://schemas.openxmlformats.org/officeDocument/2006/relationships/image" Target="media/image11.png"/><Relationship Id="rId108" Type="http://schemas.openxmlformats.org/officeDocument/2006/relationships/hyperlink" Target="https://www.dtf.vic.gov.au/practitioners-toolkit/practitioners-toolkit-document-library" TargetMode="External"/><Relationship Id="rId129" Type="http://schemas.openxmlformats.org/officeDocument/2006/relationships/hyperlink" Target="https://www.dtf.vic.gov.au/stage-2-procurement/cost-reimbursable-procurement-category" TargetMode="External"/><Relationship Id="rId54" Type="http://schemas.openxmlformats.org/officeDocument/2006/relationships/image" Target="media/image28.jpeg"/><Relationship Id="rId75" Type="http://schemas.openxmlformats.org/officeDocument/2006/relationships/hyperlink" Target="https://www.dtf.vic.gov.au/stage-2-procurement/cost-reimbursable-procurement-category" TargetMode="External"/><Relationship Id="rId96" Type="http://schemas.openxmlformats.org/officeDocument/2006/relationships/footer" Target="footer9.xml"/><Relationship Id="rId140" Type="http://schemas.openxmlformats.org/officeDocument/2006/relationships/image" Target="media/image59.svg"/><Relationship Id="rId161" Type="http://schemas.openxmlformats.org/officeDocument/2006/relationships/hyperlink" Target="https://www.dtf.vic.gov.au/stage-2-procurement/whole-life-procurement-category" TargetMode="External"/><Relationship Id="rId182" Type="http://schemas.openxmlformats.org/officeDocument/2006/relationships/hyperlink" Target="https://www.buyingfor.vic.gov.au/browse-construction-supplier-registers" TargetMode="External"/><Relationship Id="rId217" Type="http://schemas.openxmlformats.org/officeDocument/2006/relationships/hyperlink" Target="https://www.legislation.vic.gov.au/in-force/acts/environment-effects-act-1978/026" TargetMode="External"/><Relationship Id="rId6" Type="http://schemas.openxmlformats.org/officeDocument/2006/relationships/webSettings" Target="webSettings.xml"/><Relationship Id="rId238" Type="http://schemas.openxmlformats.org/officeDocument/2006/relationships/hyperlink" Target="https://www.data.vic.gov.au/datavic-access-policy" TargetMode="External"/><Relationship Id="rId259" Type="http://schemas.openxmlformats.org/officeDocument/2006/relationships/footer" Target="footer13.xml"/><Relationship Id="rId23" Type="http://schemas.openxmlformats.org/officeDocument/2006/relationships/footer" Target="footer4.xml"/><Relationship Id="rId119" Type="http://schemas.openxmlformats.org/officeDocument/2006/relationships/hyperlink" Target="https://www.dtf.vic.gov.au/stage-2-procurement/lump-sum-procurement-category" TargetMode="External"/><Relationship Id="rId270" Type="http://schemas.openxmlformats.org/officeDocument/2006/relationships/customXml" Target="../customXml/item5.xml"/><Relationship Id="rId44" Type="http://schemas.openxmlformats.org/officeDocument/2006/relationships/image" Target="media/image19.svg"/><Relationship Id="rId65" Type="http://schemas.openxmlformats.org/officeDocument/2006/relationships/hyperlink" Target="https://www.legislation.vic.gov.au/in-force/acts/transfer-land-act-1958/182" TargetMode="External"/><Relationship Id="rId86" Type="http://schemas.openxmlformats.org/officeDocument/2006/relationships/image" Target="media/image36.svg"/><Relationship Id="rId130" Type="http://schemas.openxmlformats.org/officeDocument/2006/relationships/hyperlink" Target="https://www.infrastructure.gov.au/infrastructure-transport-vehicles/infrastructure-investment-project-delivery/national-guidelines-infrastructure-project-delivery" TargetMode="External"/><Relationship Id="rId151" Type="http://schemas.openxmlformats.org/officeDocument/2006/relationships/image" Target="media/image61.svg"/><Relationship Id="rId172" Type="http://schemas.openxmlformats.org/officeDocument/2006/relationships/hyperlink" Target="https://www.dtf.vic.gov.au/ministerial-directions-and-instructions-public-construction-procurement/contractual-terms-and-conditions-direction-and-instruction-72" TargetMode="External"/><Relationship Id="rId193" Type="http://schemas.openxmlformats.org/officeDocument/2006/relationships/header" Target="header10.xml"/><Relationship Id="rId207" Type="http://schemas.openxmlformats.org/officeDocument/2006/relationships/hyperlink" Target="https://www.dfat.gov.au/trade/about-ftas/about-free-trade-agreements" TargetMode="External"/><Relationship Id="rId228" Type="http://schemas.openxmlformats.org/officeDocument/2006/relationships/hyperlink" Target="https://www.legislation.vic.gov.au/in-force/acts/sale-land-act-1962/166" TargetMode="External"/><Relationship Id="rId249" Type="http://schemas.openxmlformats.org/officeDocument/2006/relationships/hyperlink" Target="https://www.dtf.vic.gov.au/ministerial-directions-and-instructions-public-construction-procurement/contractual-terms-and-conditions-direction-and-instruction-72" TargetMode="External"/><Relationship Id="rId13" Type="http://schemas.openxmlformats.org/officeDocument/2006/relationships/hyperlink" Target="http://creativecommons.org/licenses/by/3.0/au/" TargetMode="External"/><Relationship Id="rId109" Type="http://schemas.openxmlformats.org/officeDocument/2006/relationships/hyperlink" Target="https://www.dtf.vic.gov.au/practitioners-toolkit/practitioners-toolkit-document-library" TargetMode="External"/><Relationship Id="rId260" Type="http://schemas.openxmlformats.org/officeDocument/2006/relationships/header" Target="header13.xml"/><Relationship Id="rId34" Type="http://schemas.openxmlformats.org/officeDocument/2006/relationships/image" Target="media/image12.svg"/><Relationship Id="rId55" Type="http://schemas.openxmlformats.org/officeDocument/2006/relationships/hyperlink" Target="https://www.legislation.vic.gov.au/in-force/acts/financial-management-act-1994/066" TargetMode="External"/><Relationship Id="rId76" Type="http://schemas.openxmlformats.org/officeDocument/2006/relationships/hyperlink" Target="https://www.dtf.vic.gov.au/infrastructure-investment/high-value-high-risk-framework" TargetMode="External"/><Relationship Id="rId97" Type="http://schemas.openxmlformats.org/officeDocument/2006/relationships/image" Target="media/image39.png"/><Relationship Id="rId120" Type="http://schemas.openxmlformats.org/officeDocument/2006/relationships/hyperlink" Target="https://www.dtf.vic.gov.au/stage-2-procurement/lump-sum-procurement-category" TargetMode="External"/><Relationship Id="rId141" Type="http://schemas.openxmlformats.org/officeDocument/2006/relationships/hyperlink" Target="https://www.dtf.vic.gov.au/stage-2-procurement/whole-life-procurement-category" TargetMode="External"/><Relationship Id="rId7" Type="http://schemas.openxmlformats.org/officeDocument/2006/relationships/footnotes" Target="footnotes.xml"/><Relationship Id="rId162" Type="http://schemas.openxmlformats.org/officeDocument/2006/relationships/hyperlink" Target="https://www.dtf.vic.gov.au/ministerial-directions-and-instructions-public-construction-procurement/competition-and-contestability-direction-and-instruction-32" TargetMode="External"/><Relationship Id="rId183" Type="http://schemas.openxmlformats.org/officeDocument/2006/relationships/image" Target="media/image66.png"/><Relationship Id="rId218" Type="http://schemas.openxmlformats.org/officeDocument/2006/relationships/hyperlink" Target="https://www.genderequalitycommission.vic.gov.au/about-gender-equality-act-2020" TargetMode="External"/><Relationship Id="rId239" Type="http://schemas.openxmlformats.org/officeDocument/2006/relationships/hyperlink" Target="https://www.vic.gov.au/digital-asset-policy" TargetMode="External"/><Relationship Id="rId250" Type="http://schemas.openxmlformats.org/officeDocument/2006/relationships/hyperlink" Target="http://www.vic.gov.au/value-creation-and-capture-framework" TargetMode="External"/><Relationship Id="rId24" Type="http://schemas.openxmlformats.org/officeDocument/2006/relationships/footer" Target="footer5.xml"/><Relationship Id="rId45" Type="http://schemas.openxmlformats.org/officeDocument/2006/relationships/image" Target="media/image20.png"/><Relationship Id="rId66" Type="http://schemas.openxmlformats.org/officeDocument/2006/relationships/hyperlink" Target="https://www.dtf.vic.gov.au/public-construction-policy-and-resources/ministerial-directions-and-instructions-public-construction-procurement" TargetMode="External"/><Relationship Id="rId87" Type="http://schemas.openxmlformats.org/officeDocument/2006/relationships/header" Target="header5.xml"/><Relationship Id="rId110" Type="http://schemas.openxmlformats.org/officeDocument/2006/relationships/hyperlink" Target="https://www.dtf.vic.gov.au/practitioners-toolkit/practitioners-toolkit-document-library" TargetMode="External"/><Relationship Id="rId131" Type="http://schemas.openxmlformats.org/officeDocument/2006/relationships/image" Target="media/image54.png"/><Relationship Id="rId152" Type="http://schemas.openxmlformats.org/officeDocument/2006/relationships/hyperlink" Target="https://www.dtf.vic.gov.au/planning-budgeting-and-financial-reporting-frameworks/victorian-risk-management-framework-and-insurance-management-policy" TargetMode="External"/><Relationship Id="rId173" Type="http://schemas.openxmlformats.org/officeDocument/2006/relationships/hyperlink" Target="https://www.dtf.vic.gov.au/practitioners-toolkit/practitioners-toolkit-document-library" TargetMode="External"/><Relationship Id="rId194" Type="http://schemas.openxmlformats.org/officeDocument/2006/relationships/footer" Target="footer10.xml"/><Relationship Id="rId208" Type="http://schemas.openxmlformats.org/officeDocument/2006/relationships/hyperlink" Target="https://www.legislation.vic.gov.au/in-force/acts/audit-act-1994" TargetMode="External"/><Relationship Id="rId229" Type="http://schemas.openxmlformats.org/officeDocument/2006/relationships/hyperlink" Target="https://www.legislation.vic.gov.au/in-force/acts/subdivision-act-1988/080" TargetMode="External"/><Relationship Id="rId240" Type="http://schemas.openxmlformats.org/officeDocument/2006/relationships/hyperlink" Target="https://www.buyingfor.vic.gov.au/fair-jobs-code-suppliers-and-businesses" TargetMode="External"/><Relationship Id="rId261" Type="http://schemas.openxmlformats.org/officeDocument/2006/relationships/footer" Target="footer14.xml"/><Relationship Id="rId14" Type="http://schemas.openxmlformats.org/officeDocument/2006/relationships/image" Target="media/image2.png"/><Relationship Id="rId35" Type="http://schemas.openxmlformats.org/officeDocument/2006/relationships/image" Target="media/image13.png"/><Relationship Id="rId56" Type="http://schemas.openxmlformats.org/officeDocument/2006/relationships/hyperlink" Target="https://www.legislation.vic.gov.au/in-force/acts/public-administration-act-2004/086" TargetMode="External"/><Relationship Id="rId77" Type="http://schemas.openxmlformats.org/officeDocument/2006/relationships/hyperlink" Target="https://www.dtf.vic.gov.au/infrastructure-investment/gateway-review-process" TargetMode="External"/><Relationship Id="rId100" Type="http://schemas.openxmlformats.org/officeDocument/2006/relationships/hyperlink" Target="https://www.eprints.qut.edu.au/230705/" TargetMode="External"/><Relationship Id="rId8" Type="http://schemas.openxmlformats.org/officeDocument/2006/relationships/endnotes" Target="endnotes.xml"/><Relationship Id="rId98" Type="http://schemas.openxmlformats.org/officeDocument/2006/relationships/image" Target="media/image40.png"/><Relationship Id="rId121" Type="http://schemas.openxmlformats.org/officeDocument/2006/relationships/image" Target="media/image49.png"/><Relationship Id="rId142" Type="http://schemas.openxmlformats.org/officeDocument/2006/relationships/hyperlink" Target="https://www.dtf.vic.gov.au/investment-lifecycle-and-high-value-high-risk-guidelines/stage-1-business-case" TargetMode="External"/><Relationship Id="rId163" Type="http://schemas.openxmlformats.org/officeDocument/2006/relationships/hyperlink" Target="https://www.buyingfor.vic.gov.au/source-supplier" TargetMode="External"/><Relationship Id="rId184" Type="http://schemas.openxmlformats.org/officeDocument/2006/relationships/image" Target="media/image67.svg"/><Relationship Id="rId219" Type="http://schemas.openxmlformats.org/officeDocument/2006/relationships/hyperlink" Target="https://www.legislation.vic.gov.au/in-force/acts/heritage-act-2017/004" TargetMode="External"/><Relationship Id="rId230" Type="http://schemas.openxmlformats.org/officeDocument/2006/relationships/hyperlink" Target="https://www.legislation.vic.gov.au/in-force/acts/traditional-owner-settlement-act-2010/025" TargetMode="External"/><Relationship Id="rId251" Type="http://schemas.openxmlformats.org/officeDocument/2006/relationships/hyperlink" Target="https://www.buyingfor.vic.gov.au/" TargetMode="External"/><Relationship Id="rId25" Type="http://schemas.openxmlformats.org/officeDocument/2006/relationships/image" Target="media/image9.png"/><Relationship Id="rId46" Type="http://schemas.openxmlformats.org/officeDocument/2006/relationships/image" Target="media/image21.svg"/><Relationship Id="rId67" Type="http://schemas.openxmlformats.org/officeDocument/2006/relationships/hyperlink" Target="https://www.dtf.vic.gov.au/ministerial-directions-and-instructions-public-construction-procurement/complying-international-agreements-direction-21-and-instructions-21-and-22" TargetMode="External"/><Relationship Id="rId88" Type="http://schemas.openxmlformats.org/officeDocument/2006/relationships/header" Target="header6.xml"/><Relationship Id="rId111" Type="http://schemas.openxmlformats.org/officeDocument/2006/relationships/hyperlink" Target="https://www.dtf.vic.gov.au/stage-2-procurement/lump-sum-procurement-category" TargetMode="External"/><Relationship Id="rId132" Type="http://schemas.openxmlformats.org/officeDocument/2006/relationships/image" Target="media/image55.svg"/><Relationship Id="rId153" Type="http://schemas.openxmlformats.org/officeDocument/2006/relationships/hyperlink" Target="https://www.dtf.vic.gov.au/planning-budgeting-and-financial-reporting-frameworks/victorian-risk-management-framework-and-insurance-management-policy" TargetMode="External"/><Relationship Id="rId174" Type="http://schemas.openxmlformats.org/officeDocument/2006/relationships/hyperlink" Target="https://www.dtf.vic.gov.au/stage-2-procurement/cost-reimbursable-procurement-category" TargetMode="External"/><Relationship Id="rId195" Type="http://schemas.openxmlformats.org/officeDocument/2006/relationships/footer" Target="footer11.xml"/><Relationship Id="rId209" Type="http://schemas.openxmlformats.org/officeDocument/2006/relationships/hyperlink" Target="https://www.legislation.vic.gov.au/in-force/acts/major-transport-projects-facilitation-act-2009" TargetMode="External"/><Relationship Id="rId220" Type="http://schemas.openxmlformats.org/officeDocument/2006/relationships/hyperlink" Target="https://www.heritage.vic.gov.au/about-us/legislation-and-regulations" TargetMode="External"/><Relationship Id="rId241" Type="http://schemas.openxmlformats.org/officeDocument/2006/relationships/hyperlink" Target="https://djsir.vic.gov.au/what-we-do/employment-and-small-business/contracts-for-fair-payments" TargetMode="External"/><Relationship Id="rId15" Type="http://schemas.openxmlformats.org/officeDocument/2006/relationships/hyperlink" Target="http://creativecommons.org/licenses/by/4.0/" TargetMode="External"/><Relationship Id="rId36" Type="http://schemas.openxmlformats.org/officeDocument/2006/relationships/hyperlink" Target="http://www8.austlii.edu.au/cgi-bin/viewdoc/au/legis/vic/consol_act/pdacma1994479/s3.html" TargetMode="External"/><Relationship Id="rId57" Type="http://schemas.openxmlformats.org/officeDocument/2006/relationships/hyperlink" Target="https://www.legislation.vic.gov.au/in-force/acts/audit-act-1994/067" TargetMode="External"/><Relationship Id="rId262" Type="http://schemas.openxmlformats.org/officeDocument/2006/relationships/header" Target="header14.xml"/><Relationship Id="rId78" Type="http://schemas.openxmlformats.org/officeDocument/2006/relationships/hyperlink" Target="https://www.dtf.vic.gov.au/infrastructure-investment/gateway-review-process" TargetMode="External"/><Relationship Id="rId99" Type="http://schemas.openxmlformats.org/officeDocument/2006/relationships/image" Target="media/image41.png"/><Relationship Id="rId101" Type="http://schemas.openxmlformats.org/officeDocument/2006/relationships/hyperlink" Target="https://austroads.com.au/publications/project-delivery/ap-r624-20" TargetMode="External"/><Relationship Id="rId122" Type="http://schemas.openxmlformats.org/officeDocument/2006/relationships/image" Target="media/image50.svg"/><Relationship Id="rId143" Type="http://schemas.openxmlformats.org/officeDocument/2006/relationships/hyperlink" Target="https://www.dtf.vic.gov.au/stage-2-procurement/cost-reimbursable-procurement-category" TargetMode="External"/><Relationship Id="rId164" Type="http://schemas.openxmlformats.org/officeDocument/2006/relationships/hyperlink" Target="https://www.dtf.vic.gov.au/stage-2-procurement/cost-reimbursable-procurement-category" TargetMode="External"/><Relationship Id="rId185" Type="http://schemas.openxmlformats.org/officeDocument/2006/relationships/hyperlink" Target="https://vpsc.vic.gov.au/ethics-behaviours-culture/codes-of-conduct/code-of-conduct-for-victorian-public-sector-employees/" TargetMode="External"/><Relationship Id="rId9" Type="http://schemas.openxmlformats.org/officeDocument/2006/relationships/image" Target="media/image1.png"/><Relationship Id="rId210" Type="http://schemas.openxmlformats.org/officeDocument/2006/relationships/hyperlink" Target="https://content.legislation.vic.gov.au/sites/default/files/2023-05/06-16aa027-authorised.pdf" TargetMode="External"/><Relationship Id="rId26" Type="http://schemas.openxmlformats.org/officeDocument/2006/relationships/hyperlink" Target="https://www.dtf.vic.gov.au/investment-lifecycle-and-high-value-high-risk-guidelines/stage-1-business-case" TargetMode="External"/><Relationship Id="rId231" Type="http://schemas.openxmlformats.org/officeDocument/2006/relationships/hyperlink" Target="https://www.legislation.vic.gov.au/in-force/acts/transfer-land-act-1958/179" TargetMode="External"/><Relationship Id="rId252" Type="http://schemas.openxmlformats.org/officeDocument/2006/relationships/hyperlink" Target="https://buyingfor.vic.gov.au/browse-government-contracts" TargetMode="External"/><Relationship Id="rId47" Type="http://schemas.openxmlformats.org/officeDocument/2006/relationships/hyperlink" Target="https://www.buyingfor.vic.gov.au/plan-probity" TargetMode="External"/><Relationship Id="rId68" Type="http://schemas.openxmlformats.org/officeDocument/2006/relationships/hyperlink" Target="https://www.legislation.vic.gov.au/in-force/statutory-rules/building-regulations-2018/023" TargetMode="External"/><Relationship Id="rId89" Type="http://schemas.openxmlformats.org/officeDocument/2006/relationships/footer" Target="footer6.xml"/><Relationship Id="rId112" Type="http://schemas.openxmlformats.org/officeDocument/2006/relationships/hyperlink" Target="https://www.dtf.vic.gov.au/practitioners-toolkit/practitioners-toolkit-document-library" TargetMode="External"/><Relationship Id="rId133" Type="http://schemas.openxmlformats.org/officeDocument/2006/relationships/hyperlink" Target="https://www.dtf.vic.gov.au/stage-2-procurement/whole-life-procurement-category" TargetMode="External"/><Relationship Id="rId154" Type="http://schemas.openxmlformats.org/officeDocument/2006/relationships/hyperlink" Target="https://www.vmia.vic.gov.au/tools-and-insights/practical-guidance-for-managing-risk" TargetMode="External"/><Relationship Id="rId175" Type="http://schemas.openxmlformats.org/officeDocument/2006/relationships/hyperlink" Target="https://www.dtf.vic.gov.au/stage-2-procurement/lump-sum-procurement-category" TargetMode="External"/><Relationship Id="rId196" Type="http://schemas.openxmlformats.org/officeDocument/2006/relationships/header" Target="header11.xml"/><Relationship Id="rId200" Type="http://schemas.openxmlformats.org/officeDocument/2006/relationships/hyperlink" Target="https://www.dtf.vic.gov.au/sites/default/files/document/Standing-Directions-2018-Instructions-Updated-Dec2019" TargetMode="External"/><Relationship Id="rId16" Type="http://schemas.openxmlformats.org/officeDocument/2006/relationships/hyperlink" Target="mailto:IPpolicy@dtf.vic.gov.au" TargetMode="External"/><Relationship Id="rId221" Type="http://schemas.openxmlformats.org/officeDocument/2006/relationships/hyperlink" Target="https://www.legislation.vic.gov.au/in-force/acts/land-act-1958/149" TargetMode="External"/><Relationship Id="rId242" Type="http://schemas.openxmlformats.org/officeDocument/2006/relationships/hyperlink" Target="https://www.planning.vic.gov.au/building-policy/cladding-rectification-program" TargetMode="External"/><Relationship Id="rId263" Type="http://schemas.openxmlformats.org/officeDocument/2006/relationships/header" Target="header15.xml"/><Relationship Id="rId37" Type="http://schemas.openxmlformats.org/officeDocument/2006/relationships/hyperlink" Target="https://www.dtf.vic.gov.au/infrastructure-investment/public-construction-policy-and-resources" TargetMode="External"/><Relationship Id="rId58" Type="http://schemas.openxmlformats.org/officeDocument/2006/relationships/hyperlink" Target="https://www.legislation.vic.gov.au/in-force/acts/project-development-and-construction-management-act-1994/046" TargetMode="External"/><Relationship Id="rId79" Type="http://schemas.openxmlformats.org/officeDocument/2006/relationships/image" Target="media/image30.png"/><Relationship Id="rId102" Type="http://schemas.openxmlformats.org/officeDocument/2006/relationships/hyperlink" Target="https://www.dtf.vic.gov.au/investment-lifecycle-and-high-value-high-risk-guidelines/stage-3-delivery" TargetMode="External"/><Relationship Id="rId123" Type="http://schemas.openxmlformats.org/officeDocument/2006/relationships/hyperlink" Target="https://www.dtf.vic.gov.au/stage-2-procurement/cost-reimbursable-procurement-category" TargetMode="External"/><Relationship Id="rId144" Type="http://schemas.openxmlformats.org/officeDocument/2006/relationships/hyperlink" Target="https://www.dtf.vic.gov.au/stage-2-procurement/whole-life-procurement-category" TargetMode="External"/><Relationship Id="rId90" Type="http://schemas.openxmlformats.org/officeDocument/2006/relationships/footer" Target="footer7.xml"/><Relationship Id="rId165" Type="http://schemas.openxmlformats.org/officeDocument/2006/relationships/image" Target="media/image62.png"/><Relationship Id="rId186" Type="http://schemas.openxmlformats.org/officeDocument/2006/relationships/hyperlink" Target="https://www.dtf.vic.gov.au/ministerial-directions-and-instructions-public-construction-procurement/mandatory-evaluation-criteria-occupational-health-and-safety-management-attachment-1-instruction-37" TargetMode="External"/><Relationship Id="rId211" Type="http://schemas.openxmlformats.org/officeDocument/2006/relationships/hyperlink" Target="https://www.legislation.vic.gov.au/in-force/acts/building-act-1993/136" TargetMode="External"/><Relationship Id="rId232" Type="http://schemas.openxmlformats.org/officeDocument/2006/relationships/hyperlink" Target="https://www.land.vic.gov.au/land-registration/for-individuals/about-types-of-land-in-victoria" TargetMode="External"/><Relationship Id="rId253" Type="http://schemas.openxmlformats.org/officeDocument/2006/relationships/hyperlink" Target="https://www.dtf.vic.gov.au/planning-budgeting-and-financial-reporting-frameworks/victorian-risk-management-framework-and-insurance-management-policy" TargetMode="External"/><Relationship Id="rId27" Type="http://schemas.openxmlformats.org/officeDocument/2006/relationships/image" Target="media/image10.jpeg"/><Relationship Id="rId48" Type="http://schemas.openxmlformats.org/officeDocument/2006/relationships/image" Target="media/image22.png"/><Relationship Id="rId69" Type="http://schemas.openxmlformats.org/officeDocument/2006/relationships/hyperlink" Target="https://ncc.abcb.gov.au/" TargetMode="External"/><Relationship Id="rId113" Type="http://schemas.openxmlformats.org/officeDocument/2006/relationships/image" Target="media/image46.png"/><Relationship Id="rId134" Type="http://schemas.openxmlformats.org/officeDocument/2006/relationships/hyperlink" Target="https://www.infrastructure.gov.au/infrastructure-transport-vehicles/infrastructure-investment-project-delivery/national-guidelines-infrastructure-project-delivery" TargetMode="External"/><Relationship Id="rId80" Type="http://schemas.openxmlformats.org/officeDocument/2006/relationships/hyperlink" Target="https://www.dtf.vic.gov.au/infrastructure-investment/high-value-high-risk-framework" TargetMode="External"/><Relationship Id="rId155" Type="http://schemas.openxmlformats.org/officeDocument/2006/relationships/hyperlink" Target="https://www.vmia.vic.gov.au/tools-and-insights/practical-guidance-for-managing-risk" TargetMode="External"/><Relationship Id="rId176" Type="http://schemas.openxmlformats.org/officeDocument/2006/relationships/hyperlink" Target="https://www.dtf.vic.gov.au/stage-2-procurement/whole-life-procurement-category" TargetMode="External"/><Relationship Id="rId197" Type="http://schemas.openxmlformats.org/officeDocument/2006/relationships/footer" Target="footer12.xml"/><Relationship Id="rId201" Type="http://schemas.openxmlformats.org/officeDocument/2006/relationships/hyperlink" Target="https://www.dtf.vic.gov.au/financial-management-government/standing-directions-2018-under-financial-management-act-1994" TargetMode="External"/><Relationship Id="rId222" Type="http://schemas.openxmlformats.org/officeDocument/2006/relationships/hyperlink" Target="https://www.legislation.vic.gov.au/in-force/acts/local-jobs-first-act-2003/" TargetMode="External"/><Relationship Id="rId243" Type="http://schemas.openxmlformats.org/officeDocument/2006/relationships/hyperlink" Target="https://ovic.vic.gov.au/information-security/standards/" TargetMode="External"/><Relationship Id="rId264" Type="http://schemas.openxmlformats.org/officeDocument/2006/relationships/footer" Target="footer15.xml"/><Relationship Id="rId17" Type="http://schemas.openxmlformats.org/officeDocument/2006/relationships/hyperlink" Target="mailto:information@dtf.vic.gov.au" TargetMode="External"/><Relationship Id="rId38" Type="http://schemas.openxmlformats.org/officeDocument/2006/relationships/hyperlink" Target="https://www.dtf.vic.gov.au/infrastructure-investment/public-construction-policy-and-resources" TargetMode="External"/><Relationship Id="rId59" Type="http://schemas.openxmlformats.org/officeDocument/2006/relationships/hyperlink" Target="https://www.legislation.vic.gov.au/in-force/acts/major-transport-projects-facilitation-act-2009/038" TargetMode="External"/><Relationship Id="rId103" Type="http://schemas.openxmlformats.org/officeDocument/2006/relationships/hyperlink" Target="https://www.dtf.vic.gov.au/investment-lifecycle-and-high-value-high-risk-guidelines/procurement" TargetMode="External"/><Relationship Id="rId124" Type="http://schemas.openxmlformats.org/officeDocument/2006/relationships/image" Target="media/image51.png"/><Relationship Id="rId70" Type="http://schemas.openxmlformats.org/officeDocument/2006/relationships/hyperlink" Target="https://www.legislation.vic.gov.au/in-force/acts/occupational-health-and-safety-act-2004/043" TargetMode="External"/><Relationship Id="rId91" Type="http://schemas.openxmlformats.org/officeDocument/2006/relationships/header" Target="header7.xml"/><Relationship Id="rId145" Type="http://schemas.openxmlformats.org/officeDocument/2006/relationships/hyperlink" Target="https://www.dtf.vic.gov.au/partnerships-victoria/procurement-requirements" TargetMode="External"/><Relationship Id="rId166" Type="http://schemas.openxmlformats.org/officeDocument/2006/relationships/image" Target="media/image63.svg"/><Relationship Id="rId187" Type="http://schemas.openxmlformats.org/officeDocument/2006/relationships/hyperlink" Target="https://www.dtf.vic.gov.au/ministerial-directions-and-instructions-public-construction-procurement/mandatory-evaluation-criteria-industrial-relations-management-attachment-2-instruction-37" TargetMode="External"/><Relationship Id="rId1" Type="http://schemas.openxmlformats.org/officeDocument/2006/relationships/customXml" Target="../customXml/item1.xml"/><Relationship Id="rId212" Type="http://schemas.openxmlformats.org/officeDocument/2006/relationships/hyperlink" Target="https://www.vba.vic.gov.au/building/regulatory-framework" TargetMode="External"/><Relationship Id="rId233" Type="http://schemas.openxmlformats.org/officeDocument/2006/relationships/hyperlink" Target="https://www.legislation.vic.gov.au/in-force/acts/victorian-civil-and-administrative-tribunal-act-1998/134" TargetMode="External"/><Relationship Id="rId254" Type="http://schemas.openxmlformats.org/officeDocument/2006/relationships/hyperlink" Target="https://www.dtf.vic.gov.au/funds-programs-and-policies/intellectual-property-policy" TargetMode="External"/><Relationship Id="rId28" Type="http://schemas.openxmlformats.org/officeDocument/2006/relationships/hyperlink" Target="http://www8.austlii.edu.au/cgi-bin/viewdoc/au/legis/vic/consol_act/pdacma1994479/s3.html" TargetMode="External"/><Relationship Id="rId49" Type="http://schemas.openxmlformats.org/officeDocument/2006/relationships/image" Target="media/image23.svg"/><Relationship Id="rId114" Type="http://schemas.openxmlformats.org/officeDocument/2006/relationships/image" Target="media/image47.svg"/><Relationship Id="rId60" Type="http://schemas.openxmlformats.org/officeDocument/2006/relationships/hyperlink" Target="https://www.legislation.vic.gov.au/in-force/acts/development-victoria-act-2003/033" TargetMode="External"/><Relationship Id="rId81" Type="http://schemas.openxmlformats.org/officeDocument/2006/relationships/image" Target="media/image31.png"/><Relationship Id="rId135" Type="http://schemas.openxmlformats.org/officeDocument/2006/relationships/hyperlink" Target="https://www.dtf.vic.gov.au/stage-2-procurement/whole-life-procurement-category" TargetMode="External"/><Relationship Id="rId156" Type="http://schemas.openxmlformats.org/officeDocument/2006/relationships/hyperlink" Target="https://www.dtf.vic.gov.au/investment-lifecycle-and-high-value-high-risk-guidelines/stage-1-business-case" TargetMode="External"/><Relationship Id="rId177" Type="http://schemas.openxmlformats.org/officeDocument/2006/relationships/image" Target="media/image64.png"/><Relationship Id="rId198" Type="http://schemas.openxmlformats.org/officeDocument/2006/relationships/hyperlink" Target="https://www.legislation.vic.gov.au/in-force/acts/financial-management-act-1994" TargetMode="External"/><Relationship Id="rId202" Type="http://schemas.openxmlformats.org/officeDocument/2006/relationships/hyperlink" Target="https://www.dtf.vic.gov.au/sites/default/files/document/Standing-Directions-2018-Instructions-Updated-Dec2019.pdf" TargetMode="External"/><Relationship Id="rId223" Type="http://schemas.openxmlformats.org/officeDocument/2006/relationships/hyperlink" Target="https://localjobsfirst.vic.gov.au/agency-guidance" TargetMode="External"/><Relationship Id="rId244" Type="http://schemas.openxmlformats.org/officeDocument/2006/relationships/hyperlink" Target="https://bigbuild.vic.gov.au/about/ecologiq/recycled-first-policy" TargetMode="External"/><Relationship Id="rId18" Type="http://schemas.openxmlformats.org/officeDocument/2006/relationships/hyperlink" Target="http://www.dtf.vic.gov.au" TargetMode="External"/><Relationship Id="rId39" Type="http://schemas.openxmlformats.org/officeDocument/2006/relationships/image" Target="media/image14.png"/><Relationship Id="rId265" Type="http://schemas.openxmlformats.org/officeDocument/2006/relationships/footer" Target="footer16.xml"/><Relationship Id="rId50" Type="http://schemas.openxmlformats.org/officeDocument/2006/relationships/image" Target="media/image24.png"/><Relationship Id="rId104" Type="http://schemas.openxmlformats.org/officeDocument/2006/relationships/image" Target="media/image42.png"/><Relationship Id="rId125" Type="http://schemas.openxmlformats.org/officeDocument/2006/relationships/image" Target="media/image52.svg"/><Relationship Id="rId146" Type="http://schemas.openxmlformats.org/officeDocument/2006/relationships/hyperlink" Target="https://www.dtf.vic.gov.au/stage-2-procurement/cost-reimbursable-procurement-category" TargetMode="External"/><Relationship Id="rId167" Type="http://schemas.openxmlformats.org/officeDocument/2006/relationships/hyperlink" Target="https://www.dtf.vic.gov.au/investment-lifecycle-and-high-value-high-risk-guidelines/stage-1-business-case" TargetMode="External"/><Relationship Id="rId188" Type="http://schemas.openxmlformats.org/officeDocument/2006/relationships/image" Target="media/image68.png"/><Relationship Id="rId71" Type="http://schemas.openxmlformats.org/officeDocument/2006/relationships/hyperlink" Target="https://www.dtf.vic.gov.au/ministerial-directions-and-instructions-public-construction-procurement/compliance-policy-requirements-attachment-2-instruction-72" TargetMode="External"/><Relationship Id="rId92" Type="http://schemas.openxmlformats.org/officeDocument/2006/relationships/footer" Target="footer8.xml"/><Relationship Id="rId213" Type="http://schemas.openxmlformats.org/officeDocument/2006/relationships/hyperlink" Target="https://www.legislation.vic.gov.au/in-force/acts/building-and-construction-industry-security-payment-act-2002/012" TargetMode="External"/><Relationship Id="rId234" Type="http://schemas.openxmlformats.org/officeDocument/2006/relationships/hyperlink" Target="https://www.legislation.gov.au/Details/C2016C00777" TargetMode="External"/><Relationship Id="rId2" Type="http://schemas.openxmlformats.org/officeDocument/2006/relationships/customXml" Target="../customXml/item2.xml"/><Relationship Id="rId29" Type="http://schemas.openxmlformats.org/officeDocument/2006/relationships/hyperlink" Target="https://www.dtf.vic.gov.au/infrastructure-investment/public-construction-policy-and-resources" TargetMode="External"/><Relationship Id="rId255" Type="http://schemas.openxmlformats.org/officeDocument/2006/relationships/hyperlink" Target="https://www.fsc.gov.au/what-accreditation" TargetMode="External"/><Relationship Id="rId40" Type="http://schemas.openxmlformats.org/officeDocument/2006/relationships/image" Target="media/image15.svg"/><Relationship Id="rId115" Type="http://schemas.openxmlformats.org/officeDocument/2006/relationships/hyperlink" Target="https://www.dtf.vic.gov.au/public-construction-policy-and-resources/practitioners-toolkit" TargetMode="External"/><Relationship Id="rId136" Type="http://schemas.openxmlformats.org/officeDocument/2006/relationships/image" Target="media/image56.png"/><Relationship Id="rId157" Type="http://schemas.openxmlformats.org/officeDocument/2006/relationships/hyperlink" Target="https://www.dtf.vic.gov.au/stage-2-procurement/cost-reimbursable-procurement-category" TargetMode="External"/><Relationship Id="rId178" Type="http://schemas.openxmlformats.org/officeDocument/2006/relationships/image" Target="media/image65.svg"/><Relationship Id="rId61" Type="http://schemas.openxmlformats.org/officeDocument/2006/relationships/image" Target="media/image29.png"/><Relationship Id="rId82" Type="http://schemas.openxmlformats.org/officeDocument/2006/relationships/image" Target="media/image32.svg"/><Relationship Id="rId199" Type="http://schemas.openxmlformats.org/officeDocument/2006/relationships/hyperlink" Target="https://www.dtf.vic.gov.au/sites/default/files/document/Standing-Directions-2018-Updated-Dec2019.pdf" TargetMode="External"/><Relationship Id="rId203" Type="http://schemas.openxmlformats.org/officeDocument/2006/relationships/hyperlink" Target="https://www.dtf.vic.gov.au/sites/default/files/2018-01/Budget%20Operations%20Framework%20-%20February%202017.pdf" TargetMode="External"/><Relationship Id="rId19" Type="http://schemas.openxmlformats.org/officeDocument/2006/relationships/header" Target="header2.xml"/><Relationship Id="rId224" Type="http://schemas.openxmlformats.org/officeDocument/2006/relationships/hyperlink" Target="https://www.legislation.vic.gov.au/in-force/acts/marine-and-coastal-act-2018" TargetMode="External"/><Relationship Id="rId245" Type="http://schemas.openxmlformats.org/officeDocument/2006/relationships/hyperlink" Target="https://www.dtf.vic.gov.au/planning-budgeting-and-financial-reporting-frameworks/resource-management-framework" TargetMode="External"/><Relationship Id="rId266" Type="http://schemas.openxmlformats.org/officeDocument/2006/relationships/fontTable" Target="fontTable.xml"/><Relationship Id="rId30" Type="http://schemas.openxmlformats.org/officeDocument/2006/relationships/hyperlink" Target="https://www.dtf.vic.gov.au/infrastructure-investment/public-construction-policy-and-resources" TargetMode="External"/><Relationship Id="rId105" Type="http://schemas.openxmlformats.org/officeDocument/2006/relationships/image" Target="media/image43.svg"/><Relationship Id="rId126" Type="http://schemas.openxmlformats.org/officeDocument/2006/relationships/hyperlink" Target="https://www.dtf.vic.gov.au/stage-2-procurement/cost-reimbursable-procurement-category" TargetMode="External"/><Relationship Id="rId147" Type="http://schemas.openxmlformats.org/officeDocument/2006/relationships/hyperlink" Target="https://www.dtf.vic.gov.au/partnerships-victoria/procurement-requirements" TargetMode="External"/><Relationship Id="rId168" Type="http://schemas.openxmlformats.org/officeDocument/2006/relationships/hyperlink" Target="https://www.dtf.vic.gov.au/stage-2-procurement/cost-reimbursable-procurement-category" TargetMode="External"/><Relationship Id="rId51" Type="http://schemas.openxmlformats.org/officeDocument/2006/relationships/image" Target="media/image25.svg"/><Relationship Id="rId72" Type="http://schemas.openxmlformats.org/officeDocument/2006/relationships/hyperlink" Target="https://www.buyingfor.vic.gov.au/building-equality-policy-0" TargetMode="External"/><Relationship Id="rId93" Type="http://schemas.openxmlformats.org/officeDocument/2006/relationships/image" Target="media/image37.png"/><Relationship Id="rId189" Type="http://schemas.openxmlformats.org/officeDocument/2006/relationships/image" Target="media/image69.svg"/><Relationship Id="rId3" Type="http://schemas.openxmlformats.org/officeDocument/2006/relationships/numbering" Target="numbering.xml"/><Relationship Id="rId214" Type="http://schemas.openxmlformats.org/officeDocument/2006/relationships/hyperlink" Target="https://www.climatechange.vic.gov.au/legislation/climate-change-act-2017" TargetMode="External"/><Relationship Id="rId235" Type="http://schemas.openxmlformats.org/officeDocument/2006/relationships/hyperlink" Target="https://www.australiancompetitionlaw.info/legislation/tpa1974" TargetMode="External"/><Relationship Id="rId256" Type="http://schemas.openxmlformats.org/officeDocument/2006/relationships/hyperlink" Target="http://classic.austlii.edu.au/au/legis/cth/consol_act/epabca1999588/" TargetMode="External"/><Relationship Id="rId116" Type="http://schemas.openxmlformats.org/officeDocument/2006/relationships/hyperlink" Target="https://www.dtf.vic.gov.au/stage-2-procurement/lump-sum-procurement-category" TargetMode="External"/><Relationship Id="rId137" Type="http://schemas.openxmlformats.org/officeDocument/2006/relationships/image" Target="media/image57.svg"/><Relationship Id="rId158" Type="http://schemas.openxmlformats.org/officeDocument/2006/relationships/hyperlink" Target="https://www.dtf.vic.gov.au/stage-2-procurement/whole-life-procurement-category" TargetMode="External"/><Relationship Id="rId20" Type="http://schemas.openxmlformats.org/officeDocument/2006/relationships/footer" Target="footer3.xml"/><Relationship Id="rId41" Type="http://schemas.openxmlformats.org/officeDocument/2006/relationships/image" Target="media/image16.png"/><Relationship Id="rId62" Type="http://schemas.openxmlformats.org/officeDocument/2006/relationships/hyperlink" Target="https://www.legislation.vic.gov.au/in-force/acts/building-act-1993/138" TargetMode="External"/><Relationship Id="rId83" Type="http://schemas.openxmlformats.org/officeDocument/2006/relationships/image" Target="media/image33.png"/><Relationship Id="rId179" Type="http://schemas.openxmlformats.org/officeDocument/2006/relationships/hyperlink" Target="https://www.dtf.vic.gov.au/sites/default/files/document/Cost%20Reimbursable%20Procurement%20Requirements.pdf" TargetMode="External"/><Relationship Id="rId190" Type="http://schemas.openxmlformats.org/officeDocument/2006/relationships/image" Target="media/image70.png"/><Relationship Id="rId204" Type="http://schemas.openxmlformats.org/officeDocument/2006/relationships/hyperlink" Target="https://www.legislation.vic.gov.au/in-force/acts/public-administration-act-2004/083" TargetMode="External"/><Relationship Id="rId225" Type="http://schemas.openxmlformats.org/officeDocument/2006/relationships/hyperlink" Target="https://www.legislation.vic.gov.au/in-force/acts/occupational-health-and-safety-act-2004/043" TargetMode="External"/><Relationship Id="rId246" Type="http://schemas.openxmlformats.org/officeDocument/2006/relationships/hyperlink" Target="https://www.buyingfor.vic.gov.au/social-procurement-department-and-agency-reporting-requirements-buyers" TargetMode="External"/><Relationship Id="rId267" Type="http://schemas.openxmlformats.org/officeDocument/2006/relationships/theme" Target="theme/theme1.xml"/><Relationship Id="rId106" Type="http://schemas.openxmlformats.org/officeDocument/2006/relationships/image" Target="media/image44.png"/><Relationship Id="rId127" Type="http://schemas.openxmlformats.org/officeDocument/2006/relationships/hyperlink" Target="https://www.dtf.vic.gov.au/stage-2-procurement/cost-reimbursable-procurement-category" TargetMode="External"/><Relationship Id="rId10" Type="http://schemas.openxmlformats.org/officeDocument/2006/relationships/header" Target="header1.xml"/><Relationship Id="rId31" Type="http://schemas.openxmlformats.org/officeDocument/2006/relationships/hyperlink" Target="https://www.dtf.vic.gov.au/investment-lifecycle-and-high-value-high-risk-guidelines/stage-1-business-case" TargetMode="External"/><Relationship Id="rId52" Type="http://schemas.openxmlformats.org/officeDocument/2006/relationships/image" Target="media/image26.png"/><Relationship Id="rId73" Type="http://schemas.openxmlformats.org/officeDocument/2006/relationships/hyperlink" Target="https://www.dtf.vic.gov.au/infrastructure-investment/high-value-high-risk-framework" TargetMode="External"/><Relationship Id="rId94" Type="http://schemas.openxmlformats.org/officeDocument/2006/relationships/image" Target="media/image38.svg"/><Relationship Id="rId148" Type="http://schemas.openxmlformats.org/officeDocument/2006/relationships/hyperlink" Target="https://www.dtf.vic.gov.au/stage-2-procurement/cost-reimbursable-procurement-category" TargetMode="External"/><Relationship Id="rId169" Type="http://schemas.openxmlformats.org/officeDocument/2006/relationships/hyperlink" Target="https://www.dtf.vic.gov.au/ministerial-directions-and-instructions-public-construction-procurement/tender-documentation-direction-and-instruction-36" TargetMode="External"/><Relationship Id="rId4" Type="http://schemas.openxmlformats.org/officeDocument/2006/relationships/styles" Target="styles.xml"/><Relationship Id="rId180" Type="http://schemas.openxmlformats.org/officeDocument/2006/relationships/hyperlink" Target="https://www.tenders.vic.gov.au/" TargetMode="External"/><Relationship Id="rId215" Type="http://schemas.openxmlformats.org/officeDocument/2006/relationships/hyperlink" Target="https://www.climatechange.vic.gov.au./" TargetMode="External"/><Relationship Id="rId236" Type="http://schemas.openxmlformats.org/officeDocument/2006/relationships/hyperlink" Target="https://www.dtf.vic.gov.au/infrastructure-investment/asset-management-accountability-framework" TargetMode="External"/><Relationship Id="rId257" Type="http://schemas.openxmlformats.org/officeDocument/2006/relationships/hyperlink" Target="https://www.infrastructure.gov.au/infrastructure-transport-vehicles/infrastructure-investment-project-delivery/national-guidelines-infrastructure-project-delivery" TargetMode="External"/><Relationship Id="rId42" Type="http://schemas.openxmlformats.org/officeDocument/2006/relationships/image" Target="media/image17.svg"/><Relationship Id="rId84" Type="http://schemas.openxmlformats.org/officeDocument/2006/relationships/image" Target="media/image34.svg"/><Relationship Id="rId138" Type="http://schemas.openxmlformats.org/officeDocument/2006/relationships/hyperlink" Target="https://www.dtf.vic.gov.au/partnerships-victoria/procurement-requirements" TargetMode="External"/><Relationship Id="rId191" Type="http://schemas.openxmlformats.org/officeDocument/2006/relationships/image" Target="media/image71.svg"/><Relationship Id="rId205" Type="http://schemas.openxmlformats.org/officeDocument/2006/relationships/hyperlink" Target="https://www.legislation.vic.gov.au/in-force/acts/project-development-and-construction-management-act-1994/046" TargetMode="External"/><Relationship Id="rId247" Type="http://schemas.openxmlformats.org/officeDocument/2006/relationships/hyperlink" Target="https://www.buyingfor.vic.gov.au/supplier-code-conduct" TargetMode="External"/><Relationship Id="rId107" Type="http://schemas.openxmlformats.org/officeDocument/2006/relationships/image" Target="media/image45.sv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infrastructure-investment/investment-lifecycle-and-high-value-high-risk-guidelines" TargetMode="External"/></Relationships>
</file>

<file path=word/_rels/header10.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_rels/header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_rels/header1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_rels/head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3.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8" ma:contentTypeDescription="Create a new document." ma:contentTypeScope="" ma:versionID="c9c68b040bd48731cdae6758973dbdfa">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59b6e12f9c41e4847285b3153f182a5f"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ist_x0020_Item xmlns="51fffbad-fc14-48aa-b0d1-9be411fd36c8" xsi:nil="true"/>
    <IconOverlay xmlns="http://schemas.microsoft.com/sharepoint/v4" xsi:nil="true"/>
    <Business_x0020_Area xmlns="51fffbad-fc14-48aa-b0d1-9be411fd36c8" xsi:nil="true"/>
    <SharedWithUsers xmlns="15b0d6e9-e99b-40a9-aaa3-9b8d7d95b219">
      <UserInfo>
        <DisplayName>Michael Butler (DTF)</DisplayName>
        <AccountId>1122</AccountId>
        <AccountType/>
      </UserInfo>
      <UserInfo>
        <DisplayName>Lara C Morton-Cox (DTF)</DisplayName>
        <AccountId>1134</AccountId>
        <AccountType/>
      </UserInfo>
      <UserInfo>
        <DisplayName>Diana E Joslin (DTF)</DisplayName>
        <AccountId>1133</AccountId>
        <AccountType/>
      </UserInfo>
      <UserInfo>
        <DisplayName>Benjamin Skok (DTF)</DisplayName>
        <AccountId>1118</AccountId>
        <AccountType/>
      </UserInfo>
      <UserInfo>
        <DisplayName>Kate Considine (DTF)</DisplayName>
        <AccountId>1008</AccountId>
        <AccountType/>
      </UserInfo>
      <UserInfo>
        <DisplayName>Owen Hughes (DTF)</DisplayName>
        <AccountId>1119</AccountId>
        <AccountType/>
      </UserInfo>
      <UserInfo>
        <DisplayName>Gaby Chapman (DTF)</DisplayName>
        <AccountId>14</AccountId>
        <AccountType/>
      </UserInfo>
      <UserInfo>
        <DisplayName>Geoff Stanton (DTF)</DisplayName>
        <AccountId>1028</AccountId>
        <AccountType/>
      </UserInfo>
      <UserInfo>
        <DisplayName>Deidre Steain (DTF)</DisplayName>
        <AccountId>16</AccountId>
        <AccountType/>
      </UserInfo>
    </SharedWithUsers>
    <AssignedTo xmlns="http://schemas.microsoft.com/sharepoint/v3">
      <UserInfo>
        <DisplayName/>
        <AccountId xsi:nil="true"/>
        <AccountType/>
      </UserInfo>
    </AssignedTo>
    <lcf76f155ced4ddcb4097134ff3c332f xmlns="51fffbad-fc14-48aa-b0d1-9be411fd36c8">
      <Terms xmlns="http://schemas.microsoft.com/office/infopath/2007/PartnerControls"/>
    </lcf76f155ced4ddcb4097134ff3c332f>
    <Status xmlns="51fffbad-fc14-48aa-b0d1-9be411fd36c8">Unallocated</Status>
    <TaxCatchAll xmlns="15b0d6e9-e99b-40a9-aaa3-9b8d7d95b219" xsi:nil="true"/>
  </documentManagement>
</p:properties>
</file>

<file path=customXml/itemProps1.xml><?xml version="1.0" encoding="utf-8"?>
<ds:datastoreItem xmlns:ds="http://schemas.openxmlformats.org/officeDocument/2006/customXml" ds:itemID="{3A8CDC46-776F-45B6-A9DF-776FE7AECF6F}">
  <ds:schemaRefs>
    <ds:schemaRef ds:uri="http://schemas.openxmlformats.org/officeDocument/2006/bibliography"/>
  </ds:schemaRefs>
</ds:datastoreItem>
</file>

<file path=customXml/itemProps2.xml><?xml version="1.0" encoding="utf-8"?>
<ds:datastoreItem xmlns:ds="http://schemas.openxmlformats.org/officeDocument/2006/customXml" ds:itemID="{6B85430C-B745-41C9-913C-601DAEB77D2D}">
  <ds:schemaRefs>
    <ds:schemaRef ds:uri="http://www.w3.org/2001/XMLSchema"/>
  </ds:schemaRefs>
</ds:datastoreItem>
</file>

<file path=customXml/itemProps3.xml><?xml version="1.0" encoding="utf-8"?>
<ds:datastoreItem xmlns:ds="http://schemas.openxmlformats.org/officeDocument/2006/customXml" ds:itemID="{43EAEEA0-1BEB-431F-A44D-3A3DD09D98E4}"/>
</file>

<file path=customXml/itemProps4.xml><?xml version="1.0" encoding="utf-8"?>
<ds:datastoreItem xmlns:ds="http://schemas.openxmlformats.org/officeDocument/2006/customXml" ds:itemID="{AEAF6A20-B986-4B30-9BF4-FFBB0A16B676}"/>
</file>

<file path=customXml/itemProps5.xml><?xml version="1.0" encoding="utf-8"?>
<ds:datastoreItem xmlns:ds="http://schemas.openxmlformats.org/officeDocument/2006/customXml" ds:itemID="{F539671F-BDA4-4902-BCB6-C4327DFABD05}"/>
</file>

<file path=docProps/app.xml><?xml version="1.0" encoding="utf-8"?>
<Properties xmlns="http://schemas.openxmlformats.org/officeDocument/2006/extended-properties" xmlns:vt="http://schemas.openxmlformats.org/officeDocument/2006/docPropsVTypes">
  <Template>Normal.dotm</Template>
  <TotalTime>0</TotalTime>
  <Pages>162</Pages>
  <Words>43773</Words>
  <Characters>301451</Characters>
  <Application>Microsoft Office Word</Application>
  <DocSecurity>0</DocSecurity>
  <Lines>2512</Lines>
  <Paragraphs>689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344535</CharactersWithSpaces>
  <SharedDoc>false</SharedDoc>
  <HyperlinkBase/>
  <HLinks>
    <vt:vector size="1866" baseType="variant">
      <vt:variant>
        <vt:i4>5439601</vt:i4>
      </vt:variant>
      <vt:variant>
        <vt:i4>1587</vt:i4>
      </vt:variant>
      <vt:variant>
        <vt:i4>0</vt:i4>
      </vt:variant>
      <vt:variant>
        <vt:i4>5</vt:i4>
      </vt:variant>
      <vt:variant>
        <vt:lpwstr>https://www.infrastructure.gov.au/infrastructure-transport-vehicles/infrastructure-investment-project-delivery/national-guidelines-infrastructure-project-delivery</vt:lpwstr>
      </vt:variant>
      <vt:variant>
        <vt:lpwstr>anc_alliance</vt:lpwstr>
      </vt:variant>
      <vt:variant>
        <vt:i4>3801176</vt:i4>
      </vt:variant>
      <vt:variant>
        <vt:i4>1584</vt:i4>
      </vt:variant>
      <vt:variant>
        <vt:i4>0</vt:i4>
      </vt:variant>
      <vt:variant>
        <vt:i4>5</vt:i4>
      </vt:variant>
      <vt:variant>
        <vt:lpwstr>https://www.infrastructure.gov.au/infrastructure-transport-vehicles/infrastructure-investment-project-delivery/national-guidelines-infrastructure-project-delivery</vt:lpwstr>
      </vt:variant>
      <vt:variant>
        <vt:lpwstr>anc_public-private</vt:lpwstr>
      </vt:variant>
      <vt:variant>
        <vt:i4>6488089</vt:i4>
      </vt:variant>
      <vt:variant>
        <vt:i4>1581</vt:i4>
      </vt:variant>
      <vt:variant>
        <vt:i4>0</vt:i4>
      </vt:variant>
      <vt:variant>
        <vt:i4>5</vt:i4>
      </vt:variant>
      <vt:variant>
        <vt:lpwstr>http://classic.austlii.edu.au/au/legis/cth/consol_act/epabca1999588/</vt:lpwstr>
      </vt:variant>
      <vt:variant>
        <vt:lpwstr/>
      </vt:variant>
      <vt:variant>
        <vt:i4>0</vt:i4>
      </vt:variant>
      <vt:variant>
        <vt:i4>1578</vt:i4>
      </vt:variant>
      <vt:variant>
        <vt:i4>0</vt:i4>
      </vt:variant>
      <vt:variant>
        <vt:i4>5</vt:i4>
      </vt:variant>
      <vt:variant>
        <vt:lpwstr>https://www.fsc.gov.au/what-accreditation</vt:lpwstr>
      </vt:variant>
      <vt:variant>
        <vt:lpwstr/>
      </vt:variant>
      <vt:variant>
        <vt:i4>3276859</vt:i4>
      </vt:variant>
      <vt:variant>
        <vt:i4>1575</vt:i4>
      </vt:variant>
      <vt:variant>
        <vt:i4>0</vt:i4>
      </vt:variant>
      <vt:variant>
        <vt:i4>5</vt:i4>
      </vt:variant>
      <vt:variant>
        <vt:lpwstr>https://www.dtf.vic.gov.au/funds-programs-and-policies/intellectual-property-policy</vt:lpwstr>
      </vt:variant>
      <vt:variant>
        <vt:lpwstr/>
      </vt:variant>
      <vt:variant>
        <vt:i4>5767192</vt:i4>
      </vt:variant>
      <vt:variant>
        <vt:i4>1572</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1114184</vt:i4>
      </vt:variant>
      <vt:variant>
        <vt:i4>1569</vt:i4>
      </vt:variant>
      <vt:variant>
        <vt:i4>0</vt:i4>
      </vt:variant>
      <vt:variant>
        <vt:i4>5</vt:i4>
      </vt:variant>
      <vt:variant>
        <vt:lpwstr>https://buyingfor.vic.gov.au/browse-government-contracts</vt:lpwstr>
      </vt:variant>
      <vt:variant>
        <vt:lpwstr/>
      </vt:variant>
      <vt:variant>
        <vt:i4>65604</vt:i4>
      </vt:variant>
      <vt:variant>
        <vt:i4>1566</vt:i4>
      </vt:variant>
      <vt:variant>
        <vt:i4>0</vt:i4>
      </vt:variant>
      <vt:variant>
        <vt:i4>5</vt:i4>
      </vt:variant>
      <vt:variant>
        <vt:lpwstr>https://www.buyingfor.vic.gov.au/</vt:lpwstr>
      </vt:variant>
      <vt:variant>
        <vt:lpwstr/>
      </vt:variant>
      <vt:variant>
        <vt:i4>2883711</vt:i4>
      </vt:variant>
      <vt:variant>
        <vt:i4>1563</vt:i4>
      </vt:variant>
      <vt:variant>
        <vt:i4>0</vt:i4>
      </vt:variant>
      <vt:variant>
        <vt:i4>5</vt:i4>
      </vt:variant>
      <vt:variant>
        <vt:lpwstr>http://www.vic.gov.au/value-creation-and-capture-framework</vt:lpwstr>
      </vt:variant>
      <vt:variant>
        <vt:lpwstr/>
      </vt:variant>
      <vt:variant>
        <vt:i4>65542</vt:i4>
      </vt:variant>
      <vt:variant>
        <vt:i4>1560</vt:i4>
      </vt:variant>
      <vt:variant>
        <vt:i4>0</vt:i4>
      </vt:variant>
      <vt:variant>
        <vt:i4>5</vt:i4>
      </vt:variant>
      <vt:variant>
        <vt:lpwstr>https://www.dtf.vic.gov.au/ministerial-directions-and-instructions-public-construction-procurement/contractual-terms-and-conditions-direction-and-instruction-72</vt:lpwstr>
      </vt:variant>
      <vt:variant>
        <vt:lpwstr/>
      </vt:variant>
      <vt:variant>
        <vt:i4>6357114</vt:i4>
      </vt:variant>
      <vt:variant>
        <vt:i4>1557</vt:i4>
      </vt:variant>
      <vt:variant>
        <vt:i4>0</vt:i4>
      </vt:variant>
      <vt:variant>
        <vt:i4>5</vt:i4>
      </vt:variant>
      <vt:variant>
        <vt:lpwstr>https://www.buyingfor.vic.gov.au/supplier-code-conduct-toolkit-and-document-library</vt:lpwstr>
      </vt:variant>
      <vt:variant>
        <vt:lpwstr/>
      </vt:variant>
      <vt:variant>
        <vt:i4>2097207</vt:i4>
      </vt:variant>
      <vt:variant>
        <vt:i4>1554</vt:i4>
      </vt:variant>
      <vt:variant>
        <vt:i4>0</vt:i4>
      </vt:variant>
      <vt:variant>
        <vt:i4>5</vt:i4>
      </vt:variant>
      <vt:variant>
        <vt:lpwstr>https://www.buyingfor.vic.gov.au/supplier-code-conduct</vt:lpwstr>
      </vt:variant>
      <vt:variant>
        <vt:lpwstr/>
      </vt:variant>
      <vt:variant>
        <vt:i4>7864377</vt:i4>
      </vt:variant>
      <vt:variant>
        <vt:i4>1551</vt:i4>
      </vt:variant>
      <vt:variant>
        <vt:i4>0</vt:i4>
      </vt:variant>
      <vt:variant>
        <vt:i4>5</vt:i4>
      </vt:variant>
      <vt:variant>
        <vt:lpwstr>https://www.buyingfor.vic.gov.au/social-procurement-department-and-agency-reporting-requirements-buyers</vt:lpwstr>
      </vt:variant>
      <vt:variant>
        <vt:lpwstr/>
      </vt:variant>
      <vt:variant>
        <vt:i4>6291573</vt:i4>
      </vt:variant>
      <vt:variant>
        <vt:i4>1548</vt:i4>
      </vt:variant>
      <vt:variant>
        <vt:i4>0</vt:i4>
      </vt:variant>
      <vt:variant>
        <vt:i4>5</vt:i4>
      </vt:variant>
      <vt:variant>
        <vt:lpwstr>https://www.dtf.vic.gov.au/planning-budgeting-and-financial-reporting-frameworks/resource-management-framework</vt:lpwstr>
      </vt:variant>
      <vt:variant>
        <vt:lpwstr/>
      </vt:variant>
      <vt:variant>
        <vt:i4>917587</vt:i4>
      </vt:variant>
      <vt:variant>
        <vt:i4>1545</vt:i4>
      </vt:variant>
      <vt:variant>
        <vt:i4>0</vt:i4>
      </vt:variant>
      <vt:variant>
        <vt:i4>5</vt:i4>
      </vt:variant>
      <vt:variant>
        <vt:lpwstr>https://bigbuild.vic.gov.au/about/ecologiq/recycled-first-policy</vt:lpwstr>
      </vt:variant>
      <vt:variant>
        <vt:lpwstr/>
      </vt:variant>
      <vt:variant>
        <vt:i4>6488102</vt:i4>
      </vt:variant>
      <vt:variant>
        <vt:i4>1542</vt:i4>
      </vt:variant>
      <vt:variant>
        <vt:i4>0</vt:i4>
      </vt:variant>
      <vt:variant>
        <vt:i4>5</vt:i4>
      </vt:variant>
      <vt:variant>
        <vt:lpwstr>https://ovic.vic.gov.au/information-security/standards/</vt:lpwstr>
      </vt:variant>
      <vt:variant>
        <vt:lpwstr/>
      </vt:variant>
      <vt:variant>
        <vt:i4>3670060</vt:i4>
      </vt:variant>
      <vt:variant>
        <vt:i4>1539</vt:i4>
      </vt:variant>
      <vt:variant>
        <vt:i4>0</vt:i4>
      </vt:variant>
      <vt:variant>
        <vt:i4>5</vt:i4>
      </vt:variant>
      <vt:variant>
        <vt:lpwstr>https://www.planning.vic.gov.au/building-policy/cladding-rectification-program</vt:lpwstr>
      </vt:variant>
      <vt:variant>
        <vt:lpwstr/>
      </vt:variant>
      <vt:variant>
        <vt:i4>65612</vt:i4>
      </vt:variant>
      <vt:variant>
        <vt:i4>1536</vt:i4>
      </vt:variant>
      <vt:variant>
        <vt:i4>0</vt:i4>
      </vt:variant>
      <vt:variant>
        <vt:i4>5</vt:i4>
      </vt:variant>
      <vt:variant>
        <vt:lpwstr>https://djsir.vic.gov.au/what-we-do/employment-and-small-business/contracts-for-fair-payments</vt:lpwstr>
      </vt:variant>
      <vt:variant>
        <vt:lpwstr/>
      </vt:variant>
      <vt:variant>
        <vt:i4>1835074</vt:i4>
      </vt:variant>
      <vt:variant>
        <vt:i4>1533</vt:i4>
      </vt:variant>
      <vt:variant>
        <vt:i4>0</vt:i4>
      </vt:variant>
      <vt:variant>
        <vt:i4>5</vt:i4>
      </vt:variant>
      <vt:variant>
        <vt:lpwstr>https://www.buyingfor.vic.gov.au/fair-jobs-code-suppliers-and-businesses</vt:lpwstr>
      </vt:variant>
      <vt:variant>
        <vt:lpwstr/>
      </vt:variant>
      <vt:variant>
        <vt:i4>3735675</vt:i4>
      </vt:variant>
      <vt:variant>
        <vt:i4>1530</vt:i4>
      </vt:variant>
      <vt:variant>
        <vt:i4>0</vt:i4>
      </vt:variant>
      <vt:variant>
        <vt:i4>5</vt:i4>
      </vt:variant>
      <vt:variant>
        <vt:lpwstr>https://www.vic.gov.au/digital-asset-policy</vt:lpwstr>
      </vt:variant>
      <vt:variant>
        <vt:lpwstr/>
      </vt:variant>
      <vt:variant>
        <vt:i4>4980818</vt:i4>
      </vt:variant>
      <vt:variant>
        <vt:i4>1527</vt:i4>
      </vt:variant>
      <vt:variant>
        <vt:i4>0</vt:i4>
      </vt:variant>
      <vt:variant>
        <vt:i4>5</vt:i4>
      </vt:variant>
      <vt:variant>
        <vt:lpwstr>https://www.data.vic.gov.au/datavic-access-policy</vt:lpwstr>
      </vt:variant>
      <vt:variant>
        <vt:lpwstr/>
      </vt:variant>
      <vt:variant>
        <vt:i4>6815806</vt:i4>
      </vt:variant>
      <vt:variant>
        <vt:i4>1524</vt:i4>
      </vt:variant>
      <vt:variant>
        <vt:i4>0</vt:i4>
      </vt:variant>
      <vt:variant>
        <vt:i4>5</vt:i4>
      </vt:variant>
      <vt:variant>
        <vt:lpwstr>https://www.vic.gov.au/building-equality-policy</vt:lpwstr>
      </vt:variant>
      <vt:variant>
        <vt:lpwstr/>
      </vt:variant>
      <vt:variant>
        <vt:i4>8060967</vt:i4>
      </vt:variant>
      <vt:variant>
        <vt:i4>1521</vt:i4>
      </vt:variant>
      <vt:variant>
        <vt:i4>0</vt:i4>
      </vt:variant>
      <vt:variant>
        <vt:i4>5</vt:i4>
      </vt:variant>
      <vt:variant>
        <vt:lpwstr>https://www.dtf.vic.gov.au/infrastructure-investment/asset-management-accountability-framework</vt:lpwstr>
      </vt:variant>
      <vt:variant>
        <vt:lpwstr/>
      </vt:variant>
      <vt:variant>
        <vt:i4>4587604</vt:i4>
      </vt:variant>
      <vt:variant>
        <vt:i4>1518</vt:i4>
      </vt:variant>
      <vt:variant>
        <vt:i4>0</vt:i4>
      </vt:variant>
      <vt:variant>
        <vt:i4>5</vt:i4>
      </vt:variant>
      <vt:variant>
        <vt:lpwstr>https://www.australiancompetitionlaw.info/legislation/tpa1974</vt:lpwstr>
      </vt:variant>
      <vt:variant>
        <vt:lpwstr/>
      </vt:variant>
      <vt:variant>
        <vt:i4>4128894</vt:i4>
      </vt:variant>
      <vt:variant>
        <vt:i4>1515</vt:i4>
      </vt:variant>
      <vt:variant>
        <vt:i4>0</vt:i4>
      </vt:variant>
      <vt:variant>
        <vt:i4>5</vt:i4>
      </vt:variant>
      <vt:variant>
        <vt:lpwstr>\\Mac\Users\atwood\Library\CloudStorage\OneDrive-SharedLibraries-RedPonyConsulting\Internal - Projects (Clients)\DTF\1717. WoVG Infrastructure Procurement Framework\Modified Documents\Proofreading\ILGHVHR\_x000d_https:\ncc.abcb.gov.a</vt:lpwstr>
      </vt:variant>
      <vt:variant>
        <vt:lpwstr/>
      </vt:variant>
      <vt:variant>
        <vt:i4>7733281</vt:i4>
      </vt:variant>
      <vt:variant>
        <vt:i4>1512</vt:i4>
      </vt:variant>
      <vt:variant>
        <vt:i4>0</vt:i4>
      </vt:variant>
      <vt:variant>
        <vt:i4>5</vt:i4>
      </vt:variant>
      <vt:variant>
        <vt:lpwstr>https://www.legislation.gov.au/Details/C2016C00777</vt:lpwstr>
      </vt:variant>
      <vt:variant>
        <vt:lpwstr/>
      </vt:variant>
      <vt:variant>
        <vt:i4>4653147</vt:i4>
      </vt:variant>
      <vt:variant>
        <vt:i4>1509</vt:i4>
      </vt:variant>
      <vt:variant>
        <vt:i4>0</vt:i4>
      </vt:variant>
      <vt:variant>
        <vt:i4>5</vt:i4>
      </vt:variant>
      <vt:variant>
        <vt:lpwstr>https://www.legislation.vic.gov.au/in-force/acts/victorian-civil-and-administrative-tribunal-act-1998/134</vt:lpwstr>
      </vt:variant>
      <vt:variant>
        <vt:lpwstr/>
      </vt:variant>
      <vt:variant>
        <vt:i4>458838</vt:i4>
      </vt:variant>
      <vt:variant>
        <vt:i4>1506</vt:i4>
      </vt:variant>
      <vt:variant>
        <vt:i4>0</vt:i4>
      </vt:variant>
      <vt:variant>
        <vt:i4>5</vt:i4>
      </vt:variant>
      <vt:variant>
        <vt:lpwstr>https://www.land.vic.gov.au/land-registration/for-individuals/about-types-of-land-in-victoria</vt:lpwstr>
      </vt:variant>
      <vt:variant>
        <vt:lpwstr/>
      </vt:variant>
      <vt:variant>
        <vt:i4>3866728</vt:i4>
      </vt:variant>
      <vt:variant>
        <vt:i4>1503</vt:i4>
      </vt:variant>
      <vt:variant>
        <vt:i4>0</vt:i4>
      </vt:variant>
      <vt:variant>
        <vt:i4>5</vt:i4>
      </vt:variant>
      <vt:variant>
        <vt:lpwstr>https://www.legislation.vic.gov.au/in-force/acts/transfer-land-act-1958/179</vt:lpwstr>
      </vt:variant>
      <vt:variant>
        <vt:lpwstr/>
      </vt:variant>
      <vt:variant>
        <vt:i4>7536673</vt:i4>
      </vt:variant>
      <vt:variant>
        <vt:i4>1500</vt:i4>
      </vt:variant>
      <vt:variant>
        <vt:i4>0</vt:i4>
      </vt:variant>
      <vt:variant>
        <vt:i4>5</vt:i4>
      </vt:variant>
      <vt:variant>
        <vt:lpwstr>https://www.legislation.vic.gov.au/in-force/acts/traditional-owner-settlement-act-2010/025</vt:lpwstr>
      </vt:variant>
      <vt:variant>
        <vt:lpwstr/>
      </vt:variant>
      <vt:variant>
        <vt:i4>262168</vt:i4>
      </vt:variant>
      <vt:variant>
        <vt:i4>1497</vt:i4>
      </vt:variant>
      <vt:variant>
        <vt:i4>0</vt:i4>
      </vt:variant>
      <vt:variant>
        <vt:i4>5</vt:i4>
      </vt:variant>
      <vt:variant>
        <vt:lpwstr>https://www.legislation.vic.gov.au/in-force/acts/subdivision-act-1988/080</vt:lpwstr>
      </vt:variant>
      <vt:variant>
        <vt:lpwstr/>
      </vt:variant>
      <vt:variant>
        <vt:i4>2424942</vt:i4>
      </vt:variant>
      <vt:variant>
        <vt:i4>1494</vt:i4>
      </vt:variant>
      <vt:variant>
        <vt:i4>0</vt:i4>
      </vt:variant>
      <vt:variant>
        <vt:i4>5</vt:i4>
      </vt:variant>
      <vt:variant>
        <vt:lpwstr>https://www.legislation.vic.gov.au/in-force/acts/sale-land-act-1962/166</vt:lpwstr>
      </vt:variant>
      <vt:variant>
        <vt:lpwstr/>
      </vt:variant>
      <vt:variant>
        <vt:i4>6422560</vt:i4>
      </vt:variant>
      <vt:variant>
        <vt:i4>1491</vt:i4>
      </vt:variant>
      <vt:variant>
        <vt:i4>0</vt:i4>
      </vt:variant>
      <vt:variant>
        <vt:i4>5</vt:i4>
      </vt:variant>
      <vt:variant>
        <vt:lpwstr>https://www.legislation.vic.gov.au/in-force/acts/planning-and-environment-act-1987/153</vt:lpwstr>
      </vt:variant>
      <vt:variant>
        <vt:lpwstr/>
      </vt:variant>
      <vt:variant>
        <vt:i4>983118</vt:i4>
      </vt:variant>
      <vt:variant>
        <vt:i4>1488</vt:i4>
      </vt:variant>
      <vt:variant>
        <vt:i4>0</vt:i4>
      </vt:variant>
      <vt:variant>
        <vt:i4>5</vt:i4>
      </vt:variant>
      <vt:variant>
        <vt:lpwstr>https://www.legislation.vic.gov.au/as-made/acts/professional-engineers-registration-act-2019</vt:lpwstr>
      </vt:variant>
      <vt:variant>
        <vt:lpwstr/>
      </vt:variant>
      <vt:variant>
        <vt:i4>5439567</vt:i4>
      </vt:variant>
      <vt:variant>
        <vt:i4>1485</vt:i4>
      </vt:variant>
      <vt:variant>
        <vt:i4>0</vt:i4>
      </vt:variant>
      <vt:variant>
        <vt:i4>5</vt:i4>
      </vt:variant>
      <vt:variant>
        <vt:lpwstr>https://www.legislation.vic.gov.au/in-force/acts/occupational-health-and-safety-act-2004/043</vt:lpwstr>
      </vt:variant>
      <vt:variant>
        <vt:lpwstr/>
      </vt:variant>
      <vt:variant>
        <vt:i4>1048661</vt:i4>
      </vt:variant>
      <vt:variant>
        <vt:i4>1482</vt:i4>
      </vt:variant>
      <vt:variant>
        <vt:i4>0</vt:i4>
      </vt:variant>
      <vt:variant>
        <vt:i4>5</vt:i4>
      </vt:variant>
      <vt:variant>
        <vt:lpwstr>https://www.legislation.vic.gov.au/in-force/acts/marine-and-coastal-act-2018</vt:lpwstr>
      </vt:variant>
      <vt:variant>
        <vt:lpwstr/>
      </vt:variant>
      <vt:variant>
        <vt:i4>4259917</vt:i4>
      </vt:variant>
      <vt:variant>
        <vt:i4>1479</vt:i4>
      </vt:variant>
      <vt:variant>
        <vt:i4>0</vt:i4>
      </vt:variant>
      <vt:variant>
        <vt:i4>5</vt:i4>
      </vt:variant>
      <vt:variant>
        <vt:lpwstr>https://localjobsfirst.vic.gov.au/agency-guidance</vt:lpwstr>
      </vt:variant>
      <vt:variant>
        <vt:lpwstr/>
      </vt:variant>
      <vt:variant>
        <vt:i4>2424953</vt:i4>
      </vt:variant>
      <vt:variant>
        <vt:i4>1476</vt:i4>
      </vt:variant>
      <vt:variant>
        <vt:i4>0</vt:i4>
      </vt:variant>
      <vt:variant>
        <vt:i4>5</vt:i4>
      </vt:variant>
      <vt:variant>
        <vt:lpwstr>https://www.legislation.vic.gov.au/in-force/acts/local-jobs-first-act-2003/</vt:lpwstr>
      </vt:variant>
      <vt:variant>
        <vt:lpwstr/>
      </vt:variant>
      <vt:variant>
        <vt:i4>7405630</vt:i4>
      </vt:variant>
      <vt:variant>
        <vt:i4>1473</vt:i4>
      </vt:variant>
      <vt:variant>
        <vt:i4>0</vt:i4>
      </vt:variant>
      <vt:variant>
        <vt:i4>5</vt:i4>
      </vt:variant>
      <vt:variant>
        <vt:lpwstr>https://www.legislation.vic.gov.au/in-force/acts/land-act-1958/149</vt:lpwstr>
      </vt:variant>
      <vt:variant>
        <vt:lpwstr/>
      </vt:variant>
      <vt:variant>
        <vt:i4>4784215</vt:i4>
      </vt:variant>
      <vt:variant>
        <vt:i4>1470</vt:i4>
      </vt:variant>
      <vt:variant>
        <vt:i4>0</vt:i4>
      </vt:variant>
      <vt:variant>
        <vt:i4>5</vt:i4>
      </vt:variant>
      <vt:variant>
        <vt:lpwstr>https://www.heritage.vic.gov.au/about-us/legislation-and-regulations</vt:lpwstr>
      </vt:variant>
      <vt:variant>
        <vt:lpwstr/>
      </vt:variant>
      <vt:variant>
        <vt:i4>7340080</vt:i4>
      </vt:variant>
      <vt:variant>
        <vt:i4>1467</vt:i4>
      </vt:variant>
      <vt:variant>
        <vt:i4>0</vt:i4>
      </vt:variant>
      <vt:variant>
        <vt:i4>5</vt:i4>
      </vt:variant>
      <vt:variant>
        <vt:lpwstr>https://www.legislation.vic.gov.au/in-force/acts/heritage-act-2017/004</vt:lpwstr>
      </vt:variant>
      <vt:variant>
        <vt:lpwstr/>
      </vt:variant>
      <vt:variant>
        <vt:i4>2424876</vt:i4>
      </vt:variant>
      <vt:variant>
        <vt:i4>1464</vt:i4>
      </vt:variant>
      <vt:variant>
        <vt:i4>0</vt:i4>
      </vt:variant>
      <vt:variant>
        <vt:i4>5</vt:i4>
      </vt:variant>
      <vt:variant>
        <vt:lpwstr>https://www.genderequalitycommission.vic.gov.au/about-gender-equality-act-2020</vt:lpwstr>
      </vt:variant>
      <vt:variant>
        <vt:lpwstr/>
      </vt:variant>
      <vt:variant>
        <vt:i4>6160455</vt:i4>
      </vt:variant>
      <vt:variant>
        <vt:i4>1461</vt:i4>
      </vt:variant>
      <vt:variant>
        <vt:i4>0</vt:i4>
      </vt:variant>
      <vt:variant>
        <vt:i4>5</vt:i4>
      </vt:variant>
      <vt:variant>
        <vt:lpwstr>file://\\mac\Users\atwood\Library\CloudStorage\OneDrive-SharedLibraries-RedPonyConsulting\Internal - Projects (Clients)\DTF\1717. WoVG Infrastructure Procurement Framework\Modified Documents\Proofreading\ILGHVHR\https:\www.planning.vic.gov.au\environmental-assessments\environmental-assessment-guides\environment-effects-statements-in-victori</vt:lpwstr>
      </vt:variant>
      <vt:variant>
        <vt:lpwstr/>
      </vt:variant>
      <vt:variant>
        <vt:i4>1704018</vt:i4>
      </vt:variant>
      <vt:variant>
        <vt:i4>1458</vt:i4>
      </vt:variant>
      <vt:variant>
        <vt:i4>0</vt:i4>
      </vt:variant>
      <vt:variant>
        <vt:i4>5</vt:i4>
      </vt:variant>
      <vt:variant>
        <vt:lpwstr>https://www.legislation.vic.gov.au/in-force/acts/environment-effects-act-1978/026</vt:lpwstr>
      </vt:variant>
      <vt:variant>
        <vt:lpwstr/>
      </vt:variant>
      <vt:variant>
        <vt:i4>4325456</vt:i4>
      </vt:variant>
      <vt:variant>
        <vt:i4>1455</vt:i4>
      </vt:variant>
      <vt:variant>
        <vt:i4>0</vt:i4>
      </vt:variant>
      <vt:variant>
        <vt:i4>5</vt:i4>
      </vt:variant>
      <vt:variant>
        <vt:lpwstr>https://www.legislation.vic.gov.au/in-force/acts/crown-land-reserves-act-1978</vt:lpwstr>
      </vt:variant>
      <vt:variant>
        <vt:lpwstr/>
      </vt:variant>
      <vt:variant>
        <vt:i4>2752614</vt:i4>
      </vt:variant>
      <vt:variant>
        <vt:i4>1452</vt:i4>
      </vt:variant>
      <vt:variant>
        <vt:i4>0</vt:i4>
      </vt:variant>
      <vt:variant>
        <vt:i4>5</vt:i4>
      </vt:variant>
      <vt:variant>
        <vt:lpwstr>https://www.climatechange.vic.gov.au./</vt:lpwstr>
      </vt:variant>
      <vt:variant>
        <vt:lpwstr/>
      </vt:variant>
      <vt:variant>
        <vt:i4>1310750</vt:i4>
      </vt:variant>
      <vt:variant>
        <vt:i4>1449</vt:i4>
      </vt:variant>
      <vt:variant>
        <vt:i4>0</vt:i4>
      </vt:variant>
      <vt:variant>
        <vt:i4>5</vt:i4>
      </vt:variant>
      <vt:variant>
        <vt:lpwstr>https://www.climatechange.vic.gov.au/legislation/climate-change-act-2017</vt:lpwstr>
      </vt:variant>
      <vt:variant>
        <vt:lpwstr/>
      </vt:variant>
      <vt:variant>
        <vt:i4>4980743</vt:i4>
      </vt:variant>
      <vt:variant>
        <vt:i4>1446</vt:i4>
      </vt:variant>
      <vt:variant>
        <vt:i4>0</vt:i4>
      </vt:variant>
      <vt:variant>
        <vt:i4>5</vt:i4>
      </vt:variant>
      <vt:variant>
        <vt:lpwstr>https://www.legislation.vic.gov.au/in-force/acts/building-and-construction-industry-security-payment-act-2002/012</vt:lpwstr>
      </vt:variant>
      <vt:variant>
        <vt:lpwstr/>
      </vt:variant>
      <vt:variant>
        <vt:i4>5767234</vt:i4>
      </vt:variant>
      <vt:variant>
        <vt:i4>1443</vt:i4>
      </vt:variant>
      <vt:variant>
        <vt:i4>0</vt:i4>
      </vt:variant>
      <vt:variant>
        <vt:i4>5</vt:i4>
      </vt:variant>
      <vt:variant>
        <vt:lpwstr>https://www.vba.vic.gov.au/building/regulatory-framework</vt:lpwstr>
      </vt:variant>
      <vt:variant>
        <vt:lpwstr/>
      </vt:variant>
      <vt:variant>
        <vt:i4>7733287</vt:i4>
      </vt:variant>
      <vt:variant>
        <vt:i4>1440</vt:i4>
      </vt:variant>
      <vt:variant>
        <vt:i4>0</vt:i4>
      </vt:variant>
      <vt:variant>
        <vt:i4>5</vt:i4>
      </vt:variant>
      <vt:variant>
        <vt:lpwstr>https://www.legislation.vic.gov.au/in-force/acts/building-act-1993/136</vt:lpwstr>
      </vt:variant>
      <vt:variant>
        <vt:lpwstr/>
      </vt:variant>
      <vt:variant>
        <vt:i4>4259854</vt:i4>
      </vt:variant>
      <vt:variant>
        <vt:i4>1437</vt:i4>
      </vt:variant>
      <vt:variant>
        <vt:i4>0</vt:i4>
      </vt:variant>
      <vt:variant>
        <vt:i4>5</vt:i4>
      </vt:variant>
      <vt:variant>
        <vt:lpwstr>https://content.legislation.vic.gov.au/sites/default/files/2023-05/06-16aa027-authorised.pdf</vt:lpwstr>
      </vt:variant>
      <vt:variant>
        <vt:lpwstr/>
      </vt:variant>
      <vt:variant>
        <vt:i4>2228348</vt:i4>
      </vt:variant>
      <vt:variant>
        <vt:i4>1434</vt:i4>
      </vt:variant>
      <vt:variant>
        <vt:i4>0</vt:i4>
      </vt:variant>
      <vt:variant>
        <vt:i4>5</vt:i4>
      </vt:variant>
      <vt:variant>
        <vt:lpwstr>https://www.legislation.vic.gov.au/in-force/acts/major-transport-projects-facilitation-act-2009</vt:lpwstr>
      </vt:variant>
      <vt:variant>
        <vt:lpwstr/>
      </vt:variant>
      <vt:variant>
        <vt:i4>7667831</vt:i4>
      </vt:variant>
      <vt:variant>
        <vt:i4>1431</vt:i4>
      </vt:variant>
      <vt:variant>
        <vt:i4>0</vt:i4>
      </vt:variant>
      <vt:variant>
        <vt:i4>5</vt:i4>
      </vt:variant>
      <vt:variant>
        <vt:lpwstr>https://www.legislation.vic.gov.au/in-force/acts/audit-act-1994</vt:lpwstr>
      </vt:variant>
      <vt:variant>
        <vt:lpwstr/>
      </vt:variant>
      <vt:variant>
        <vt:i4>1835079</vt:i4>
      </vt:variant>
      <vt:variant>
        <vt:i4>1428</vt:i4>
      </vt:variant>
      <vt:variant>
        <vt:i4>0</vt:i4>
      </vt:variant>
      <vt:variant>
        <vt:i4>5</vt:i4>
      </vt:variant>
      <vt:variant>
        <vt:lpwstr>https://www.dfat.gov.au/trade/about-ftas/about-free-trade-agreements</vt:lpwstr>
      </vt:variant>
      <vt:variant>
        <vt:lpwstr/>
      </vt:variant>
      <vt:variant>
        <vt:i4>3407979</vt:i4>
      </vt:variant>
      <vt:variant>
        <vt:i4>1425</vt:i4>
      </vt:variant>
      <vt:variant>
        <vt:i4>0</vt:i4>
      </vt:variant>
      <vt:variant>
        <vt:i4>5</vt:i4>
      </vt:variant>
      <vt:variant>
        <vt:lpwstr>https://www.dtf.vic.gov.au/public-construction-policy-and-resources/ministerial-directions-and-instructions-public-construction-procurement</vt:lpwstr>
      </vt:variant>
      <vt:variant>
        <vt:lpwstr/>
      </vt:variant>
      <vt:variant>
        <vt:i4>4522070</vt:i4>
      </vt:variant>
      <vt:variant>
        <vt:i4>1416</vt:i4>
      </vt:variant>
      <vt:variant>
        <vt:i4>0</vt:i4>
      </vt:variant>
      <vt:variant>
        <vt:i4>5</vt:i4>
      </vt:variant>
      <vt:variant>
        <vt:lpwstr>https://www.legislation.vic.gov.au/in-force/acts/project-development-and-construction-management-act-1994/046</vt:lpwstr>
      </vt:variant>
      <vt:variant>
        <vt:lpwstr/>
      </vt:variant>
      <vt:variant>
        <vt:i4>3735652</vt:i4>
      </vt:variant>
      <vt:variant>
        <vt:i4>1413</vt:i4>
      </vt:variant>
      <vt:variant>
        <vt:i4>0</vt:i4>
      </vt:variant>
      <vt:variant>
        <vt:i4>5</vt:i4>
      </vt:variant>
      <vt:variant>
        <vt:lpwstr>https://www.legislation.vic.gov.au/in-force/acts/public-administration-act-2004/083</vt:lpwstr>
      </vt:variant>
      <vt:variant>
        <vt:lpwstr/>
      </vt:variant>
      <vt:variant>
        <vt:i4>2097198</vt:i4>
      </vt:variant>
      <vt:variant>
        <vt:i4>1410</vt:i4>
      </vt:variant>
      <vt:variant>
        <vt:i4>0</vt:i4>
      </vt:variant>
      <vt:variant>
        <vt:i4>5</vt:i4>
      </vt:variant>
      <vt:variant>
        <vt:lpwstr>https://www.dtf.vic.gov.au/sites/default/files/2018-01/Budget Operations Framework - February 2017.pdf</vt:lpwstr>
      </vt:variant>
      <vt:variant>
        <vt:lpwstr/>
      </vt:variant>
      <vt:variant>
        <vt:i4>5439555</vt:i4>
      </vt:variant>
      <vt:variant>
        <vt:i4>1407</vt:i4>
      </vt:variant>
      <vt:variant>
        <vt:i4>0</vt:i4>
      </vt:variant>
      <vt:variant>
        <vt:i4>5</vt:i4>
      </vt:variant>
      <vt:variant>
        <vt:lpwstr>https://www.dtf.vic.gov.au/sites/default/files/document/Standing-Directions-2018-Instructions-Updated-Dec2019.pdf</vt:lpwstr>
      </vt:variant>
      <vt:variant>
        <vt:lpwstr/>
      </vt:variant>
      <vt:variant>
        <vt:i4>2752618</vt:i4>
      </vt:variant>
      <vt:variant>
        <vt:i4>1404</vt:i4>
      </vt:variant>
      <vt:variant>
        <vt:i4>0</vt:i4>
      </vt:variant>
      <vt:variant>
        <vt:i4>5</vt:i4>
      </vt:variant>
      <vt:variant>
        <vt:lpwstr>https://www.dtf.vic.gov.au/financial-management-government/standing-directions-2018-under-financial-management-act-1994</vt:lpwstr>
      </vt:variant>
      <vt:variant>
        <vt:lpwstr/>
      </vt:variant>
      <vt:variant>
        <vt:i4>1638410</vt:i4>
      </vt:variant>
      <vt:variant>
        <vt:i4>1401</vt:i4>
      </vt:variant>
      <vt:variant>
        <vt:i4>0</vt:i4>
      </vt:variant>
      <vt:variant>
        <vt:i4>5</vt:i4>
      </vt:variant>
      <vt:variant>
        <vt:lpwstr>https://www.dtf.vic.gov.au/sites/default/files/document/Standing-Directions-2018-Instructions-Updated-Dec2019</vt:lpwstr>
      </vt:variant>
      <vt:variant>
        <vt:lpwstr/>
      </vt:variant>
      <vt:variant>
        <vt:i4>1966158</vt:i4>
      </vt:variant>
      <vt:variant>
        <vt:i4>1398</vt:i4>
      </vt:variant>
      <vt:variant>
        <vt:i4>0</vt:i4>
      </vt:variant>
      <vt:variant>
        <vt:i4>5</vt:i4>
      </vt:variant>
      <vt:variant>
        <vt:lpwstr>https://www.dtf.vic.gov.au/sites/default/files/document/Standing-Directions-2018-Updated-Dec2019.pdf</vt:lpwstr>
      </vt:variant>
      <vt:variant>
        <vt:lpwstr/>
      </vt:variant>
      <vt:variant>
        <vt:i4>7536767</vt:i4>
      </vt:variant>
      <vt:variant>
        <vt:i4>1395</vt:i4>
      </vt:variant>
      <vt:variant>
        <vt:i4>0</vt:i4>
      </vt:variant>
      <vt:variant>
        <vt:i4>5</vt:i4>
      </vt:variant>
      <vt:variant>
        <vt:lpwstr>https://www.legislation.vic.gov.au/in-force/acts/financial-management-act-1994</vt:lpwstr>
      </vt:variant>
      <vt:variant>
        <vt:lpwstr/>
      </vt:variant>
      <vt:variant>
        <vt:i4>983107</vt:i4>
      </vt:variant>
      <vt:variant>
        <vt:i4>1377</vt:i4>
      </vt:variant>
      <vt:variant>
        <vt:i4>0</vt:i4>
      </vt:variant>
      <vt:variant>
        <vt:i4>5</vt:i4>
      </vt:variant>
      <vt:variant>
        <vt:lpwstr>https://www.dtf.vic.gov.au/ministerial-directions-and-instructions-public-construction-procurement/mandatory-evaluation-criteria-industrial-relations-management-attachment-2-instruction-37</vt:lpwstr>
      </vt:variant>
      <vt:variant>
        <vt:lpwstr/>
      </vt:variant>
      <vt:variant>
        <vt:i4>3604538</vt:i4>
      </vt:variant>
      <vt:variant>
        <vt:i4>1374</vt:i4>
      </vt:variant>
      <vt:variant>
        <vt:i4>0</vt:i4>
      </vt:variant>
      <vt:variant>
        <vt:i4>5</vt:i4>
      </vt:variant>
      <vt:variant>
        <vt:lpwstr>https://www.dtf.vic.gov.au/ministerial-directions-and-instructions-public-construction-procurement/mandatory-evaluation-criteria-occupational-health-and-safety-management-attachment-1-instruction-37</vt:lpwstr>
      </vt:variant>
      <vt:variant>
        <vt:lpwstr>:~:text=Attachment%201%20to%20Instruction%203.7%20lists%20the%20mandatory%20evaluation%20criteria,management%20used%20in%20public%20construction.</vt:lpwstr>
      </vt:variant>
      <vt:variant>
        <vt:i4>720903</vt:i4>
      </vt:variant>
      <vt:variant>
        <vt:i4>1371</vt:i4>
      </vt:variant>
      <vt:variant>
        <vt:i4>0</vt:i4>
      </vt:variant>
      <vt:variant>
        <vt:i4>5</vt:i4>
      </vt:variant>
      <vt:variant>
        <vt:lpwstr>https://vpsc.vic.gov.au/ethics-behaviours-culture/codes-of-conduct/code-of-conduct-for-victorian-public-sector-employees/</vt:lpwstr>
      </vt:variant>
      <vt:variant>
        <vt:lpwstr/>
      </vt:variant>
      <vt:variant>
        <vt:i4>7667756</vt:i4>
      </vt:variant>
      <vt:variant>
        <vt:i4>1356</vt:i4>
      </vt:variant>
      <vt:variant>
        <vt:i4>0</vt:i4>
      </vt:variant>
      <vt:variant>
        <vt:i4>5</vt:i4>
      </vt:variant>
      <vt:variant>
        <vt:lpwstr>https://www.buyingfor.vic.gov.au/browse-construction-supplier-registers</vt:lpwstr>
      </vt:variant>
      <vt:variant>
        <vt:lpwstr/>
      </vt:variant>
      <vt:variant>
        <vt:i4>6684713</vt:i4>
      </vt:variant>
      <vt:variant>
        <vt:i4>1350</vt:i4>
      </vt:variant>
      <vt:variant>
        <vt:i4>0</vt:i4>
      </vt:variant>
      <vt:variant>
        <vt:i4>5</vt:i4>
      </vt:variant>
      <vt:variant>
        <vt:lpwstr>https://www.tenders.vic.gov.au/</vt:lpwstr>
      </vt:variant>
      <vt:variant>
        <vt:lpwstr/>
      </vt:variant>
      <vt:variant>
        <vt:i4>6684713</vt:i4>
      </vt:variant>
      <vt:variant>
        <vt:i4>1347</vt:i4>
      </vt:variant>
      <vt:variant>
        <vt:i4>0</vt:i4>
      </vt:variant>
      <vt:variant>
        <vt:i4>5</vt:i4>
      </vt:variant>
      <vt:variant>
        <vt:lpwstr>https://www.tenders.vic.gov.au/</vt:lpwstr>
      </vt:variant>
      <vt:variant>
        <vt:lpwstr/>
      </vt:variant>
      <vt:variant>
        <vt:i4>3997751</vt:i4>
      </vt:variant>
      <vt:variant>
        <vt:i4>1344</vt:i4>
      </vt:variant>
      <vt:variant>
        <vt:i4>0</vt:i4>
      </vt:variant>
      <vt:variant>
        <vt:i4>5</vt:i4>
      </vt:variant>
      <vt:variant>
        <vt:lpwstr>https://www.dtf.vic.gov.au/sites/default/files/document/Cost Reimbursable Procurement Requirements.pdf</vt:lpwstr>
      </vt:variant>
      <vt:variant>
        <vt:lpwstr/>
      </vt:variant>
      <vt:variant>
        <vt:i4>4128877</vt:i4>
      </vt:variant>
      <vt:variant>
        <vt:i4>1329</vt:i4>
      </vt:variant>
      <vt:variant>
        <vt:i4>0</vt:i4>
      </vt:variant>
      <vt:variant>
        <vt:i4>5</vt:i4>
      </vt:variant>
      <vt:variant>
        <vt:lpwstr>https://www.dtf.vic.gov.au/stage-2-procurement/whole-life-procurement-category</vt:lpwstr>
      </vt:variant>
      <vt:variant>
        <vt:lpwstr/>
      </vt:variant>
      <vt:variant>
        <vt:i4>1114195</vt:i4>
      </vt:variant>
      <vt:variant>
        <vt:i4>1326</vt:i4>
      </vt:variant>
      <vt:variant>
        <vt:i4>0</vt:i4>
      </vt:variant>
      <vt:variant>
        <vt:i4>5</vt:i4>
      </vt:variant>
      <vt:variant>
        <vt:lpwstr>https://www.dtf.vic.gov.au/stage-2-procurement/lump-sum-procurement-category</vt:lpwstr>
      </vt:variant>
      <vt:variant>
        <vt:lpwstr/>
      </vt:variant>
      <vt:variant>
        <vt:i4>1179714</vt:i4>
      </vt:variant>
      <vt:variant>
        <vt:i4>1323</vt:i4>
      </vt:variant>
      <vt:variant>
        <vt:i4>0</vt:i4>
      </vt:variant>
      <vt:variant>
        <vt:i4>5</vt:i4>
      </vt:variant>
      <vt:variant>
        <vt:lpwstr>https://www.dtf.vic.gov.au/stage-2-procurement/cost-reimbursable-procurement-category</vt:lpwstr>
      </vt:variant>
      <vt:variant>
        <vt:lpwstr/>
      </vt:variant>
      <vt:variant>
        <vt:i4>2162798</vt:i4>
      </vt:variant>
      <vt:variant>
        <vt:i4>1320</vt:i4>
      </vt:variant>
      <vt:variant>
        <vt:i4>0</vt:i4>
      </vt:variant>
      <vt:variant>
        <vt:i4>5</vt:i4>
      </vt:variant>
      <vt:variant>
        <vt:lpwstr>https://www.dtf.vic.gov.au/practitioners-toolkit/practitioners-toolkit-document-library</vt:lpwstr>
      </vt:variant>
      <vt:variant>
        <vt:lpwstr/>
      </vt:variant>
      <vt:variant>
        <vt:i4>65542</vt:i4>
      </vt:variant>
      <vt:variant>
        <vt:i4>1317</vt:i4>
      </vt:variant>
      <vt:variant>
        <vt:i4>0</vt:i4>
      </vt:variant>
      <vt:variant>
        <vt:i4>5</vt:i4>
      </vt:variant>
      <vt:variant>
        <vt:lpwstr>https://www.dtf.vic.gov.au/ministerial-directions-and-instructions-public-construction-procurement/contractual-terms-and-conditions-direction-and-instruction-72</vt:lpwstr>
      </vt:variant>
      <vt:variant>
        <vt:lpwstr/>
      </vt:variant>
      <vt:variant>
        <vt:i4>1572894</vt:i4>
      </vt:variant>
      <vt:variant>
        <vt:i4>1314</vt:i4>
      </vt:variant>
      <vt:variant>
        <vt:i4>0</vt:i4>
      </vt:variant>
      <vt:variant>
        <vt:i4>5</vt:i4>
      </vt:variant>
      <vt:variant>
        <vt:lpwstr>https://www.dtf.vic.gov.au/ministerial-directions-and-instructions-public-construction-procurement/contracting-requirements-direction-and-instruction-71</vt:lpwstr>
      </vt:variant>
      <vt:variant>
        <vt:lpwstr/>
      </vt:variant>
      <vt:variant>
        <vt:i4>7798834</vt:i4>
      </vt:variant>
      <vt:variant>
        <vt:i4>1308</vt:i4>
      </vt:variant>
      <vt:variant>
        <vt:i4>0</vt:i4>
      </vt:variant>
      <vt:variant>
        <vt:i4>5</vt:i4>
      </vt:variant>
      <vt:variant>
        <vt:lpwstr>https://www.dtf.vic.gov.au/infrastructure-investment/bid-cost-reimbursement-major-construction-projects</vt:lpwstr>
      </vt:variant>
      <vt:variant>
        <vt:lpwstr/>
      </vt:variant>
      <vt:variant>
        <vt:i4>5308500</vt:i4>
      </vt:variant>
      <vt:variant>
        <vt:i4>1299</vt:i4>
      </vt:variant>
      <vt:variant>
        <vt:i4>0</vt:i4>
      </vt:variant>
      <vt:variant>
        <vt:i4>5</vt:i4>
      </vt:variant>
      <vt:variant>
        <vt:lpwstr>https://www.dtf.vic.gov.au/ministerial-directions-and-instructions-public-construction-procurement/tender-documentation-direction-and-instruction-36</vt:lpwstr>
      </vt:variant>
      <vt:variant>
        <vt:lpwstr/>
      </vt:variant>
      <vt:variant>
        <vt:i4>1179714</vt:i4>
      </vt:variant>
      <vt:variant>
        <vt:i4>1296</vt:i4>
      </vt:variant>
      <vt:variant>
        <vt:i4>0</vt:i4>
      </vt:variant>
      <vt:variant>
        <vt:i4>5</vt:i4>
      </vt:variant>
      <vt:variant>
        <vt:lpwstr>https://www.dtf.vic.gov.au/stage-2-procurement/cost-reimbursable-procurement-category</vt:lpwstr>
      </vt:variant>
      <vt:variant>
        <vt:lpwstr/>
      </vt:variant>
      <vt:variant>
        <vt:i4>4915292</vt:i4>
      </vt:variant>
      <vt:variant>
        <vt:i4>1293</vt:i4>
      </vt:variant>
      <vt:variant>
        <vt:i4>0</vt:i4>
      </vt:variant>
      <vt:variant>
        <vt:i4>5</vt:i4>
      </vt:variant>
      <vt:variant>
        <vt:lpwstr>https://www.dtf.vic.gov.au/investment-lifecycle-and-high-value-high-risk-guidelines/stage-1-business-case</vt:lpwstr>
      </vt:variant>
      <vt:variant>
        <vt:lpwstr/>
      </vt:variant>
      <vt:variant>
        <vt:i4>1179714</vt:i4>
      </vt:variant>
      <vt:variant>
        <vt:i4>1284</vt:i4>
      </vt:variant>
      <vt:variant>
        <vt:i4>0</vt:i4>
      </vt:variant>
      <vt:variant>
        <vt:i4>5</vt:i4>
      </vt:variant>
      <vt:variant>
        <vt:lpwstr>https://www.dtf.vic.gov.au/stage-2-procurement/cost-reimbursable-procurement-category</vt:lpwstr>
      </vt:variant>
      <vt:variant>
        <vt:lpwstr/>
      </vt:variant>
      <vt:variant>
        <vt:i4>5111900</vt:i4>
      </vt:variant>
      <vt:variant>
        <vt:i4>1281</vt:i4>
      </vt:variant>
      <vt:variant>
        <vt:i4>0</vt:i4>
      </vt:variant>
      <vt:variant>
        <vt:i4>5</vt:i4>
      </vt:variant>
      <vt:variant>
        <vt:lpwstr>https://www.buyingfor.vic.gov.au/source-supplier</vt:lpwstr>
      </vt:variant>
      <vt:variant>
        <vt:lpwstr>invite-offers</vt:lpwstr>
      </vt:variant>
      <vt:variant>
        <vt:i4>7405611</vt:i4>
      </vt:variant>
      <vt:variant>
        <vt:i4>1278</vt:i4>
      </vt:variant>
      <vt:variant>
        <vt:i4>0</vt:i4>
      </vt:variant>
      <vt:variant>
        <vt:i4>5</vt:i4>
      </vt:variant>
      <vt:variant>
        <vt:lpwstr>https://www.dtf.vic.gov.au/ministerial-directions-and-instructions-public-construction-procurement/competition-and-contestability-direction-and-instruction-32</vt:lpwstr>
      </vt:variant>
      <vt:variant>
        <vt:lpwstr/>
      </vt:variant>
      <vt:variant>
        <vt:i4>4128877</vt:i4>
      </vt:variant>
      <vt:variant>
        <vt:i4>1275</vt:i4>
      </vt:variant>
      <vt:variant>
        <vt:i4>0</vt:i4>
      </vt:variant>
      <vt:variant>
        <vt:i4>5</vt:i4>
      </vt:variant>
      <vt:variant>
        <vt:lpwstr>https://www.dtf.vic.gov.au/stage-2-procurement/whole-life-procurement-category</vt:lpwstr>
      </vt:variant>
      <vt:variant>
        <vt:lpwstr/>
      </vt:variant>
      <vt:variant>
        <vt:i4>1179714</vt:i4>
      </vt:variant>
      <vt:variant>
        <vt:i4>1272</vt:i4>
      </vt:variant>
      <vt:variant>
        <vt:i4>0</vt:i4>
      </vt:variant>
      <vt:variant>
        <vt:i4>5</vt:i4>
      </vt:variant>
      <vt:variant>
        <vt:lpwstr>https://www.dtf.vic.gov.au/stage-2-procurement/cost-reimbursable-procurement-category</vt:lpwstr>
      </vt:variant>
      <vt:variant>
        <vt:lpwstr/>
      </vt:variant>
      <vt:variant>
        <vt:i4>5832735</vt:i4>
      </vt:variant>
      <vt:variant>
        <vt:i4>1269</vt:i4>
      </vt:variant>
      <vt:variant>
        <vt:i4>0</vt:i4>
      </vt:variant>
      <vt:variant>
        <vt:i4>5</vt:i4>
      </vt:variant>
      <vt:variant>
        <vt:lpwstr>https://www.buyingfor.vic.gov.au/plan-probity</vt:lpwstr>
      </vt:variant>
      <vt:variant>
        <vt:lpwstr/>
      </vt:variant>
      <vt:variant>
        <vt:i4>4128877</vt:i4>
      </vt:variant>
      <vt:variant>
        <vt:i4>1263</vt:i4>
      </vt:variant>
      <vt:variant>
        <vt:i4>0</vt:i4>
      </vt:variant>
      <vt:variant>
        <vt:i4>5</vt:i4>
      </vt:variant>
      <vt:variant>
        <vt:lpwstr>https://www.dtf.vic.gov.au/stage-2-procurement/whole-life-procurement-category</vt:lpwstr>
      </vt:variant>
      <vt:variant>
        <vt:lpwstr/>
      </vt:variant>
      <vt:variant>
        <vt:i4>1179714</vt:i4>
      </vt:variant>
      <vt:variant>
        <vt:i4>1260</vt:i4>
      </vt:variant>
      <vt:variant>
        <vt:i4>0</vt:i4>
      </vt:variant>
      <vt:variant>
        <vt:i4>5</vt:i4>
      </vt:variant>
      <vt:variant>
        <vt:lpwstr>https://www.dtf.vic.gov.au/stage-2-procurement/cost-reimbursable-procurement-category</vt:lpwstr>
      </vt:variant>
      <vt:variant>
        <vt:lpwstr/>
      </vt:variant>
      <vt:variant>
        <vt:i4>4915292</vt:i4>
      </vt:variant>
      <vt:variant>
        <vt:i4>1257</vt:i4>
      </vt:variant>
      <vt:variant>
        <vt:i4>0</vt:i4>
      </vt:variant>
      <vt:variant>
        <vt:i4>5</vt:i4>
      </vt:variant>
      <vt:variant>
        <vt:lpwstr>https://www.dtf.vic.gov.au/investment-lifecycle-and-high-value-high-risk-guidelines/stage-1-business-case</vt:lpwstr>
      </vt:variant>
      <vt:variant>
        <vt:lpwstr/>
      </vt:variant>
      <vt:variant>
        <vt:i4>3145854</vt:i4>
      </vt:variant>
      <vt:variant>
        <vt:i4>1254</vt:i4>
      </vt:variant>
      <vt:variant>
        <vt:i4>0</vt:i4>
      </vt:variant>
      <vt:variant>
        <vt:i4>5</vt:i4>
      </vt:variant>
      <vt:variant>
        <vt:lpwstr>file://\\mac\Users\atwood\Library\CloudStorage\OneDrive-SharedLibraries-RedPonyConsulting\Internal - Projects (Clients)\DTF\1717. WoVG Infrastructure Procurement Framework\Modified Documents\Proofreading\ILGHVHR\https:\www.dtf.vic.gov.au\investment-lifecycle-and-high-value-high-risk-guidelines\stage-1-business-cas</vt:lpwstr>
      </vt:variant>
      <vt:variant>
        <vt:lpwstr/>
      </vt:variant>
      <vt:variant>
        <vt:i4>7929917</vt:i4>
      </vt:variant>
      <vt:variant>
        <vt:i4>1250</vt:i4>
      </vt:variant>
      <vt:variant>
        <vt:i4>0</vt:i4>
      </vt:variant>
      <vt:variant>
        <vt:i4>5</vt:i4>
      </vt:variant>
      <vt:variant>
        <vt:lpwstr>https://www.vmia.vic.gov.au/tools-and-insights/practical-guidance-for-managing-risk</vt:lpwstr>
      </vt:variant>
      <vt:variant>
        <vt:lpwstr/>
      </vt:variant>
      <vt:variant>
        <vt:i4>7929917</vt:i4>
      </vt:variant>
      <vt:variant>
        <vt:i4>1248</vt:i4>
      </vt:variant>
      <vt:variant>
        <vt:i4>0</vt:i4>
      </vt:variant>
      <vt:variant>
        <vt:i4>5</vt:i4>
      </vt:variant>
      <vt:variant>
        <vt:lpwstr>https://www.vmia.vic.gov.au/tools-and-insights/practical-guidance-for-managing-risk</vt:lpwstr>
      </vt:variant>
      <vt:variant>
        <vt:lpwstr/>
      </vt:variant>
      <vt:variant>
        <vt:i4>5767192</vt:i4>
      </vt:variant>
      <vt:variant>
        <vt:i4>1245</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5767192</vt:i4>
      </vt:variant>
      <vt:variant>
        <vt:i4>1242</vt:i4>
      </vt:variant>
      <vt:variant>
        <vt:i4>0</vt:i4>
      </vt:variant>
      <vt:variant>
        <vt:i4>5</vt:i4>
      </vt:variant>
      <vt:variant>
        <vt:lpwstr>https://www.dtf.vic.gov.au/planning-budgeting-and-financial-reporting-frameworks/victorian-risk-management-framework-and-insurance-management-policy</vt:lpwstr>
      </vt:variant>
      <vt:variant>
        <vt:lpwstr/>
      </vt:variant>
      <vt:variant>
        <vt:i4>6946932</vt:i4>
      </vt:variant>
      <vt:variant>
        <vt:i4>1233</vt:i4>
      </vt:variant>
      <vt:variant>
        <vt:i4>0</vt:i4>
      </vt:variant>
      <vt:variant>
        <vt:i4>5</vt:i4>
      </vt:variant>
      <vt:variant>
        <vt:lpwstr>http://www.dtf.vic.gov.au/infrastructure-investment/construction-supplier-register</vt:lpwstr>
      </vt:variant>
      <vt:variant>
        <vt:lpwstr/>
      </vt:variant>
      <vt:variant>
        <vt:i4>1179714</vt:i4>
      </vt:variant>
      <vt:variant>
        <vt:i4>1230</vt:i4>
      </vt:variant>
      <vt:variant>
        <vt:i4>0</vt:i4>
      </vt:variant>
      <vt:variant>
        <vt:i4>5</vt:i4>
      </vt:variant>
      <vt:variant>
        <vt:lpwstr>https://www.dtf.vic.gov.au/stage-2-procurement/cost-reimbursable-procurement-category</vt:lpwstr>
      </vt:variant>
      <vt:variant>
        <vt:lpwstr/>
      </vt:variant>
      <vt:variant>
        <vt:i4>4456449</vt:i4>
      </vt:variant>
      <vt:variant>
        <vt:i4>1227</vt:i4>
      </vt:variant>
      <vt:variant>
        <vt:i4>0</vt:i4>
      </vt:variant>
      <vt:variant>
        <vt:i4>5</vt:i4>
      </vt:variant>
      <vt:variant>
        <vt:lpwstr>https://www.dtf.vic.gov.au/partnerships-victoria/procurement-requirements</vt:lpwstr>
      </vt:variant>
      <vt:variant>
        <vt:lpwstr/>
      </vt:variant>
      <vt:variant>
        <vt:i4>1179714</vt:i4>
      </vt:variant>
      <vt:variant>
        <vt:i4>1224</vt:i4>
      </vt:variant>
      <vt:variant>
        <vt:i4>0</vt:i4>
      </vt:variant>
      <vt:variant>
        <vt:i4>5</vt:i4>
      </vt:variant>
      <vt:variant>
        <vt:lpwstr>https://www.dtf.vic.gov.au/stage-2-procurement/cost-reimbursable-procurement-category</vt:lpwstr>
      </vt:variant>
      <vt:variant>
        <vt:lpwstr/>
      </vt:variant>
      <vt:variant>
        <vt:i4>4456449</vt:i4>
      </vt:variant>
      <vt:variant>
        <vt:i4>1221</vt:i4>
      </vt:variant>
      <vt:variant>
        <vt:i4>0</vt:i4>
      </vt:variant>
      <vt:variant>
        <vt:i4>5</vt:i4>
      </vt:variant>
      <vt:variant>
        <vt:lpwstr>https://www.dtf.vic.gov.au/partnerships-victoria/procurement-requirements</vt:lpwstr>
      </vt:variant>
      <vt:variant>
        <vt:lpwstr/>
      </vt:variant>
      <vt:variant>
        <vt:i4>4128877</vt:i4>
      </vt:variant>
      <vt:variant>
        <vt:i4>1218</vt:i4>
      </vt:variant>
      <vt:variant>
        <vt:i4>0</vt:i4>
      </vt:variant>
      <vt:variant>
        <vt:i4>5</vt:i4>
      </vt:variant>
      <vt:variant>
        <vt:lpwstr>https://www.dtf.vic.gov.au/stage-2-procurement/whole-life-procurement-category</vt:lpwstr>
      </vt:variant>
      <vt:variant>
        <vt:lpwstr/>
      </vt:variant>
      <vt:variant>
        <vt:i4>1179714</vt:i4>
      </vt:variant>
      <vt:variant>
        <vt:i4>1215</vt:i4>
      </vt:variant>
      <vt:variant>
        <vt:i4>0</vt:i4>
      </vt:variant>
      <vt:variant>
        <vt:i4>5</vt:i4>
      </vt:variant>
      <vt:variant>
        <vt:lpwstr>https://www.dtf.vic.gov.au/stage-2-procurement/cost-reimbursable-procurement-category</vt:lpwstr>
      </vt:variant>
      <vt:variant>
        <vt:lpwstr/>
      </vt:variant>
      <vt:variant>
        <vt:i4>4915292</vt:i4>
      </vt:variant>
      <vt:variant>
        <vt:i4>1212</vt:i4>
      </vt:variant>
      <vt:variant>
        <vt:i4>0</vt:i4>
      </vt:variant>
      <vt:variant>
        <vt:i4>5</vt:i4>
      </vt:variant>
      <vt:variant>
        <vt:lpwstr>https://www.dtf.vic.gov.au/investment-lifecycle-and-high-value-high-risk-guidelines/stage-1-business-case</vt:lpwstr>
      </vt:variant>
      <vt:variant>
        <vt:lpwstr/>
      </vt:variant>
      <vt:variant>
        <vt:i4>4128877</vt:i4>
      </vt:variant>
      <vt:variant>
        <vt:i4>1203</vt:i4>
      </vt:variant>
      <vt:variant>
        <vt:i4>0</vt:i4>
      </vt:variant>
      <vt:variant>
        <vt:i4>5</vt:i4>
      </vt:variant>
      <vt:variant>
        <vt:lpwstr>https://www.dtf.vic.gov.au/stage-2-procurement/whole-life-procurement-category</vt:lpwstr>
      </vt:variant>
      <vt:variant>
        <vt:lpwstr/>
      </vt:variant>
      <vt:variant>
        <vt:i4>4456449</vt:i4>
      </vt:variant>
      <vt:variant>
        <vt:i4>1191</vt:i4>
      </vt:variant>
      <vt:variant>
        <vt:i4>0</vt:i4>
      </vt:variant>
      <vt:variant>
        <vt:i4>5</vt:i4>
      </vt:variant>
      <vt:variant>
        <vt:lpwstr>https://www.dtf.vic.gov.au/partnerships-victoria/procurement-requirements</vt:lpwstr>
      </vt:variant>
      <vt:variant>
        <vt:lpwstr/>
      </vt:variant>
      <vt:variant>
        <vt:i4>4128877</vt:i4>
      </vt:variant>
      <vt:variant>
        <vt:i4>1188</vt:i4>
      </vt:variant>
      <vt:variant>
        <vt:i4>0</vt:i4>
      </vt:variant>
      <vt:variant>
        <vt:i4>5</vt:i4>
      </vt:variant>
      <vt:variant>
        <vt:lpwstr>https://www.dtf.vic.gov.au/stage-2-procurement/whole-life-procurement-category</vt:lpwstr>
      </vt:variant>
      <vt:variant>
        <vt:lpwstr/>
      </vt:variant>
      <vt:variant>
        <vt:i4>4128877</vt:i4>
      </vt:variant>
      <vt:variant>
        <vt:i4>1182</vt:i4>
      </vt:variant>
      <vt:variant>
        <vt:i4>0</vt:i4>
      </vt:variant>
      <vt:variant>
        <vt:i4>5</vt:i4>
      </vt:variant>
      <vt:variant>
        <vt:lpwstr>https://www.dtf.vic.gov.au/stage-2-procurement/whole-life-procurement-category</vt:lpwstr>
      </vt:variant>
      <vt:variant>
        <vt:lpwstr/>
      </vt:variant>
      <vt:variant>
        <vt:i4>7078012</vt:i4>
      </vt:variant>
      <vt:variant>
        <vt:i4>1179</vt:i4>
      </vt:variant>
      <vt:variant>
        <vt:i4>0</vt:i4>
      </vt:variant>
      <vt:variant>
        <vt:i4>5</vt:i4>
      </vt:variant>
      <vt:variant>
        <vt:lpwstr>https://www.infrastructure.gov.au/infrastructure-transport-vehicles/infrastructure-investment-project-delivery/national-guidelines-infrastructure-project-delivery</vt:lpwstr>
      </vt:variant>
      <vt:variant>
        <vt:lpwstr/>
      </vt:variant>
      <vt:variant>
        <vt:i4>4128877</vt:i4>
      </vt:variant>
      <vt:variant>
        <vt:i4>1176</vt:i4>
      </vt:variant>
      <vt:variant>
        <vt:i4>0</vt:i4>
      </vt:variant>
      <vt:variant>
        <vt:i4>5</vt:i4>
      </vt:variant>
      <vt:variant>
        <vt:lpwstr>https://www.dtf.vic.gov.au/stage-2-procurement/whole-life-procurement-category</vt:lpwstr>
      </vt:variant>
      <vt:variant>
        <vt:lpwstr/>
      </vt:variant>
      <vt:variant>
        <vt:i4>7078012</vt:i4>
      </vt:variant>
      <vt:variant>
        <vt:i4>1170</vt:i4>
      </vt:variant>
      <vt:variant>
        <vt:i4>0</vt:i4>
      </vt:variant>
      <vt:variant>
        <vt:i4>5</vt:i4>
      </vt:variant>
      <vt:variant>
        <vt:lpwstr>https://www.infrastructure.gov.au/infrastructure-transport-vehicles/infrastructure-investment-project-delivery/national-guidelines-infrastructure-project-delivery</vt:lpwstr>
      </vt:variant>
      <vt:variant>
        <vt:lpwstr/>
      </vt:variant>
      <vt:variant>
        <vt:i4>1179714</vt:i4>
      </vt:variant>
      <vt:variant>
        <vt:i4>1167</vt:i4>
      </vt:variant>
      <vt:variant>
        <vt:i4>0</vt:i4>
      </vt:variant>
      <vt:variant>
        <vt:i4>5</vt:i4>
      </vt:variant>
      <vt:variant>
        <vt:lpwstr>https://www.dtf.vic.gov.au/stage-2-procurement/cost-reimbursable-procurement-category</vt:lpwstr>
      </vt:variant>
      <vt:variant>
        <vt:lpwstr/>
      </vt:variant>
      <vt:variant>
        <vt:i4>1179714</vt:i4>
      </vt:variant>
      <vt:variant>
        <vt:i4>1161</vt:i4>
      </vt:variant>
      <vt:variant>
        <vt:i4>0</vt:i4>
      </vt:variant>
      <vt:variant>
        <vt:i4>5</vt:i4>
      </vt:variant>
      <vt:variant>
        <vt:lpwstr>https://www.dtf.vic.gov.au/stage-2-procurement/cost-reimbursable-procurement-category</vt:lpwstr>
      </vt:variant>
      <vt:variant>
        <vt:lpwstr/>
      </vt:variant>
      <vt:variant>
        <vt:i4>1179714</vt:i4>
      </vt:variant>
      <vt:variant>
        <vt:i4>1158</vt:i4>
      </vt:variant>
      <vt:variant>
        <vt:i4>0</vt:i4>
      </vt:variant>
      <vt:variant>
        <vt:i4>5</vt:i4>
      </vt:variant>
      <vt:variant>
        <vt:lpwstr>https://www.dtf.vic.gov.au/stage-2-procurement/cost-reimbursable-procurement-category</vt:lpwstr>
      </vt:variant>
      <vt:variant>
        <vt:lpwstr/>
      </vt:variant>
      <vt:variant>
        <vt:i4>1179714</vt:i4>
      </vt:variant>
      <vt:variant>
        <vt:i4>1152</vt:i4>
      </vt:variant>
      <vt:variant>
        <vt:i4>0</vt:i4>
      </vt:variant>
      <vt:variant>
        <vt:i4>5</vt:i4>
      </vt:variant>
      <vt:variant>
        <vt:lpwstr>https://www.dtf.vic.gov.au/stage-2-procurement/cost-reimbursable-procurement-category</vt:lpwstr>
      </vt:variant>
      <vt:variant>
        <vt:lpwstr/>
      </vt:variant>
      <vt:variant>
        <vt:i4>1114195</vt:i4>
      </vt:variant>
      <vt:variant>
        <vt:i4>1143</vt:i4>
      </vt:variant>
      <vt:variant>
        <vt:i4>0</vt:i4>
      </vt:variant>
      <vt:variant>
        <vt:i4>5</vt:i4>
      </vt:variant>
      <vt:variant>
        <vt:lpwstr>https://www.dtf.vic.gov.au/stage-2-procurement/lump-sum-procurement-category</vt:lpwstr>
      </vt:variant>
      <vt:variant>
        <vt:lpwstr/>
      </vt:variant>
      <vt:variant>
        <vt:i4>1114195</vt:i4>
      </vt:variant>
      <vt:variant>
        <vt:i4>1140</vt:i4>
      </vt:variant>
      <vt:variant>
        <vt:i4>0</vt:i4>
      </vt:variant>
      <vt:variant>
        <vt:i4>5</vt:i4>
      </vt:variant>
      <vt:variant>
        <vt:lpwstr>https://www.dtf.vic.gov.au/stage-2-procurement/lump-sum-procurement-category</vt:lpwstr>
      </vt:variant>
      <vt:variant>
        <vt:lpwstr/>
      </vt:variant>
      <vt:variant>
        <vt:i4>2162798</vt:i4>
      </vt:variant>
      <vt:variant>
        <vt:i4>1134</vt:i4>
      </vt:variant>
      <vt:variant>
        <vt:i4>0</vt:i4>
      </vt:variant>
      <vt:variant>
        <vt:i4>5</vt:i4>
      </vt:variant>
      <vt:variant>
        <vt:lpwstr>https://www.dtf.vic.gov.au/practitioners-toolkit/practitioners-toolkit-document-library</vt:lpwstr>
      </vt:variant>
      <vt:variant>
        <vt:lpwstr/>
      </vt:variant>
      <vt:variant>
        <vt:i4>1114195</vt:i4>
      </vt:variant>
      <vt:variant>
        <vt:i4>1131</vt:i4>
      </vt:variant>
      <vt:variant>
        <vt:i4>0</vt:i4>
      </vt:variant>
      <vt:variant>
        <vt:i4>5</vt:i4>
      </vt:variant>
      <vt:variant>
        <vt:lpwstr>https://www.dtf.vic.gov.au/stage-2-procurement/lump-sum-procurement-category</vt:lpwstr>
      </vt:variant>
      <vt:variant>
        <vt:lpwstr/>
      </vt:variant>
      <vt:variant>
        <vt:i4>5505102</vt:i4>
      </vt:variant>
      <vt:variant>
        <vt:i4>1128</vt:i4>
      </vt:variant>
      <vt:variant>
        <vt:i4>0</vt:i4>
      </vt:variant>
      <vt:variant>
        <vt:i4>5</vt:i4>
      </vt:variant>
      <vt:variant>
        <vt:lpwstr>https://www.dtf.vic.gov.au/public-construction-policy-and-resources/practitioners-toolkit</vt:lpwstr>
      </vt:variant>
      <vt:variant>
        <vt:lpwstr/>
      </vt:variant>
      <vt:variant>
        <vt:i4>2162798</vt:i4>
      </vt:variant>
      <vt:variant>
        <vt:i4>1122</vt:i4>
      </vt:variant>
      <vt:variant>
        <vt:i4>0</vt:i4>
      </vt:variant>
      <vt:variant>
        <vt:i4>5</vt:i4>
      </vt:variant>
      <vt:variant>
        <vt:lpwstr>https://www.dtf.vic.gov.au/practitioners-toolkit/practitioners-toolkit-document-library</vt:lpwstr>
      </vt:variant>
      <vt:variant>
        <vt:lpwstr/>
      </vt:variant>
      <vt:variant>
        <vt:i4>1114195</vt:i4>
      </vt:variant>
      <vt:variant>
        <vt:i4>1119</vt:i4>
      </vt:variant>
      <vt:variant>
        <vt:i4>0</vt:i4>
      </vt:variant>
      <vt:variant>
        <vt:i4>5</vt:i4>
      </vt:variant>
      <vt:variant>
        <vt:lpwstr>https://www.dtf.vic.gov.au/stage-2-procurement/lump-sum-procurement-category</vt:lpwstr>
      </vt:variant>
      <vt:variant>
        <vt:lpwstr/>
      </vt:variant>
      <vt:variant>
        <vt:i4>2162798</vt:i4>
      </vt:variant>
      <vt:variant>
        <vt:i4>1116</vt:i4>
      </vt:variant>
      <vt:variant>
        <vt:i4>0</vt:i4>
      </vt:variant>
      <vt:variant>
        <vt:i4>5</vt:i4>
      </vt:variant>
      <vt:variant>
        <vt:lpwstr>https://www.dtf.vic.gov.au/practitioners-toolkit/practitioners-toolkit-document-library</vt:lpwstr>
      </vt:variant>
      <vt:variant>
        <vt:lpwstr/>
      </vt:variant>
      <vt:variant>
        <vt:i4>2162798</vt:i4>
      </vt:variant>
      <vt:variant>
        <vt:i4>1113</vt:i4>
      </vt:variant>
      <vt:variant>
        <vt:i4>0</vt:i4>
      </vt:variant>
      <vt:variant>
        <vt:i4>5</vt:i4>
      </vt:variant>
      <vt:variant>
        <vt:lpwstr>https://www.dtf.vic.gov.au/practitioners-toolkit/practitioners-toolkit-document-library</vt:lpwstr>
      </vt:variant>
      <vt:variant>
        <vt:lpwstr/>
      </vt:variant>
      <vt:variant>
        <vt:i4>2162798</vt:i4>
      </vt:variant>
      <vt:variant>
        <vt:i4>1110</vt:i4>
      </vt:variant>
      <vt:variant>
        <vt:i4>0</vt:i4>
      </vt:variant>
      <vt:variant>
        <vt:i4>5</vt:i4>
      </vt:variant>
      <vt:variant>
        <vt:lpwstr>https://www.dtf.vic.gov.au/practitioners-toolkit/practitioners-toolkit-document-library</vt:lpwstr>
      </vt:variant>
      <vt:variant>
        <vt:lpwstr/>
      </vt:variant>
      <vt:variant>
        <vt:i4>2228272</vt:i4>
      </vt:variant>
      <vt:variant>
        <vt:i4>1098</vt:i4>
      </vt:variant>
      <vt:variant>
        <vt:i4>0</vt:i4>
      </vt:variant>
      <vt:variant>
        <vt:i4>5</vt:i4>
      </vt:variant>
      <vt:variant>
        <vt:lpwstr>https://www.dtf.vic.gov.au/investment-lifecycle-and-high-value-high-risk-guidelines/procurement</vt:lpwstr>
      </vt:variant>
      <vt:variant>
        <vt:lpwstr/>
      </vt:variant>
      <vt:variant>
        <vt:i4>4259858</vt:i4>
      </vt:variant>
      <vt:variant>
        <vt:i4>1092</vt:i4>
      </vt:variant>
      <vt:variant>
        <vt:i4>0</vt:i4>
      </vt:variant>
      <vt:variant>
        <vt:i4>5</vt:i4>
      </vt:variant>
      <vt:variant>
        <vt:lpwstr>https://www.dtf.vic.gov.au/investment-lifecycle-and-high-value-high-risk-guidelines/stage-3-delivery</vt:lpwstr>
      </vt:variant>
      <vt:variant>
        <vt:lpwstr/>
      </vt:variant>
      <vt:variant>
        <vt:i4>589904</vt:i4>
      </vt:variant>
      <vt:variant>
        <vt:i4>1089</vt:i4>
      </vt:variant>
      <vt:variant>
        <vt:i4>0</vt:i4>
      </vt:variant>
      <vt:variant>
        <vt:i4>5</vt:i4>
      </vt:variant>
      <vt:variant>
        <vt:lpwstr>https://austroads.com.au/publications/project-delivery/ap-r624-20</vt:lpwstr>
      </vt:variant>
      <vt:variant>
        <vt:lpwstr/>
      </vt:variant>
      <vt:variant>
        <vt:i4>7471136</vt:i4>
      </vt:variant>
      <vt:variant>
        <vt:i4>1086</vt:i4>
      </vt:variant>
      <vt:variant>
        <vt:i4>0</vt:i4>
      </vt:variant>
      <vt:variant>
        <vt:i4>5</vt:i4>
      </vt:variant>
      <vt:variant>
        <vt:lpwstr>https://www.eprints.qut.edu.au/230705/</vt:lpwstr>
      </vt:variant>
      <vt:variant>
        <vt:lpwstr/>
      </vt:variant>
      <vt:variant>
        <vt:i4>6750325</vt:i4>
      </vt:variant>
      <vt:variant>
        <vt:i4>990</vt:i4>
      </vt:variant>
      <vt:variant>
        <vt:i4>0</vt:i4>
      </vt:variant>
      <vt:variant>
        <vt:i4>5</vt:i4>
      </vt:variant>
      <vt:variant>
        <vt:lpwstr>https://www.dtf.vic.gov.au/infrastructure-investment/high-value-high-risk-framework</vt:lpwstr>
      </vt:variant>
      <vt:variant>
        <vt:lpwstr/>
      </vt:variant>
      <vt:variant>
        <vt:i4>7864431</vt:i4>
      </vt:variant>
      <vt:variant>
        <vt:i4>984</vt:i4>
      </vt:variant>
      <vt:variant>
        <vt:i4>0</vt:i4>
      </vt:variant>
      <vt:variant>
        <vt:i4>5</vt:i4>
      </vt:variant>
      <vt:variant>
        <vt:lpwstr>https://www.dtf.vic.gov.au/infrastructure-investment/gateway-review-process</vt:lpwstr>
      </vt:variant>
      <vt:variant>
        <vt:lpwstr/>
      </vt:variant>
      <vt:variant>
        <vt:i4>7864431</vt:i4>
      </vt:variant>
      <vt:variant>
        <vt:i4>981</vt:i4>
      </vt:variant>
      <vt:variant>
        <vt:i4>0</vt:i4>
      </vt:variant>
      <vt:variant>
        <vt:i4>5</vt:i4>
      </vt:variant>
      <vt:variant>
        <vt:lpwstr>https://www.dtf.vic.gov.au/infrastructure-investment/gateway-review-process</vt:lpwstr>
      </vt:variant>
      <vt:variant>
        <vt:lpwstr/>
      </vt:variant>
      <vt:variant>
        <vt:i4>6750325</vt:i4>
      </vt:variant>
      <vt:variant>
        <vt:i4>969</vt:i4>
      </vt:variant>
      <vt:variant>
        <vt:i4>0</vt:i4>
      </vt:variant>
      <vt:variant>
        <vt:i4>5</vt:i4>
      </vt:variant>
      <vt:variant>
        <vt:lpwstr>https://www.dtf.vic.gov.au/infrastructure-investment/high-value-high-risk-framework</vt:lpwstr>
      </vt:variant>
      <vt:variant>
        <vt:lpwstr/>
      </vt:variant>
      <vt:variant>
        <vt:i4>1179714</vt:i4>
      </vt:variant>
      <vt:variant>
        <vt:i4>966</vt:i4>
      </vt:variant>
      <vt:variant>
        <vt:i4>0</vt:i4>
      </vt:variant>
      <vt:variant>
        <vt:i4>5</vt:i4>
      </vt:variant>
      <vt:variant>
        <vt:lpwstr>https://www.dtf.vic.gov.au/stage-2-procurement/cost-reimbursable-procurement-category</vt:lpwstr>
      </vt:variant>
      <vt:variant>
        <vt:lpwstr/>
      </vt:variant>
      <vt:variant>
        <vt:i4>4128877</vt:i4>
      </vt:variant>
      <vt:variant>
        <vt:i4>963</vt:i4>
      </vt:variant>
      <vt:variant>
        <vt:i4>0</vt:i4>
      </vt:variant>
      <vt:variant>
        <vt:i4>5</vt:i4>
      </vt:variant>
      <vt:variant>
        <vt:lpwstr>https://www.dtf.vic.gov.au/stage-2-procurement/whole-life-procurement-category</vt:lpwstr>
      </vt:variant>
      <vt:variant>
        <vt:lpwstr/>
      </vt:variant>
      <vt:variant>
        <vt:i4>6750325</vt:i4>
      </vt:variant>
      <vt:variant>
        <vt:i4>960</vt:i4>
      </vt:variant>
      <vt:variant>
        <vt:i4>0</vt:i4>
      </vt:variant>
      <vt:variant>
        <vt:i4>5</vt:i4>
      </vt:variant>
      <vt:variant>
        <vt:lpwstr>https://www.dtf.vic.gov.au/infrastructure-investment/high-value-high-risk-framework</vt:lpwstr>
      </vt:variant>
      <vt:variant>
        <vt:lpwstr/>
      </vt:variant>
      <vt:variant>
        <vt:i4>6750252</vt:i4>
      </vt:variant>
      <vt:variant>
        <vt:i4>951</vt:i4>
      </vt:variant>
      <vt:variant>
        <vt:i4>0</vt:i4>
      </vt:variant>
      <vt:variant>
        <vt:i4>5</vt:i4>
      </vt:variant>
      <vt:variant>
        <vt:lpwstr>https://www.vic.gov.au/value-creation-and-capture-framework</vt:lpwstr>
      </vt:variant>
      <vt:variant>
        <vt:lpwstr/>
      </vt:variant>
      <vt:variant>
        <vt:i4>2097207</vt:i4>
      </vt:variant>
      <vt:variant>
        <vt:i4>948</vt:i4>
      </vt:variant>
      <vt:variant>
        <vt:i4>0</vt:i4>
      </vt:variant>
      <vt:variant>
        <vt:i4>5</vt:i4>
      </vt:variant>
      <vt:variant>
        <vt:lpwstr>https://www.buyingfor.vic.gov.au/supplier-code-conduct</vt:lpwstr>
      </vt:variant>
      <vt:variant>
        <vt:lpwstr/>
      </vt:variant>
      <vt:variant>
        <vt:i4>655378</vt:i4>
      </vt:variant>
      <vt:variant>
        <vt:i4>945</vt:i4>
      </vt:variant>
      <vt:variant>
        <vt:i4>0</vt:i4>
      </vt:variant>
      <vt:variant>
        <vt:i4>5</vt:i4>
      </vt:variant>
      <vt:variant>
        <vt:lpwstr>https://www.buyingfor.vic.gov.au/social-procurement-framework</vt:lpwstr>
      </vt:variant>
      <vt:variant>
        <vt:lpwstr/>
      </vt:variant>
      <vt:variant>
        <vt:i4>917587</vt:i4>
      </vt:variant>
      <vt:variant>
        <vt:i4>942</vt:i4>
      </vt:variant>
      <vt:variant>
        <vt:i4>0</vt:i4>
      </vt:variant>
      <vt:variant>
        <vt:i4>5</vt:i4>
      </vt:variant>
      <vt:variant>
        <vt:lpwstr>https://bigbuild.vic.gov.au/about/ecologiq/recycled-first-policy</vt:lpwstr>
      </vt:variant>
      <vt:variant>
        <vt:lpwstr/>
      </vt:variant>
      <vt:variant>
        <vt:i4>6488102</vt:i4>
      </vt:variant>
      <vt:variant>
        <vt:i4>939</vt:i4>
      </vt:variant>
      <vt:variant>
        <vt:i4>0</vt:i4>
      </vt:variant>
      <vt:variant>
        <vt:i4>5</vt:i4>
      </vt:variant>
      <vt:variant>
        <vt:lpwstr>https://ovic.vic.gov.au/information-security/standards/</vt:lpwstr>
      </vt:variant>
      <vt:variant>
        <vt:lpwstr/>
      </vt:variant>
      <vt:variant>
        <vt:i4>2228326</vt:i4>
      </vt:variant>
      <vt:variant>
        <vt:i4>936</vt:i4>
      </vt:variant>
      <vt:variant>
        <vt:i4>0</vt:i4>
      </vt:variant>
      <vt:variant>
        <vt:i4>5</vt:i4>
      </vt:variant>
      <vt:variant>
        <vt:lpwstr>https://www.legislation.vic.gov.au/in-force/acts/local-jobs-first-act-2003/007</vt:lpwstr>
      </vt:variant>
      <vt:variant>
        <vt:lpwstr/>
      </vt:variant>
      <vt:variant>
        <vt:i4>262149</vt:i4>
      </vt:variant>
      <vt:variant>
        <vt:i4>933</vt:i4>
      </vt:variant>
      <vt:variant>
        <vt:i4>0</vt:i4>
      </vt:variant>
      <vt:variant>
        <vt:i4>5</vt:i4>
      </vt:variant>
      <vt:variant>
        <vt:lpwstr>https://www.legislation.vic.gov.au/as-made/acts/gender-equality-act-2020</vt:lpwstr>
      </vt:variant>
      <vt:variant>
        <vt:lpwstr/>
      </vt:variant>
      <vt:variant>
        <vt:i4>4915292</vt:i4>
      </vt:variant>
      <vt:variant>
        <vt:i4>930</vt:i4>
      </vt:variant>
      <vt:variant>
        <vt:i4>0</vt:i4>
      </vt:variant>
      <vt:variant>
        <vt:i4>5</vt:i4>
      </vt:variant>
      <vt:variant>
        <vt:lpwstr>https://www.dtf.vic.gov.au/investment-lifecycle-and-high-value-high-risk-guidelines/stage-1-business-case</vt:lpwstr>
      </vt:variant>
      <vt:variant>
        <vt:lpwstr/>
      </vt:variant>
      <vt:variant>
        <vt:i4>4980818</vt:i4>
      </vt:variant>
      <vt:variant>
        <vt:i4>927</vt:i4>
      </vt:variant>
      <vt:variant>
        <vt:i4>0</vt:i4>
      </vt:variant>
      <vt:variant>
        <vt:i4>5</vt:i4>
      </vt:variant>
      <vt:variant>
        <vt:lpwstr>https://www.data.vic.gov.au/datavic-access-policy</vt:lpwstr>
      </vt:variant>
      <vt:variant>
        <vt:lpwstr/>
      </vt:variant>
      <vt:variant>
        <vt:i4>8323110</vt:i4>
      </vt:variant>
      <vt:variant>
        <vt:i4>924</vt:i4>
      </vt:variant>
      <vt:variant>
        <vt:i4>0</vt:i4>
      </vt:variant>
      <vt:variant>
        <vt:i4>5</vt:i4>
      </vt:variant>
      <vt:variant>
        <vt:lpwstr>https://www.buyingfor.vic.gov.au/building-equality-policy-0</vt:lpwstr>
      </vt:variant>
      <vt:variant>
        <vt:lpwstr/>
      </vt:variant>
      <vt:variant>
        <vt:i4>6488169</vt:i4>
      </vt:variant>
      <vt:variant>
        <vt:i4>921</vt:i4>
      </vt:variant>
      <vt:variant>
        <vt:i4>0</vt:i4>
      </vt:variant>
      <vt:variant>
        <vt:i4>5</vt:i4>
      </vt:variant>
      <vt:variant>
        <vt:lpwstr>https://www.legislation.gov.au/C2004A00109/2010-04-15/text</vt:lpwstr>
      </vt:variant>
      <vt:variant>
        <vt:lpwstr/>
      </vt:variant>
      <vt:variant>
        <vt:i4>4980764</vt:i4>
      </vt:variant>
      <vt:variant>
        <vt:i4>918</vt:i4>
      </vt:variant>
      <vt:variant>
        <vt:i4>0</vt:i4>
      </vt:variant>
      <vt:variant>
        <vt:i4>5</vt:i4>
      </vt:variant>
      <vt:variant>
        <vt:lpwstr>https://www.dtf.vic.gov.au/ministerial-directions-and-instructions-public-construction-procurement/compliance-policy-requirements-attachment-2-instruction-72</vt:lpwstr>
      </vt:variant>
      <vt:variant>
        <vt:lpwstr/>
      </vt:variant>
      <vt:variant>
        <vt:i4>852006</vt:i4>
      </vt:variant>
      <vt:variant>
        <vt:i4>915</vt:i4>
      </vt:variant>
      <vt:variant>
        <vt:i4>0</vt:i4>
      </vt:variant>
      <vt:variant>
        <vt:i4>5</vt:i4>
      </vt:variant>
      <vt:variant>
        <vt:lpwstr>https://djpr.vic.gov.au/__data/assets/pdf_file/0003/1955730/Victorian-Government-Fair-Payments-Policy.pdf</vt:lpwstr>
      </vt:variant>
      <vt:variant>
        <vt:lpwstr/>
      </vt:variant>
      <vt:variant>
        <vt:i4>1835074</vt:i4>
      </vt:variant>
      <vt:variant>
        <vt:i4>912</vt:i4>
      </vt:variant>
      <vt:variant>
        <vt:i4>0</vt:i4>
      </vt:variant>
      <vt:variant>
        <vt:i4>5</vt:i4>
      </vt:variant>
      <vt:variant>
        <vt:lpwstr>https://www.buyingfor.vic.gov.au/fair-jobs-code-suppliers-and-businesses</vt:lpwstr>
      </vt:variant>
      <vt:variant>
        <vt:lpwstr/>
      </vt:variant>
      <vt:variant>
        <vt:i4>4980743</vt:i4>
      </vt:variant>
      <vt:variant>
        <vt:i4>909</vt:i4>
      </vt:variant>
      <vt:variant>
        <vt:i4>0</vt:i4>
      </vt:variant>
      <vt:variant>
        <vt:i4>5</vt:i4>
      </vt:variant>
      <vt:variant>
        <vt:lpwstr>https://www.legislation.vic.gov.au/in-force/acts/building-and-construction-industry-security-payment-act-2002/013</vt:lpwstr>
      </vt:variant>
      <vt:variant>
        <vt:lpwstr/>
      </vt:variant>
      <vt:variant>
        <vt:i4>3997715</vt:i4>
      </vt:variant>
      <vt:variant>
        <vt:i4>906</vt:i4>
      </vt:variant>
      <vt:variant>
        <vt:i4>0</vt:i4>
      </vt:variant>
      <vt:variant>
        <vt:i4>5</vt:i4>
      </vt:variant>
      <vt:variant>
        <vt:lpwstr>https://www.vba.vic.gov.au/__data/assets/pdf_file/0019/134290/Advisory-note-Prohibition-of-High-Risk-Cladding.pdf</vt:lpwstr>
      </vt:variant>
      <vt:variant>
        <vt:lpwstr/>
      </vt:variant>
      <vt:variant>
        <vt:i4>983118</vt:i4>
      </vt:variant>
      <vt:variant>
        <vt:i4>903</vt:i4>
      </vt:variant>
      <vt:variant>
        <vt:i4>0</vt:i4>
      </vt:variant>
      <vt:variant>
        <vt:i4>5</vt:i4>
      </vt:variant>
      <vt:variant>
        <vt:lpwstr>https://www.legislation.vic.gov.au/as-made/acts/professional-engineers-registration-act-2019</vt:lpwstr>
      </vt:variant>
      <vt:variant>
        <vt:lpwstr/>
      </vt:variant>
      <vt:variant>
        <vt:i4>5439567</vt:i4>
      </vt:variant>
      <vt:variant>
        <vt:i4>900</vt:i4>
      </vt:variant>
      <vt:variant>
        <vt:i4>0</vt:i4>
      </vt:variant>
      <vt:variant>
        <vt:i4>5</vt:i4>
      </vt:variant>
      <vt:variant>
        <vt:lpwstr>https://www.legislation.vic.gov.au/in-force/acts/occupational-health-and-safety-act-2004/043</vt:lpwstr>
      </vt:variant>
      <vt:variant>
        <vt:lpwstr/>
      </vt:variant>
      <vt:variant>
        <vt:i4>196693</vt:i4>
      </vt:variant>
      <vt:variant>
        <vt:i4>897</vt:i4>
      </vt:variant>
      <vt:variant>
        <vt:i4>0</vt:i4>
      </vt:variant>
      <vt:variant>
        <vt:i4>5</vt:i4>
      </vt:variant>
      <vt:variant>
        <vt:lpwstr>https://ncc.abcb.gov.au/</vt:lpwstr>
      </vt:variant>
      <vt:variant>
        <vt:lpwstr/>
      </vt:variant>
      <vt:variant>
        <vt:i4>327768</vt:i4>
      </vt:variant>
      <vt:variant>
        <vt:i4>894</vt:i4>
      </vt:variant>
      <vt:variant>
        <vt:i4>0</vt:i4>
      </vt:variant>
      <vt:variant>
        <vt:i4>5</vt:i4>
      </vt:variant>
      <vt:variant>
        <vt:lpwstr>https://www.legislation.vic.gov.au/in-force/statutory-rules/building-regulations-2018/023</vt:lpwstr>
      </vt:variant>
      <vt:variant>
        <vt:lpwstr/>
      </vt:variant>
      <vt:variant>
        <vt:i4>7864359</vt:i4>
      </vt:variant>
      <vt:variant>
        <vt:i4>891</vt:i4>
      </vt:variant>
      <vt:variant>
        <vt:i4>0</vt:i4>
      </vt:variant>
      <vt:variant>
        <vt:i4>5</vt:i4>
      </vt:variant>
      <vt:variant>
        <vt:lpwstr>https://www.legislation.vic.gov.au/in-force/acts/building-act-1993/138</vt:lpwstr>
      </vt:variant>
      <vt:variant>
        <vt:lpwstr/>
      </vt:variant>
      <vt:variant>
        <vt:i4>6291583</vt:i4>
      </vt:variant>
      <vt:variant>
        <vt:i4>888</vt:i4>
      </vt:variant>
      <vt:variant>
        <vt:i4>0</vt:i4>
      </vt:variant>
      <vt:variant>
        <vt:i4>5</vt:i4>
      </vt:variant>
      <vt:variant>
        <vt:lpwstr>https://www.fsc.gov.au/scheme-accreditation</vt:lpwstr>
      </vt:variant>
      <vt:variant>
        <vt:lpwstr/>
      </vt:variant>
      <vt:variant>
        <vt:i4>2687024</vt:i4>
      </vt:variant>
      <vt:variant>
        <vt:i4>885</vt:i4>
      </vt:variant>
      <vt:variant>
        <vt:i4>0</vt:i4>
      </vt:variant>
      <vt:variant>
        <vt:i4>5</vt:i4>
      </vt:variant>
      <vt:variant>
        <vt:lpwstr>https://www.buyingfor.vic.gov.au/victorian-government-purchasing-board-vgpb</vt:lpwstr>
      </vt:variant>
      <vt:variant>
        <vt:lpwstr/>
      </vt:variant>
      <vt:variant>
        <vt:i4>3801176</vt:i4>
      </vt:variant>
      <vt:variant>
        <vt:i4>882</vt:i4>
      </vt:variant>
      <vt:variant>
        <vt:i4>0</vt:i4>
      </vt:variant>
      <vt:variant>
        <vt:i4>5</vt:i4>
      </vt:variant>
      <vt:variant>
        <vt:lpwstr>https://www.infrastructure.gov.au/infrastructure-transport-vehicles/infrastructure-investment-project-delivery/national-guidelines-infrastructure-project-delivery</vt:lpwstr>
      </vt:variant>
      <vt:variant>
        <vt:lpwstr>anc_public-private</vt:lpwstr>
      </vt:variant>
      <vt:variant>
        <vt:i4>5439601</vt:i4>
      </vt:variant>
      <vt:variant>
        <vt:i4>879</vt:i4>
      </vt:variant>
      <vt:variant>
        <vt:i4>0</vt:i4>
      </vt:variant>
      <vt:variant>
        <vt:i4>5</vt:i4>
      </vt:variant>
      <vt:variant>
        <vt:lpwstr>https://www.infrastructure.gov.au/infrastructure-transport-vehicles/infrastructure-investment-project-delivery/national-guidelines-infrastructure-project-delivery</vt:lpwstr>
      </vt:variant>
      <vt:variant>
        <vt:lpwstr>anc_alliance</vt:lpwstr>
      </vt:variant>
      <vt:variant>
        <vt:i4>4325405</vt:i4>
      </vt:variant>
      <vt:variant>
        <vt:i4>876</vt:i4>
      </vt:variant>
      <vt:variant>
        <vt:i4>0</vt:i4>
      </vt:variant>
      <vt:variant>
        <vt:i4>5</vt:i4>
      </vt:variant>
      <vt:variant>
        <vt:lpwstr>https://www.dtf.vic.gov.au/ministerial-directions-and-instructions-public-construction-procurement/complying-international-agreements-direction-21-and-instructions-21-and-22</vt:lpwstr>
      </vt:variant>
      <vt:variant>
        <vt:lpwstr/>
      </vt:variant>
      <vt:variant>
        <vt:i4>3407979</vt:i4>
      </vt:variant>
      <vt:variant>
        <vt:i4>873</vt:i4>
      </vt:variant>
      <vt:variant>
        <vt:i4>0</vt:i4>
      </vt:variant>
      <vt:variant>
        <vt:i4>5</vt:i4>
      </vt:variant>
      <vt:variant>
        <vt:lpwstr>https://www.dtf.vic.gov.au/public-construction-policy-and-resources/ministerial-directions-and-instructions-public-construction-procurement</vt:lpwstr>
      </vt:variant>
      <vt:variant>
        <vt:lpwstr/>
      </vt:variant>
      <vt:variant>
        <vt:i4>3407976</vt:i4>
      </vt:variant>
      <vt:variant>
        <vt:i4>870</vt:i4>
      </vt:variant>
      <vt:variant>
        <vt:i4>0</vt:i4>
      </vt:variant>
      <vt:variant>
        <vt:i4>5</vt:i4>
      </vt:variant>
      <vt:variant>
        <vt:lpwstr>https://www.legislation.vic.gov.au/in-force/acts/transfer-land-act-1958/182</vt:lpwstr>
      </vt:variant>
      <vt:variant>
        <vt:lpwstr/>
      </vt:variant>
      <vt:variant>
        <vt:i4>7536673</vt:i4>
      </vt:variant>
      <vt:variant>
        <vt:i4>867</vt:i4>
      </vt:variant>
      <vt:variant>
        <vt:i4>0</vt:i4>
      </vt:variant>
      <vt:variant>
        <vt:i4>5</vt:i4>
      </vt:variant>
      <vt:variant>
        <vt:lpwstr>https://www.legislation.vic.gov.au/in-force/acts/traditional-owner-settlement-act-2010/025</vt:lpwstr>
      </vt:variant>
      <vt:variant>
        <vt:lpwstr/>
      </vt:variant>
      <vt:variant>
        <vt:i4>262168</vt:i4>
      </vt:variant>
      <vt:variant>
        <vt:i4>864</vt:i4>
      </vt:variant>
      <vt:variant>
        <vt:i4>0</vt:i4>
      </vt:variant>
      <vt:variant>
        <vt:i4>5</vt:i4>
      </vt:variant>
      <vt:variant>
        <vt:lpwstr>https://www.legislation.vic.gov.au/in-force/acts/subdivision-act-1988/081</vt:lpwstr>
      </vt:variant>
      <vt:variant>
        <vt:lpwstr/>
      </vt:variant>
      <vt:variant>
        <vt:i4>2424942</vt:i4>
      </vt:variant>
      <vt:variant>
        <vt:i4>861</vt:i4>
      </vt:variant>
      <vt:variant>
        <vt:i4>0</vt:i4>
      </vt:variant>
      <vt:variant>
        <vt:i4>5</vt:i4>
      </vt:variant>
      <vt:variant>
        <vt:lpwstr>https://www.legislation.vic.gov.au/in-force/acts/sale-land-act-1962/168</vt:lpwstr>
      </vt:variant>
      <vt:variant>
        <vt:lpwstr/>
      </vt:variant>
      <vt:variant>
        <vt:i4>7864383</vt:i4>
      </vt:variant>
      <vt:variant>
        <vt:i4>858</vt:i4>
      </vt:variant>
      <vt:variant>
        <vt:i4>0</vt:i4>
      </vt:variant>
      <vt:variant>
        <vt:i4>5</vt:i4>
      </vt:variant>
      <vt:variant>
        <vt:lpwstr>https://www.legislation.vic.gov.au/in-force/acts/land-act-1958/150</vt:lpwstr>
      </vt:variant>
      <vt:variant>
        <vt:lpwstr/>
      </vt:variant>
      <vt:variant>
        <vt:i4>6160473</vt:i4>
      </vt:variant>
      <vt:variant>
        <vt:i4>855</vt:i4>
      </vt:variant>
      <vt:variant>
        <vt:i4>0</vt:i4>
      </vt:variant>
      <vt:variant>
        <vt:i4>5</vt:i4>
      </vt:variant>
      <vt:variant>
        <vt:lpwstr>https://www.legislation.vic.gov.au/in-force/acts/crown-land-reserves-act-1978/130</vt:lpwstr>
      </vt:variant>
      <vt:variant>
        <vt:lpwstr/>
      </vt:variant>
      <vt:variant>
        <vt:i4>4653147</vt:i4>
      </vt:variant>
      <vt:variant>
        <vt:i4>852</vt:i4>
      </vt:variant>
      <vt:variant>
        <vt:i4>0</vt:i4>
      </vt:variant>
      <vt:variant>
        <vt:i4>5</vt:i4>
      </vt:variant>
      <vt:variant>
        <vt:lpwstr>https://www.legislation.vic.gov.au/in-force/acts/victorian-civil-and-administrative-tribunal-act-1998/137</vt:lpwstr>
      </vt:variant>
      <vt:variant>
        <vt:lpwstr/>
      </vt:variant>
      <vt:variant>
        <vt:i4>7405616</vt:i4>
      </vt:variant>
      <vt:variant>
        <vt:i4>849</vt:i4>
      </vt:variant>
      <vt:variant>
        <vt:i4>0</vt:i4>
      </vt:variant>
      <vt:variant>
        <vt:i4>5</vt:i4>
      </vt:variant>
      <vt:variant>
        <vt:lpwstr>https://www.legislation.vic.gov.au/in-force/acts/heritage-act-2017/005</vt:lpwstr>
      </vt:variant>
      <vt:variant>
        <vt:lpwstr/>
      </vt:variant>
      <vt:variant>
        <vt:i4>5832728</vt:i4>
      </vt:variant>
      <vt:variant>
        <vt:i4>846</vt:i4>
      </vt:variant>
      <vt:variant>
        <vt:i4>0</vt:i4>
      </vt:variant>
      <vt:variant>
        <vt:i4>5</vt:i4>
      </vt:variant>
      <vt:variant>
        <vt:lpwstr>https://www.legislation.vic.gov.au/in-force/acts/aboriginal-heritage-act-2006/027</vt:lpwstr>
      </vt:variant>
      <vt:variant>
        <vt:lpwstr/>
      </vt:variant>
      <vt:variant>
        <vt:i4>1704018</vt:i4>
      </vt:variant>
      <vt:variant>
        <vt:i4>843</vt:i4>
      </vt:variant>
      <vt:variant>
        <vt:i4>0</vt:i4>
      </vt:variant>
      <vt:variant>
        <vt:i4>5</vt:i4>
      </vt:variant>
      <vt:variant>
        <vt:lpwstr>https://www.legislation.vic.gov.au/in-force/acts/environment-effects-act-1978/026</vt:lpwstr>
      </vt:variant>
      <vt:variant>
        <vt:lpwstr/>
      </vt:variant>
      <vt:variant>
        <vt:i4>3211318</vt:i4>
      </vt:variant>
      <vt:variant>
        <vt:i4>840</vt:i4>
      </vt:variant>
      <vt:variant>
        <vt:i4>0</vt:i4>
      </vt:variant>
      <vt:variant>
        <vt:i4>5</vt:i4>
      </vt:variant>
      <vt:variant>
        <vt:lpwstr>https://www.legislation.gov.au/C2004A00485/latest/versions</vt:lpwstr>
      </vt:variant>
      <vt:variant>
        <vt:lpwstr/>
      </vt:variant>
      <vt:variant>
        <vt:i4>6553632</vt:i4>
      </vt:variant>
      <vt:variant>
        <vt:i4>837</vt:i4>
      </vt:variant>
      <vt:variant>
        <vt:i4>0</vt:i4>
      </vt:variant>
      <vt:variant>
        <vt:i4>5</vt:i4>
      </vt:variant>
      <vt:variant>
        <vt:lpwstr>https://www.legislation.vic.gov.au/in-force/acts/planning-and-environment-act-1987/155</vt:lpwstr>
      </vt:variant>
      <vt:variant>
        <vt:lpwstr/>
      </vt:variant>
      <vt:variant>
        <vt:i4>2031619</vt:i4>
      </vt:variant>
      <vt:variant>
        <vt:i4>834</vt:i4>
      </vt:variant>
      <vt:variant>
        <vt:i4>0</vt:i4>
      </vt:variant>
      <vt:variant>
        <vt:i4>5</vt:i4>
      </vt:variant>
      <vt:variant>
        <vt:lpwstr>https://www.legislation.vic.gov.au/in-force/acts/climate-change-act-2017/009</vt:lpwstr>
      </vt:variant>
      <vt:variant>
        <vt:lpwstr/>
      </vt:variant>
      <vt:variant>
        <vt:i4>7864359</vt:i4>
      </vt:variant>
      <vt:variant>
        <vt:i4>831</vt:i4>
      </vt:variant>
      <vt:variant>
        <vt:i4>0</vt:i4>
      </vt:variant>
      <vt:variant>
        <vt:i4>5</vt:i4>
      </vt:variant>
      <vt:variant>
        <vt:lpwstr>https://www.legislation.vic.gov.au/in-force/acts/building-act-1993/138</vt:lpwstr>
      </vt:variant>
      <vt:variant>
        <vt:lpwstr/>
      </vt:variant>
      <vt:variant>
        <vt:i4>7733365</vt:i4>
      </vt:variant>
      <vt:variant>
        <vt:i4>819</vt:i4>
      </vt:variant>
      <vt:variant>
        <vt:i4>0</vt:i4>
      </vt:variant>
      <vt:variant>
        <vt:i4>5</vt:i4>
      </vt:variant>
      <vt:variant>
        <vt:lpwstr>https://www.legislation.vic.gov.au/in-force/acts/development-victoria-act-2003/033</vt:lpwstr>
      </vt:variant>
      <vt:variant>
        <vt:lpwstr/>
      </vt:variant>
      <vt:variant>
        <vt:i4>4063349</vt:i4>
      </vt:variant>
      <vt:variant>
        <vt:i4>816</vt:i4>
      </vt:variant>
      <vt:variant>
        <vt:i4>0</vt:i4>
      </vt:variant>
      <vt:variant>
        <vt:i4>5</vt:i4>
      </vt:variant>
      <vt:variant>
        <vt:lpwstr>https://www.legislation.vic.gov.au/in-force/acts/major-transport-projects-facilitation-act-2009/038</vt:lpwstr>
      </vt:variant>
      <vt:variant>
        <vt:lpwstr/>
      </vt:variant>
      <vt:variant>
        <vt:i4>4522070</vt:i4>
      </vt:variant>
      <vt:variant>
        <vt:i4>813</vt:i4>
      </vt:variant>
      <vt:variant>
        <vt:i4>0</vt:i4>
      </vt:variant>
      <vt:variant>
        <vt:i4>5</vt:i4>
      </vt:variant>
      <vt:variant>
        <vt:lpwstr>https://www.legislation.vic.gov.au/in-force/acts/project-development-and-construction-management-act-1994/046</vt:lpwstr>
      </vt:variant>
      <vt:variant>
        <vt:lpwstr/>
      </vt:variant>
      <vt:variant>
        <vt:i4>7078003</vt:i4>
      </vt:variant>
      <vt:variant>
        <vt:i4>810</vt:i4>
      </vt:variant>
      <vt:variant>
        <vt:i4>0</vt:i4>
      </vt:variant>
      <vt:variant>
        <vt:i4>5</vt:i4>
      </vt:variant>
      <vt:variant>
        <vt:lpwstr>https://www.legislation.vic.gov.au/in-force/acts/audit-act-1994/067</vt:lpwstr>
      </vt:variant>
      <vt:variant>
        <vt:lpwstr/>
      </vt:variant>
      <vt:variant>
        <vt:i4>3735652</vt:i4>
      </vt:variant>
      <vt:variant>
        <vt:i4>807</vt:i4>
      </vt:variant>
      <vt:variant>
        <vt:i4>0</vt:i4>
      </vt:variant>
      <vt:variant>
        <vt:i4>5</vt:i4>
      </vt:variant>
      <vt:variant>
        <vt:lpwstr>https://www.legislation.vic.gov.au/in-force/acts/public-administration-act-2004/086</vt:lpwstr>
      </vt:variant>
      <vt:variant>
        <vt:lpwstr/>
      </vt:variant>
      <vt:variant>
        <vt:i4>7667814</vt:i4>
      </vt:variant>
      <vt:variant>
        <vt:i4>804</vt:i4>
      </vt:variant>
      <vt:variant>
        <vt:i4>0</vt:i4>
      </vt:variant>
      <vt:variant>
        <vt:i4>5</vt:i4>
      </vt:variant>
      <vt:variant>
        <vt:lpwstr>https://www.legislation.vic.gov.au/in-force/acts/financial-management-act-1994/066</vt:lpwstr>
      </vt:variant>
      <vt:variant>
        <vt:lpwstr/>
      </vt:variant>
      <vt:variant>
        <vt:i4>5832735</vt:i4>
      </vt:variant>
      <vt:variant>
        <vt:i4>795</vt:i4>
      </vt:variant>
      <vt:variant>
        <vt:i4>0</vt:i4>
      </vt:variant>
      <vt:variant>
        <vt:i4>5</vt:i4>
      </vt:variant>
      <vt:variant>
        <vt:lpwstr>https://www.buyingfor.vic.gov.au/plan-probity</vt:lpwstr>
      </vt:variant>
      <vt:variant>
        <vt:lpwstr/>
      </vt:variant>
      <vt:variant>
        <vt:i4>1769483</vt:i4>
      </vt:variant>
      <vt:variant>
        <vt:i4>785</vt:i4>
      </vt:variant>
      <vt:variant>
        <vt:i4>0</vt:i4>
      </vt:variant>
      <vt:variant>
        <vt:i4>5</vt:i4>
      </vt:variant>
      <vt:variant>
        <vt:lpwstr>https://www.dtf.vic.gov.au/infrastructure-investment/public-construction-policy-and-resources</vt:lpwstr>
      </vt:variant>
      <vt:variant>
        <vt:lpwstr/>
      </vt:variant>
      <vt:variant>
        <vt:i4>1769483</vt:i4>
      </vt:variant>
      <vt:variant>
        <vt:i4>783</vt:i4>
      </vt:variant>
      <vt:variant>
        <vt:i4>0</vt:i4>
      </vt:variant>
      <vt:variant>
        <vt:i4>5</vt:i4>
      </vt:variant>
      <vt:variant>
        <vt:lpwstr>https://www.dtf.vic.gov.au/infrastructure-investment/public-construction-policy-and-resources</vt:lpwstr>
      </vt:variant>
      <vt:variant>
        <vt:lpwstr/>
      </vt:variant>
      <vt:variant>
        <vt:i4>1835121</vt:i4>
      </vt:variant>
      <vt:variant>
        <vt:i4>780</vt:i4>
      </vt:variant>
      <vt:variant>
        <vt:i4>0</vt:i4>
      </vt:variant>
      <vt:variant>
        <vt:i4>5</vt:i4>
      </vt:variant>
      <vt:variant>
        <vt:lpwstr>http://www8.austlii.edu.au/cgi-bin/viewdoc/au/legis/vic/consol_act/pdacma1994479/s3.html</vt:lpwstr>
      </vt:variant>
      <vt:variant>
        <vt:lpwstr/>
      </vt:variant>
      <vt:variant>
        <vt:i4>4915292</vt:i4>
      </vt:variant>
      <vt:variant>
        <vt:i4>753</vt:i4>
      </vt:variant>
      <vt:variant>
        <vt:i4>0</vt:i4>
      </vt:variant>
      <vt:variant>
        <vt:i4>5</vt:i4>
      </vt:variant>
      <vt:variant>
        <vt:lpwstr>https://www.dtf.vic.gov.au/investment-lifecycle-and-high-value-high-risk-guidelines/stage-1-business-case</vt:lpwstr>
      </vt:variant>
      <vt:variant>
        <vt:lpwstr/>
      </vt:variant>
      <vt:variant>
        <vt:i4>4915292</vt:i4>
      </vt:variant>
      <vt:variant>
        <vt:i4>750</vt:i4>
      </vt:variant>
      <vt:variant>
        <vt:i4>0</vt:i4>
      </vt:variant>
      <vt:variant>
        <vt:i4>5</vt:i4>
      </vt:variant>
      <vt:variant>
        <vt:lpwstr>https://www.dtf.vic.gov.au/investment-lifecycle-and-high-value-high-risk-guidelines/stage-1-business-case</vt:lpwstr>
      </vt:variant>
      <vt:variant>
        <vt:lpwstr/>
      </vt:variant>
      <vt:variant>
        <vt:i4>1769483</vt:i4>
      </vt:variant>
      <vt:variant>
        <vt:i4>740</vt:i4>
      </vt:variant>
      <vt:variant>
        <vt:i4>0</vt:i4>
      </vt:variant>
      <vt:variant>
        <vt:i4>5</vt:i4>
      </vt:variant>
      <vt:variant>
        <vt:lpwstr>https://www.dtf.vic.gov.au/infrastructure-investment/public-construction-policy-and-resources</vt:lpwstr>
      </vt:variant>
      <vt:variant>
        <vt:lpwstr/>
      </vt:variant>
      <vt:variant>
        <vt:i4>1769483</vt:i4>
      </vt:variant>
      <vt:variant>
        <vt:i4>738</vt:i4>
      </vt:variant>
      <vt:variant>
        <vt:i4>0</vt:i4>
      </vt:variant>
      <vt:variant>
        <vt:i4>5</vt:i4>
      </vt:variant>
      <vt:variant>
        <vt:lpwstr>https://www.dtf.vic.gov.au/infrastructure-investment/public-construction-policy-and-resources</vt:lpwstr>
      </vt:variant>
      <vt:variant>
        <vt:lpwstr/>
      </vt:variant>
      <vt:variant>
        <vt:i4>1835121</vt:i4>
      </vt:variant>
      <vt:variant>
        <vt:i4>735</vt:i4>
      </vt:variant>
      <vt:variant>
        <vt:i4>0</vt:i4>
      </vt:variant>
      <vt:variant>
        <vt:i4>5</vt:i4>
      </vt:variant>
      <vt:variant>
        <vt:lpwstr>http://www8.austlii.edu.au/cgi-bin/viewdoc/au/legis/vic/consol_act/pdacma1994479/s3.html</vt:lpwstr>
      </vt:variant>
      <vt:variant>
        <vt:lpwstr/>
      </vt:variant>
      <vt:variant>
        <vt:i4>4915292</vt:i4>
      </vt:variant>
      <vt:variant>
        <vt:i4>729</vt:i4>
      </vt:variant>
      <vt:variant>
        <vt:i4>0</vt:i4>
      </vt:variant>
      <vt:variant>
        <vt:i4>5</vt:i4>
      </vt:variant>
      <vt:variant>
        <vt:lpwstr>https://www.dtf.vic.gov.au/investment-lifecycle-and-high-value-high-risk-guidelines/stage-1-business-case</vt:lpwstr>
      </vt:variant>
      <vt:variant>
        <vt:lpwstr/>
      </vt:variant>
      <vt:variant>
        <vt:i4>1769523</vt:i4>
      </vt:variant>
      <vt:variant>
        <vt:i4>707</vt:i4>
      </vt:variant>
      <vt:variant>
        <vt:i4>0</vt:i4>
      </vt:variant>
      <vt:variant>
        <vt:i4>5</vt:i4>
      </vt:variant>
      <vt:variant>
        <vt:lpwstr/>
      </vt:variant>
      <vt:variant>
        <vt:lpwstr>_Toc160457795</vt:lpwstr>
      </vt:variant>
      <vt:variant>
        <vt:i4>1769523</vt:i4>
      </vt:variant>
      <vt:variant>
        <vt:i4>701</vt:i4>
      </vt:variant>
      <vt:variant>
        <vt:i4>0</vt:i4>
      </vt:variant>
      <vt:variant>
        <vt:i4>5</vt:i4>
      </vt:variant>
      <vt:variant>
        <vt:lpwstr/>
      </vt:variant>
      <vt:variant>
        <vt:lpwstr>_Toc160457794</vt:lpwstr>
      </vt:variant>
      <vt:variant>
        <vt:i4>1769523</vt:i4>
      </vt:variant>
      <vt:variant>
        <vt:i4>695</vt:i4>
      </vt:variant>
      <vt:variant>
        <vt:i4>0</vt:i4>
      </vt:variant>
      <vt:variant>
        <vt:i4>5</vt:i4>
      </vt:variant>
      <vt:variant>
        <vt:lpwstr/>
      </vt:variant>
      <vt:variant>
        <vt:lpwstr>_Toc160457793</vt:lpwstr>
      </vt:variant>
      <vt:variant>
        <vt:i4>1769523</vt:i4>
      </vt:variant>
      <vt:variant>
        <vt:i4>689</vt:i4>
      </vt:variant>
      <vt:variant>
        <vt:i4>0</vt:i4>
      </vt:variant>
      <vt:variant>
        <vt:i4>5</vt:i4>
      </vt:variant>
      <vt:variant>
        <vt:lpwstr/>
      </vt:variant>
      <vt:variant>
        <vt:lpwstr>_Toc160457792</vt:lpwstr>
      </vt:variant>
      <vt:variant>
        <vt:i4>1769523</vt:i4>
      </vt:variant>
      <vt:variant>
        <vt:i4>683</vt:i4>
      </vt:variant>
      <vt:variant>
        <vt:i4>0</vt:i4>
      </vt:variant>
      <vt:variant>
        <vt:i4>5</vt:i4>
      </vt:variant>
      <vt:variant>
        <vt:lpwstr/>
      </vt:variant>
      <vt:variant>
        <vt:lpwstr>_Toc160457791</vt:lpwstr>
      </vt:variant>
      <vt:variant>
        <vt:i4>1769523</vt:i4>
      </vt:variant>
      <vt:variant>
        <vt:i4>677</vt:i4>
      </vt:variant>
      <vt:variant>
        <vt:i4>0</vt:i4>
      </vt:variant>
      <vt:variant>
        <vt:i4>5</vt:i4>
      </vt:variant>
      <vt:variant>
        <vt:lpwstr/>
      </vt:variant>
      <vt:variant>
        <vt:lpwstr>_Toc160457790</vt:lpwstr>
      </vt:variant>
      <vt:variant>
        <vt:i4>1703987</vt:i4>
      </vt:variant>
      <vt:variant>
        <vt:i4>671</vt:i4>
      </vt:variant>
      <vt:variant>
        <vt:i4>0</vt:i4>
      </vt:variant>
      <vt:variant>
        <vt:i4>5</vt:i4>
      </vt:variant>
      <vt:variant>
        <vt:lpwstr/>
      </vt:variant>
      <vt:variant>
        <vt:lpwstr>_Toc160457789</vt:lpwstr>
      </vt:variant>
      <vt:variant>
        <vt:i4>1703987</vt:i4>
      </vt:variant>
      <vt:variant>
        <vt:i4>665</vt:i4>
      </vt:variant>
      <vt:variant>
        <vt:i4>0</vt:i4>
      </vt:variant>
      <vt:variant>
        <vt:i4>5</vt:i4>
      </vt:variant>
      <vt:variant>
        <vt:lpwstr/>
      </vt:variant>
      <vt:variant>
        <vt:lpwstr>_Toc160457788</vt:lpwstr>
      </vt:variant>
      <vt:variant>
        <vt:i4>1703987</vt:i4>
      </vt:variant>
      <vt:variant>
        <vt:i4>659</vt:i4>
      </vt:variant>
      <vt:variant>
        <vt:i4>0</vt:i4>
      </vt:variant>
      <vt:variant>
        <vt:i4>5</vt:i4>
      </vt:variant>
      <vt:variant>
        <vt:lpwstr/>
      </vt:variant>
      <vt:variant>
        <vt:lpwstr>_Toc160457787</vt:lpwstr>
      </vt:variant>
      <vt:variant>
        <vt:i4>1703987</vt:i4>
      </vt:variant>
      <vt:variant>
        <vt:i4>653</vt:i4>
      </vt:variant>
      <vt:variant>
        <vt:i4>0</vt:i4>
      </vt:variant>
      <vt:variant>
        <vt:i4>5</vt:i4>
      </vt:variant>
      <vt:variant>
        <vt:lpwstr/>
      </vt:variant>
      <vt:variant>
        <vt:lpwstr>_Toc160457786</vt:lpwstr>
      </vt:variant>
      <vt:variant>
        <vt:i4>1703987</vt:i4>
      </vt:variant>
      <vt:variant>
        <vt:i4>647</vt:i4>
      </vt:variant>
      <vt:variant>
        <vt:i4>0</vt:i4>
      </vt:variant>
      <vt:variant>
        <vt:i4>5</vt:i4>
      </vt:variant>
      <vt:variant>
        <vt:lpwstr/>
      </vt:variant>
      <vt:variant>
        <vt:lpwstr>_Toc160457785</vt:lpwstr>
      </vt:variant>
      <vt:variant>
        <vt:i4>1703987</vt:i4>
      </vt:variant>
      <vt:variant>
        <vt:i4>641</vt:i4>
      </vt:variant>
      <vt:variant>
        <vt:i4>0</vt:i4>
      </vt:variant>
      <vt:variant>
        <vt:i4>5</vt:i4>
      </vt:variant>
      <vt:variant>
        <vt:lpwstr/>
      </vt:variant>
      <vt:variant>
        <vt:lpwstr>_Toc160457784</vt:lpwstr>
      </vt:variant>
      <vt:variant>
        <vt:i4>1703987</vt:i4>
      </vt:variant>
      <vt:variant>
        <vt:i4>635</vt:i4>
      </vt:variant>
      <vt:variant>
        <vt:i4>0</vt:i4>
      </vt:variant>
      <vt:variant>
        <vt:i4>5</vt:i4>
      </vt:variant>
      <vt:variant>
        <vt:lpwstr/>
      </vt:variant>
      <vt:variant>
        <vt:lpwstr>_Toc160457783</vt:lpwstr>
      </vt:variant>
      <vt:variant>
        <vt:i4>1703987</vt:i4>
      </vt:variant>
      <vt:variant>
        <vt:i4>629</vt:i4>
      </vt:variant>
      <vt:variant>
        <vt:i4>0</vt:i4>
      </vt:variant>
      <vt:variant>
        <vt:i4>5</vt:i4>
      </vt:variant>
      <vt:variant>
        <vt:lpwstr/>
      </vt:variant>
      <vt:variant>
        <vt:lpwstr>_Toc160457782</vt:lpwstr>
      </vt:variant>
      <vt:variant>
        <vt:i4>1703987</vt:i4>
      </vt:variant>
      <vt:variant>
        <vt:i4>623</vt:i4>
      </vt:variant>
      <vt:variant>
        <vt:i4>0</vt:i4>
      </vt:variant>
      <vt:variant>
        <vt:i4>5</vt:i4>
      </vt:variant>
      <vt:variant>
        <vt:lpwstr/>
      </vt:variant>
      <vt:variant>
        <vt:lpwstr>_Toc160457781</vt:lpwstr>
      </vt:variant>
      <vt:variant>
        <vt:i4>1703987</vt:i4>
      </vt:variant>
      <vt:variant>
        <vt:i4>617</vt:i4>
      </vt:variant>
      <vt:variant>
        <vt:i4>0</vt:i4>
      </vt:variant>
      <vt:variant>
        <vt:i4>5</vt:i4>
      </vt:variant>
      <vt:variant>
        <vt:lpwstr/>
      </vt:variant>
      <vt:variant>
        <vt:lpwstr>_Toc160457780</vt:lpwstr>
      </vt:variant>
      <vt:variant>
        <vt:i4>1376307</vt:i4>
      </vt:variant>
      <vt:variant>
        <vt:i4>611</vt:i4>
      </vt:variant>
      <vt:variant>
        <vt:i4>0</vt:i4>
      </vt:variant>
      <vt:variant>
        <vt:i4>5</vt:i4>
      </vt:variant>
      <vt:variant>
        <vt:lpwstr/>
      </vt:variant>
      <vt:variant>
        <vt:lpwstr>_Toc160457779</vt:lpwstr>
      </vt:variant>
      <vt:variant>
        <vt:i4>1376307</vt:i4>
      </vt:variant>
      <vt:variant>
        <vt:i4>605</vt:i4>
      </vt:variant>
      <vt:variant>
        <vt:i4>0</vt:i4>
      </vt:variant>
      <vt:variant>
        <vt:i4>5</vt:i4>
      </vt:variant>
      <vt:variant>
        <vt:lpwstr/>
      </vt:variant>
      <vt:variant>
        <vt:lpwstr>_Toc160457778</vt:lpwstr>
      </vt:variant>
      <vt:variant>
        <vt:i4>1376307</vt:i4>
      </vt:variant>
      <vt:variant>
        <vt:i4>599</vt:i4>
      </vt:variant>
      <vt:variant>
        <vt:i4>0</vt:i4>
      </vt:variant>
      <vt:variant>
        <vt:i4>5</vt:i4>
      </vt:variant>
      <vt:variant>
        <vt:lpwstr/>
      </vt:variant>
      <vt:variant>
        <vt:lpwstr>_Toc160457777</vt:lpwstr>
      </vt:variant>
      <vt:variant>
        <vt:i4>1376307</vt:i4>
      </vt:variant>
      <vt:variant>
        <vt:i4>593</vt:i4>
      </vt:variant>
      <vt:variant>
        <vt:i4>0</vt:i4>
      </vt:variant>
      <vt:variant>
        <vt:i4>5</vt:i4>
      </vt:variant>
      <vt:variant>
        <vt:lpwstr/>
      </vt:variant>
      <vt:variant>
        <vt:lpwstr>_Toc160457776</vt:lpwstr>
      </vt:variant>
      <vt:variant>
        <vt:i4>1376307</vt:i4>
      </vt:variant>
      <vt:variant>
        <vt:i4>587</vt:i4>
      </vt:variant>
      <vt:variant>
        <vt:i4>0</vt:i4>
      </vt:variant>
      <vt:variant>
        <vt:i4>5</vt:i4>
      </vt:variant>
      <vt:variant>
        <vt:lpwstr/>
      </vt:variant>
      <vt:variant>
        <vt:lpwstr>_Toc160457775</vt:lpwstr>
      </vt:variant>
      <vt:variant>
        <vt:i4>1376307</vt:i4>
      </vt:variant>
      <vt:variant>
        <vt:i4>581</vt:i4>
      </vt:variant>
      <vt:variant>
        <vt:i4>0</vt:i4>
      </vt:variant>
      <vt:variant>
        <vt:i4>5</vt:i4>
      </vt:variant>
      <vt:variant>
        <vt:lpwstr/>
      </vt:variant>
      <vt:variant>
        <vt:lpwstr>_Toc160457774</vt:lpwstr>
      </vt:variant>
      <vt:variant>
        <vt:i4>1376307</vt:i4>
      </vt:variant>
      <vt:variant>
        <vt:i4>575</vt:i4>
      </vt:variant>
      <vt:variant>
        <vt:i4>0</vt:i4>
      </vt:variant>
      <vt:variant>
        <vt:i4>5</vt:i4>
      </vt:variant>
      <vt:variant>
        <vt:lpwstr/>
      </vt:variant>
      <vt:variant>
        <vt:lpwstr>_Toc160457773</vt:lpwstr>
      </vt:variant>
      <vt:variant>
        <vt:i4>1376307</vt:i4>
      </vt:variant>
      <vt:variant>
        <vt:i4>569</vt:i4>
      </vt:variant>
      <vt:variant>
        <vt:i4>0</vt:i4>
      </vt:variant>
      <vt:variant>
        <vt:i4>5</vt:i4>
      </vt:variant>
      <vt:variant>
        <vt:lpwstr/>
      </vt:variant>
      <vt:variant>
        <vt:lpwstr>_Toc160457772</vt:lpwstr>
      </vt:variant>
      <vt:variant>
        <vt:i4>1376307</vt:i4>
      </vt:variant>
      <vt:variant>
        <vt:i4>563</vt:i4>
      </vt:variant>
      <vt:variant>
        <vt:i4>0</vt:i4>
      </vt:variant>
      <vt:variant>
        <vt:i4>5</vt:i4>
      </vt:variant>
      <vt:variant>
        <vt:lpwstr/>
      </vt:variant>
      <vt:variant>
        <vt:lpwstr>_Toc160457771</vt:lpwstr>
      </vt:variant>
      <vt:variant>
        <vt:i4>1376307</vt:i4>
      </vt:variant>
      <vt:variant>
        <vt:i4>557</vt:i4>
      </vt:variant>
      <vt:variant>
        <vt:i4>0</vt:i4>
      </vt:variant>
      <vt:variant>
        <vt:i4>5</vt:i4>
      </vt:variant>
      <vt:variant>
        <vt:lpwstr/>
      </vt:variant>
      <vt:variant>
        <vt:lpwstr>_Toc160457770</vt:lpwstr>
      </vt:variant>
      <vt:variant>
        <vt:i4>1179708</vt:i4>
      </vt:variant>
      <vt:variant>
        <vt:i4>548</vt:i4>
      </vt:variant>
      <vt:variant>
        <vt:i4>0</vt:i4>
      </vt:variant>
      <vt:variant>
        <vt:i4>5</vt:i4>
      </vt:variant>
      <vt:variant>
        <vt:lpwstr/>
      </vt:variant>
      <vt:variant>
        <vt:lpwstr>_Toc146097261</vt:lpwstr>
      </vt:variant>
      <vt:variant>
        <vt:i4>1179708</vt:i4>
      </vt:variant>
      <vt:variant>
        <vt:i4>542</vt:i4>
      </vt:variant>
      <vt:variant>
        <vt:i4>0</vt:i4>
      </vt:variant>
      <vt:variant>
        <vt:i4>5</vt:i4>
      </vt:variant>
      <vt:variant>
        <vt:lpwstr/>
      </vt:variant>
      <vt:variant>
        <vt:lpwstr>_Toc146097260</vt:lpwstr>
      </vt:variant>
      <vt:variant>
        <vt:i4>1114172</vt:i4>
      </vt:variant>
      <vt:variant>
        <vt:i4>536</vt:i4>
      </vt:variant>
      <vt:variant>
        <vt:i4>0</vt:i4>
      </vt:variant>
      <vt:variant>
        <vt:i4>5</vt:i4>
      </vt:variant>
      <vt:variant>
        <vt:lpwstr/>
      </vt:variant>
      <vt:variant>
        <vt:lpwstr>_Toc146097259</vt:lpwstr>
      </vt:variant>
      <vt:variant>
        <vt:i4>1114172</vt:i4>
      </vt:variant>
      <vt:variant>
        <vt:i4>530</vt:i4>
      </vt:variant>
      <vt:variant>
        <vt:i4>0</vt:i4>
      </vt:variant>
      <vt:variant>
        <vt:i4>5</vt:i4>
      </vt:variant>
      <vt:variant>
        <vt:lpwstr/>
      </vt:variant>
      <vt:variant>
        <vt:lpwstr>_Toc146097258</vt:lpwstr>
      </vt:variant>
      <vt:variant>
        <vt:i4>1114172</vt:i4>
      </vt:variant>
      <vt:variant>
        <vt:i4>524</vt:i4>
      </vt:variant>
      <vt:variant>
        <vt:i4>0</vt:i4>
      </vt:variant>
      <vt:variant>
        <vt:i4>5</vt:i4>
      </vt:variant>
      <vt:variant>
        <vt:lpwstr/>
      </vt:variant>
      <vt:variant>
        <vt:lpwstr>_Toc146097257</vt:lpwstr>
      </vt:variant>
      <vt:variant>
        <vt:i4>1114172</vt:i4>
      </vt:variant>
      <vt:variant>
        <vt:i4>518</vt:i4>
      </vt:variant>
      <vt:variant>
        <vt:i4>0</vt:i4>
      </vt:variant>
      <vt:variant>
        <vt:i4>5</vt:i4>
      </vt:variant>
      <vt:variant>
        <vt:lpwstr/>
      </vt:variant>
      <vt:variant>
        <vt:lpwstr>_Toc146097256</vt:lpwstr>
      </vt:variant>
      <vt:variant>
        <vt:i4>1114172</vt:i4>
      </vt:variant>
      <vt:variant>
        <vt:i4>512</vt:i4>
      </vt:variant>
      <vt:variant>
        <vt:i4>0</vt:i4>
      </vt:variant>
      <vt:variant>
        <vt:i4>5</vt:i4>
      </vt:variant>
      <vt:variant>
        <vt:lpwstr/>
      </vt:variant>
      <vt:variant>
        <vt:lpwstr>_Toc146097255</vt:lpwstr>
      </vt:variant>
      <vt:variant>
        <vt:i4>1114172</vt:i4>
      </vt:variant>
      <vt:variant>
        <vt:i4>506</vt:i4>
      </vt:variant>
      <vt:variant>
        <vt:i4>0</vt:i4>
      </vt:variant>
      <vt:variant>
        <vt:i4>5</vt:i4>
      </vt:variant>
      <vt:variant>
        <vt:lpwstr/>
      </vt:variant>
      <vt:variant>
        <vt:lpwstr>_Toc146097254</vt:lpwstr>
      </vt:variant>
      <vt:variant>
        <vt:i4>1114172</vt:i4>
      </vt:variant>
      <vt:variant>
        <vt:i4>500</vt:i4>
      </vt:variant>
      <vt:variant>
        <vt:i4>0</vt:i4>
      </vt:variant>
      <vt:variant>
        <vt:i4>5</vt:i4>
      </vt:variant>
      <vt:variant>
        <vt:lpwstr/>
      </vt:variant>
      <vt:variant>
        <vt:lpwstr>_Toc146097253</vt:lpwstr>
      </vt:variant>
      <vt:variant>
        <vt:i4>1114172</vt:i4>
      </vt:variant>
      <vt:variant>
        <vt:i4>494</vt:i4>
      </vt:variant>
      <vt:variant>
        <vt:i4>0</vt:i4>
      </vt:variant>
      <vt:variant>
        <vt:i4>5</vt:i4>
      </vt:variant>
      <vt:variant>
        <vt:lpwstr/>
      </vt:variant>
      <vt:variant>
        <vt:lpwstr>_Toc146097252</vt:lpwstr>
      </vt:variant>
      <vt:variant>
        <vt:i4>1114172</vt:i4>
      </vt:variant>
      <vt:variant>
        <vt:i4>488</vt:i4>
      </vt:variant>
      <vt:variant>
        <vt:i4>0</vt:i4>
      </vt:variant>
      <vt:variant>
        <vt:i4>5</vt:i4>
      </vt:variant>
      <vt:variant>
        <vt:lpwstr/>
      </vt:variant>
      <vt:variant>
        <vt:lpwstr>_Toc146097251</vt:lpwstr>
      </vt:variant>
      <vt:variant>
        <vt:i4>1114172</vt:i4>
      </vt:variant>
      <vt:variant>
        <vt:i4>482</vt:i4>
      </vt:variant>
      <vt:variant>
        <vt:i4>0</vt:i4>
      </vt:variant>
      <vt:variant>
        <vt:i4>5</vt:i4>
      </vt:variant>
      <vt:variant>
        <vt:lpwstr/>
      </vt:variant>
      <vt:variant>
        <vt:lpwstr>_Toc146097250</vt:lpwstr>
      </vt:variant>
      <vt:variant>
        <vt:i4>1048636</vt:i4>
      </vt:variant>
      <vt:variant>
        <vt:i4>476</vt:i4>
      </vt:variant>
      <vt:variant>
        <vt:i4>0</vt:i4>
      </vt:variant>
      <vt:variant>
        <vt:i4>5</vt:i4>
      </vt:variant>
      <vt:variant>
        <vt:lpwstr/>
      </vt:variant>
      <vt:variant>
        <vt:lpwstr>_Toc146097249</vt:lpwstr>
      </vt:variant>
      <vt:variant>
        <vt:i4>1048636</vt:i4>
      </vt:variant>
      <vt:variant>
        <vt:i4>470</vt:i4>
      </vt:variant>
      <vt:variant>
        <vt:i4>0</vt:i4>
      </vt:variant>
      <vt:variant>
        <vt:i4>5</vt:i4>
      </vt:variant>
      <vt:variant>
        <vt:lpwstr/>
      </vt:variant>
      <vt:variant>
        <vt:lpwstr>_Toc146097248</vt:lpwstr>
      </vt:variant>
      <vt:variant>
        <vt:i4>1048636</vt:i4>
      </vt:variant>
      <vt:variant>
        <vt:i4>464</vt:i4>
      </vt:variant>
      <vt:variant>
        <vt:i4>0</vt:i4>
      </vt:variant>
      <vt:variant>
        <vt:i4>5</vt:i4>
      </vt:variant>
      <vt:variant>
        <vt:lpwstr/>
      </vt:variant>
      <vt:variant>
        <vt:lpwstr>_Toc146097247</vt:lpwstr>
      </vt:variant>
      <vt:variant>
        <vt:i4>1048636</vt:i4>
      </vt:variant>
      <vt:variant>
        <vt:i4>458</vt:i4>
      </vt:variant>
      <vt:variant>
        <vt:i4>0</vt:i4>
      </vt:variant>
      <vt:variant>
        <vt:i4>5</vt:i4>
      </vt:variant>
      <vt:variant>
        <vt:lpwstr/>
      </vt:variant>
      <vt:variant>
        <vt:lpwstr>_Toc146097246</vt:lpwstr>
      </vt:variant>
      <vt:variant>
        <vt:i4>1048636</vt:i4>
      </vt:variant>
      <vt:variant>
        <vt:i4>452</vt:i4>
      </vt:variant>
      <vt:variant>
        <vt:i4>0</vt:i4>
      </vt:variant>
      <vt:variant>
        <vt:i4>5</vt:i4>
      </vt:variant>
      <vt:variant>
        <vt:lpwstr/>
      </vt:variant>
      <vt:variant>
        <vt:lpwstr>_Toc146097245</vt:lpwstr>
      </vt:variant>
      <vt:variant>
        <vt:i4>1048636</vt:i4>
      </vt:variant>
      <vt:variant>
        <vt:i4>446</vt:i4>
      </vt:variant>
      <vt:variant>
        <vt:i4>0</vt:i4>
      </vt:variant>
      <vt:variant>
        <vt:i4>5</vt:i4>
      </vt:variant>
      <vt:variant>
        <vt:lpwstr/>
      </vt:variant>
      <vt:variant>
        <vt:lpwstr>_Toc146097244</vt:lpwstr>
      </vt:variant>
      <vt:variant>
        <vt:i4>1048636</vt:i4>
      </vt:variant>
      <vt:variant>
        <vt:i4>440</vt:i4>
      </vt:variant>
      <vt:variant>
        <vt:i4>0</vt:i4>
      </vt:variant>
      <vt:variant>
        <vt:i4>5</vt:i4>
      </vt:variant>
      <vt:variant>
        <vt:lpwstr/>
      </vt:variant>
      <vt:variant>
        <vt:lpwstr>_Toc146097243</vt:lpwstr>
      </vt:variant>
      <vt:variant>
        <vt:i4>1179706</vt:i4>
      </vt:variant>
      <vt:variant>
        <vt:i4>431</vt:i4>
      </vt:variant>
      <vt:variant>
        <vt:i4>0</vt:i4>
      </vt:variant>
      <vt:variant>
        <vt:i4>5</vt:i4>
      </vt:variant>
      <vt:variant>
        <vt:lpwstr/>
      </vt:variant>
      <vt:variant>
        <vt:lpwstr>_Toc161321814</vt:lpwstr>
      </vt:variant>
      <vt:variant>
        <vt:i4>1179706</vt:i4>
      </vt:variant>
      <vt:variant>
        <vt:i4>425</vt:i4>
      </vt:variant>
      <vt:variant>
        <vt:i4>0</vt:i4>
      </vt:variant>
      <vt:variant>
        <vt:i4>5</vt:i4>
      </vt:variant>
      <vt:variant>
        <vt:lpwstr/>
      </vt:variant>
      <vt:variant>
        <vt:lpwstr>_Toc161321813</vt:lpwstr>
      </vt:variant>
      <vt:variant>
        <vt:i4>1179706</vt:i4>
      </vt:variant>
      <vt:variant>
        <vt:i4>419</vt:i4>
      </vt:variant>
      <vt:variant>
        <vt:i4>0</vt:i4>
      </vt:variant>
      <vt:variant>
        <vt:i4>5</vt:i4>
      </vt:variant>
      <vt:variant>
        <vt:lpwstr/>
      </vt:variant>
      <vt:variant>
        <vt:lpwstr>_Toc161321812</vt:lpwstr>
      </vt:variant>
      <vt:variant>
        <vt:i4>1179706</vt:i4>
      </vt:variant>
      <vt:variant>
        <vt:i4>413</vt:i4>
      </vt:variant>
      <vt:variant>
        <vt:i4>0</vt:i4>
      </vt:variant>
      <vt:variant>
        <vt:i4>5</vt:i4>
      </vt:variant>
      <vt:variant>
        <vt:lpwstr/>
      </vt:variant>
      <vt:variant>
        <vt:lpwstr>_Toc161321811</vt:lpwstr>
      </vt:variant>
      <vt:variant>
        <vt:i4>1179706</vt:i4>
      </vt:variant>
      <vt:variant>
        <vt:i4>407</vt:i4>
      </vt:variant>
      <vt:variant>
        <vt:i4>0</vt:i4>
      </vt:variant>
      <vt:variant>
        <vt:i4>5</vt:i4>
      </vt:variant>
      <vt:variant>
        <vt:lpwstr/>
      </vt:variant>
      <vt:variant>
        <vt:lpwstr>_Toc161321810</vt:lpwstr>
      </vt:variant>
      <vt:variant>
        <vt:i4>1245242</vt:i4>
      </vt:variant>
      <vt:variant>
        <vt:i4>401</vt:i4>
      </vt:variant>
      <vt:variant>
        <vt:i4>0</vt:i4>
      </vt:variant>
      <vt:variant>
        <vt:i4>5</vt:i4>
      </vt:variant>
      <vt:variant>
        <vt:lpwstr/>
      </vt:variant>
      <vt:variant>
        <vt:lpwstr>_Toc161321809</vt:lpwstr>
      </vt:variant>
      <vt:variant>
        <vt:i4>1245242</vt:i4>
      </vt:variant>
      <vt:variant>
        <vt:i4>395</vt:i4>
      </vt:variant>
      <vt:variant>
        <vt:i4>0</vt:i4>
      </vt:variant>
      <vt:variant>
        <vt:i4>5</vt:i4>
      </vt:variant>
      <vt:variant>
        <vt:lpwstr/>
      </vt:variant>
      <vt:variant>
        <vt:lpwstr>_Toc161321808</vt:lpwstr>
      </vt:variant>
      <vt:variant>
        <vt:i4>1245242</vt:i4>
      </vt:variant>
      <vt:variant>
        <vt:i4>389</vt:i4>
      </vt:variant>
      <vt:variant>
        <vt:i4>0</vt:i4>
      </vt:variant>
      <vt:variant>
        <vt:i4>5</vt:i4>
      </vt:variant>
      <vt:variant>
        <vt:lpwstr/>
      </vt:variant>
      <vt:variant>
        <vt:lpwstr>_Toc161321807</vt:lpwstr>
      </vt:variant>
      <vt:variant>
        <vt:i4>1245242</vt:i4>
      </vt:variant>
      <vt:variant>
        <vt:i4>383</vt:i4>
      </vt:variant>
      <vt:variant>
        <vt:i4>0</vt:i4>
      </vt:variant>
      <vt:variant>
        <vt:i4>5</vt:i4>
      </vt:variant>
      <vt:variant>
        <vt:lpwstr/>
      </vt:variant>
      <vt:variant>
        <vt:lpwstr>_Toc161321806</vt:lpwstr>
      </vt:variant>
      <vt:variant>
        <vt:i4>1245242</vt:i4>
      </vt:variant>
      <vt:variant>
        <vt:i4>377</vt:i4>
      </vt:variant>
      <vt:variant>
        <vt:i4>0</vt:i4>
      </vt:variant>
      <vt:variant>
        <vt:i4>5</vt:i4>
      </vt:variant>
      <vt:variant>
        <vt:lpwstr/>
      </vt:variant>
      <vt:variant>
        <vt:lpwstr>_Toc161321805</vt:lpwstr>
      </vt:variant>
      <vt:variant>
        <vt:i4>1245242</vt:i4>
      </vt:variant>
      <vt:variant>
        <vt:i4>371</vt:i4>
      </vt:variant>
      <vt:variant>
        <vt:i4>0</vt:i4>
      </vt:variant>
      <vt:variant>
        <vt:i4>5</vt:i4>
      </vt:variant>
      <vt:variant>
        <vt:lpwstr/>
      </vt:variant>
      <vt:variant>
        <vt:lpwstr>_Toc161321804</vt:lpwstr>
      </vt:variant>
      <vt:variant>
        <vt:i4>1245242</vt:i4>
      </vt:variant>
      <vt:variant>
        <vt:i4>365</vt:i4>
      </vt:variant>
      <vt:variant>
        <vt:i4>0</vt:i4>
      </vt:variant>
      <vt:variant>
        <vt:i4>5</vt:i4>
      </vt:variant>
      <vt:variant>
        <vt:lpwstr/>
      </vt:variant>
      <vt:variant>
        <vt:lpwstr>_Toc161321803</vt:lpwstr>
      </vt:variant>
      <vt:variant>
        <vt:i4>1245242</vt:i4>
      </vt:variant>
      <vt:variant>
        <vt:i4>359</vt:i4>
      </vt:variant>
      <vt:variant>
        <vt:i4>0</vt:i4>
      </vt:variant>
      <vt:variant>
        <vt:i4>5</vt:i4>
      </vt:variant>
      <vt:variant>
        <vt:lpwstr/>
      </vt:variant>
      <vt:variant>
        <vt:lpwstr>_Toc161321802</vt:lpwstr>
      </vt:variant>
      <vt:variant>
        <vt:i4>1245242</vt:i4>
      </vt:variant>
      <vt:variant>
        <vt:i4>353</vt:i4>
      </vt:variant>
      <vt:variant>
        <vt:i4>0</vt:i4>
      </vt:variant>
      <vt:variant>
        <vt:i4>5</vt:i4>
      </vt:variant>
      <vt:variant>
        <vt:lpwstr/>
      </vt:variant>
      <vt:variant>
        <vt:lpwstr>_Toc161321801</vt:lpwstr>
      </vt:variant>
      <vt:variant>
        <vt:i4>1245242</vt:i4>
      </vt:variant>
      <vt:variant>
        <vt:i4>347</vt:i4>
      </vt:variant>
      <vt:variant>
        <vt:i4>0</vt:i4>
      </vt:variant>
      <vt:variant>
        <vt:i4>5</vt:i4>
      </vt:variant>
      <vt:variant>
        <vt:lpwstr/>
      </vt:variant>
      <vt:variant>
        <vt:lpwstr>_Toc161321800</vt:lpwstr>
      </vt:variant>
      <vt:variant>
        <vt:i4>1703989</vt:i4>
      </vt:variant>
      <vt:variant>
        <vt:i4>341</vt:i4>
      </vt:variant>
      <vt:variant>
        <vt:i4>0</vt:i4>
      </vt:variant>
      <vt:variant>
        <vt:i4>5</vt:i4>
      </vt:variant>
      <vt:variant>
        <vt:lpwstr/>
      </vt:variant>
      <vt:variant>
        <vt:lpwstr>_Toc161321799</vt:lpwstr>
      </vt:variant>
      <vt:variant>
        <vt:i4>1703989</vt:i4>
      </vt:variant>
      <vt:variant>
        <vt:i4>335</vt:i4>
      </vt:variant>
      <vt:variant>
        <vt:i4>0</vt:i4>
      </vt:variant>
      <vt:variant>
        <vt:i4>5</vt:i4>
      </vt:variant>
      <vt:variant>
        <vt:lpwstr/>
      </vt:variant>
      <vt:variant>
        <vt:lpwstr>_Toc161321798</vt:lpwstr>
      </vt:variant>
      <vt:variant>
        <vt:i4>1703989</vt:i4>
      </vt:variant>
      <vt:variant>
        <vt:i4>329</vt:i4>
      </vt:variant>
      <vt:variant>
        <vt:i4>0</vt:i4>
      </vt:variant>
      <vt:variant>
        <vt:i4>5</vt:i4>
      </vt:variant>
      <vt:variant>
        <vt:lpwstr/>
      </vt:variant>
      <vt:variant>
        <vt:lpwstr>_Toc161321797</vt:lpwstr>
      </vt:variant>
      <vt:variant>
        <vt:i4>1703989</vt:i4>
      </vt:variant>
      <vt:variant>
        <vt:i4>323</vt:i4>
      </vt:variant>
      <vt:variant>
        <vt:i4>0</vt:i4>
      </vt:variant>
      <vt:variant>
        <vt:i4>5</vt:i4>
      </vt:variant>
      <vt:variant>
        <vt:lpwstr/>
      </vt:variant>
      <vt:variant>
        <vt:lpwstr>_Toc161321796</vt:lpwstr>
      </vt:variant>
      <vt:variant>
        <vt:i4>1703989</vt:i4>
      </vt:variant>
      <vt:variant>
        <vt:i4>317</vt:i4>
      </vt:variant>
      <vt:variant>
        <vt:i4>0</vt:i4>
      </vt:variant>
      <vt:variant>
        <vt:i4>5</vt:i4>
      </vt:variant>
      <vt:variant>
        <vt:lpwstr/>
      </vt:variant>
      <vt:variant>
        <vt:lpwstr>_Toc161321795</vt:lpwstr>
      </vt:variant>
      <vt:variant>
        <vt:i4>1703989</vt:i4>
      </vt:variant>
      <vt:variant>
        <vt:i4>311</vt:i4>
      </vt:variant>
      <vt:variant>
        <vt:i4>0</vt:i4>
      </vt:variant>
      <vt:variant>
        <vt:i4>5</vt:i4>
      </vt:variant>
      <vt:variant>
        <vt:lpwstr/>
      </vt:variant>
      <vt:variant>
        <vt:lpwstr>_Toc161321794</vt:lpwstr>
      </vt:variant>
      <vt:variant>
        <vt:i4>1703989</vt:i4>
      </vt:variant>
      <vt:variant>
        <vt:i4>305</vt:i4>
      </vt:variant>
      <vt:variant>
        <vt:i4>0</vt:i4>
      </vt:variant>
      <vt:variant>
        <vt:i4>5</vt:i4>
      </vt:variant>
      <vt:variant>
        <vt:lpwstr/>
      </vt:variant>
      <vt:variant>
        <vt:lpwstr>_Toc161321793</vt:lpwstr>
      </vt:variant>
      <vt:variant>
        <vt:i4>1703989</vt:i4>
      </vt:variant>
      <vt:variant>
        <vt:i4>299</vt:i4>
      </vt:variant>
      <vt:variant>
        <vt:i4>0</vt:i4>
      </vt:variant>
      <vt:variant>
        <vt:i4>5</vt:i4>
      </vt:variant>
      <vt:variant>
        <vt:lpwstr/>
      </vt:variant>
      <vt:variant>
        <vt:lpwstr>_Toc161321792</vt:lpwstr>
      </vt:variant>
      <vt:variant>
        <vt:i4>1703989</vt:i4>
      </vt:variant>
      <vt:variant>
        <vt:i4>293</vt:i4>
      </vt:variant>
      <vt:variant>
        <vt:i4>0</vt:i4>
      </vt:variant>
      <vt:variant>
        <vt:i4>5</vt:i4>
      </vt:variant>
      <vt:variant>
        <vt:lpwstr/>
      </vt:variant>
      <vt:variant>
        <vt:lpwstr>_Toc161321791</vt:lpwstr>
      </vt:variant>
      <vt:variant>
        <vt:i4>1703989</vt:i4>
      </vt:variant>
      <vt:variant>
        <vt:i4>287</vt:i4>
      </vt:variant>
      <vt:variant>
        <vt:i4>0</vt:i4>
      </vt:variant>
      <vt:variant>
        <vt:i4>5</vt:i4>
      </vt:variant>
      <vt:variant>
        <vt:lpwstr/>
      </vt:variant>
      <vt:variant>
        <vt:lpwstr>_Toc161321790</vt:lpwstr>
      </vt:variant>
      <vt:variant>
        <vt:i4>1769525</vt:i4>
      </vt:variant>
      <vt:variant>
        <vt:i4>281</vt:i4>
      </vt:variant>
      <vt:variant>
        <vt:i4>0</vt:i4>
      </vt:variant>
      <vt:variant>
        <vt:i4>5</vt:i4>
      </vt:variant>
      <vt:variant>
        <vt:lpwstr/>
      </vt:variant>
      <vt:variant>
        <vt:lpwstr>_Toc161321789</vt:lpwstr>
      </vt:variant>
      <vt:variant>
        <vt:i4>1769525</vt:i4>
      </vt:variant>
      <vt:variant>
        <vt:i4>275</vt:i4>
      </vt:variant>
      <vt:variant>
        <vt:i4>0</vt:i4>
      </vt:variant>
      <vt:variant>
        <vt:i4>5</vt:i4>
      </vt:variant>
      <vt:variant>
        <vt:lpwstr/>
      </vt:variant>
      <vt:variant>
        <vt:lpwstr>_Toc161321788</vt:lpwstr>
      </vt:variant>
      <vt:variant>
        <vt:i4>1769525</vt:i4>
      </vt:variant>
      <vt:variant>
        <vt:i4>269</vt:i4>
      </vt:variant>
      <vt:variant>
        <vt:i4>0</vt:i4>
      </vt:variant>
      <vt:variant>
        <vt:i4>5</vt:i4>
      </vt:variant>
      <vt:variant>
        <vt:lpwstr/>
      </vt:variant>
      <vt:variant>
        <vt:lpwstr>_Toc161321787</vt:lpwstr>
      </vt:variant>
      <vt:variant>
        <vt:i4>1769525</vt:i4>
      </vt:variant>
      <vt:variant>
        <vt:i4>263</vt:i4>
      </vt:variant>
      <vt:variant>
        <vt:i4>0</vt:i4>
      </vt:variant>
      <vt:variant>
        <vt:i4>5</vt:i4>
      </vt:variant>
      <vt:variant>
        <vt:lpwstr/>
      </vt:variant>
      <vt:variant>
        <vt:lpwstr>_Toc161321786</vt:lpwstr>
      </vt:variant>
      <vt:variant>
        <vt:i4>1769525</vt:i4>
      </vt:variant>
      <vt:variant>
        <vt:i4>257</vt:i4>
      </vt:variant>
      <vt:variant>
        <vt:i4>0</vt:i4>
      </vt:variant>
      <vt:variant>
        <vt:i4>5</vt:i4>
      </vt:variant>
      <vt:variant>
        <vt:lpwstr/>
      </vt:variant>
      <vt:variant>
        <vt:lpwstr>_Toc161321785</vt:lpwstr>
      </vt:variant>
      <vt:variant>
        <vt:i4>1769525</vt:i4>
      </vt:variant>
      <vt:variant>
        <vt:i4>251</vt:i4>
      </vt:variant>
      <vt:variant>
        <vt:i4>0</vt:i4>
      </vt:variant>
      <vt:variant>
        <vt:i4>5</vt:i4>
      </vt:variant>
      <vt:variant>
        <vt:lpwstr/>
      </vt:variant>
      <vt:variant>
        <vt:lpwstr>_Toc161321784</vt:lpwstr>
      </vt:variant>
      <vt:variant>
        <vt:i4>1769525</vt:i4>
      </vt:variant>
      <vt:variant>
        <vt:i4>245</vt:i4>
      </vt:variant>
      <vt:variant>
        <vt:i4>0</vt:i4>
      </vt:variant>
      <vt:variant>
        <vt:i4>5</vt:i4>
      </vt:variant>
      <vt:variant>
        <vt:lpwstr/>
      </vt:variant>
      <vt:variant>
        <vt:lpwstr>_Toc161321783</vt:lpwstr>
      </vt:variant>
      <vt:variant>
        <vt:i4>1769525</vt:i4>
      </vt:variant>
      <vt:variant>
        <vt:i4>239</vt:i4>
      </vt:variant>
      <vt:variant>
        <vt:i4>0</vt:i4>
      </vt:variant>
      <vt:variant>
        <vt:i4>5</vt:i4>
      </vt:variant>
      <vt:variant>
        <vt:lpwstr/>
      </vt:variant>
      <vt:variant>
        <vt:lpwstr>_Toc161321782</vt:lpwstr>
      </vt:variant>
      <vt:variant>
        <vt:i4>1769525</vt:i4>
      </vt:variant>
      <vt:variant>
        <vt:i4>233</vt:i4>
      </vt:variant>
      <vt:variant>
        <vt:i4>0</vt:i4>
      </vt:variant>
      <vt:variant>
        <vt:i4>5</vt:i4>
      </vt:variant>
      <vt:variant>
        <vt:lpwstr/>
      </vt:variant>
      <vt:variant>
        <vt:lpwstr>_Toc161321781</vt:lpwstr>
      </vt:variant>
      <vt:variant>
        <vt:i4>1769525</vt:i4>
      </vt:variant>
      <vt:variant>
        <vt:i4>227</vt:i4>
      </vt:variant>
      <vt:variant>
        <vt:i4>0</vt:i4>
      </vt:variant>
      <vt:variant>
        <vt:i4>5</vt:i4>
      </vt:variant>
      <vt:variant>
        <vt:lpwstr/>
      </vt:variant>
      <vt:variant>
        <vt:lpwstr>_Toc161321780</vt:lpwstr>
      </vt:variant>
      <vt:variant>
        <vt:i4>1310773</vt:i4>
      </vt:variant>
      <vt:variant>
        <vt:i4>221</vt:i4>
      </vt:variant>
      <vt:variant>
        <vt:i4>0</vt:i4>
      </vt:variant>
      <vt:variant>
        <vt:i4>5</vt:i4>
      </vt:variant>
      <vt:variant>
        <vt:lpwstr/>
      </vt:variant>
      <vt:variant>
        <vt:lpwstr>_Toc161321779</vt:lpwstr>
      </vt:variant>
      <vt:variant>
        <vt:i4>1310773</vt:i4>
      </vt:variant>
      <vt:variant>
        <vt:i4>215</vt:i4>
      </vt:variant>
      <vt:variant>
        <vt:i4>0</vt:i4>
      </vt:variant>
      <vt:variant>
        <vt:i4>5</vt:i4>
      </vt:variant>
      <vt:variant>
        <vt:lpwstr/>
      </vt:variant>
      <vt:variant>
        <vt:lpwstr>_Toc161321778</vt:lpwstr>
      </vt:variant>
      <vt:variant>
        <vt:i4>1310773</vt:i4>
      </vt:variant>
      <vt:variant>
        <vt:i4>209</vt:i4>
      </vt:variant>
      <vt:variant>
        <vt:i4>0</vt:i4>
      </vt:variant>
      <vt:variant>
        <vt:i4>5</vt:i4>
      </vt:variant>
      <vt:variant>
        <vt:lpwstr/>
      </vt:variant>
      <vt:variant>
        <vt:lpwstr>_Toc161321777</vt:lpwstr>
      </vt:variant>
      <vt:variant>
        <vt:i4>1310773</vt:i4>
      </vt:variant>
      <vt:variant>
        <vt:i4>203</vt:i4>
      </vt:variant>
      <vt:variant>
        <vt:i4>0</vt:i4>
      </vt:variant>
      <vt:variant>
        <vt:i4>5</vt:i4>
      </vt:variant>
      <vt:variant>
        <vt:lpwstr/>
      </vt:variant>
      <vt:variant>
        <vt:lpwstr>_Toc161321776</vt:lpwstr>
      </vt:variant>
      <vt:variant>
        <vt:i4>1310773</vt:i4>
      </vt:variant>
      <vt:variant>
        <vt:i4>197</vt:i4>
      </vt:variant>
      <vt:variant>
        <vt:i4>0</vt:i4>
      </vt:variant>
      <vt:variant>
        <vt:i4>5</vt:i4>
      </vt:variant>
      <vt:variant>
        <vt:lpwstr/>
      </vt:variant>
      <vt:variant>
        <vt:lpwstr>_Toc161321775</vt:lpwstr>
      </vt:variant>
      <vt:variant>
        <vt:i4>1310773</vt:i4>
      </vt:variant>
      <vt:variant>
        <vt:i4>191</vt:i4>
      </vt:variant>
      <vt:variant>
        <vt:i4>0</vt:i4>
      </vt:variant>
      <vt:variant>
        <vt:i4>5</vt:i4>
      </vt:variant>
      <vt:variant>
        <vt:lpwstr/>
      </vt:variant>
      <vt:variant>
        <vt:lpwstr>_Toc161321774</vt:lpwstr>
      </vt:variant>
      <vt:variant>
        <vt:i4>1310773</vt:i4>
      </vt:variant>
      <vt:variant>
        <vt:i4>185</vt:i4>
      </vt:variant>
      <vt:variant>
        <vt:i4>0</vt:i4>
      </vt:variant>
      <vt:variant>
        <vt:i4>5</vt:i4>
      </vt:variant>
      <vt:variant>
        <vt:lpwstr/>
      </vt:variant>
      <vt:variant>
        <vt:lpwstr>_Toc161321773</vt:lpwstr>
      </vt:variant>
      <vt:variant>
        <vt:i4>1310773</vt:i4>
      </vt:variant>
      <vt:variant>
        <vt:i4>179</vt:i4>
      </vt:variant>
      <vt:variant>
        <vt:i4>0</vt:i4>
      </vt:variant>
      <vt:variant>
        <vt:i4>5</vt:i4>
      </vt:variant>
      <vt:variant>
        <vt:lpwstr/>
      </vt:variant>
      <vt:variant>
        <vt:lpwstr>_Toc161321772</vt:lpwstr>
      </vt:variant>
      <vt:variant>
        <vt:i4>1310773</vt:i4>
      </vt:variant>
      <vt:variant>
        <vt:i4>173</vt:i4>
      </vt:variant>
      <vt:variant>
        <vt:i4>0</vt:i4>
      </vt:variant>
      <vt:variant>
        <vt:i4>5</vt:i4>
      </vt:variant>
      <vt:variant>
        <vt:lpwstr/>
      </vt:variant>
      <vt:variant>
        <vt:lpwstr>_Toc161321771</vt:lpwstr>
      </vt:variant>
      <vt:variant>
        <vt:i4>1310773</vt:i4>
      </vt:variant>
      <vt:variant>
        <vt:i4>167</vt:i4>
      </vt:variant>
      <vt:variant>
        <vt:i4>0</vt:i4>
      </vt:variant>
      <vt:variant>
        <vt:i4>5</vt:i4>
      </vt:variant>
      <vt:variant>
        <vt:lpwstr/>
      </vt:variant>
      <vt:variant>
        <vt:lpwstr>_Toc161321770</vt:lpwstr>
      </vt:variant>
      <vt:variant>
        <vt:i4>1376309</vt:i4>
      </vt:variant>
      <vt:variant>
        <vt:i4>161</vt:i4>
      </vt:variant>
      <vt:variant>
        <vt:i4>0</vt:i4>
      </vt:variant>
      <vt:variant>
        <vt:i4>5</vt:i4>
      </vt:variant>
      <vt:variant>
        <vt:lpwstr/>
      </vt:variant>
      <vt:variant>
        <vt:lpwstr>_Toc161321769</vt:lpwstr>
      </vt:variant>
      <vt:variant>
        <vt:i4>1376309</vt:i4>
      </vt:variant>
      <vt:variant>
        <vt:i4>155</vt:i4>
      </vt:variant>
      <vt:variant>
        <vt:i4>0</vt:i4>
      </vt:variant>
      <vt:variant>
        <vt:i4>5</vt:i4>
      </vt:variant>
      <vt:variant>
        <vt:lpwstr/>
      </vt:variant>
      <vt:variant>
        <vt:lpwstr>_Toc161321768</vt:lpwstr>
      </vt:variant>
      <vt:variant>
        <vt:i4>1376309</vt:i4>
      </vt:variant>
      <vt:variant>
        <vt:i4>149</vt:i4>
      </vt:variant>
      <vt:variant>
        <vt:i4>0</vt:i4>
      </vt:variant>
      <vt:variant>
        <vt:i4>5</vt:i4>
      </vt:variant>
      <vt:variant>
        <vt:lpwstr/>
      </vt:variant>
      <vt:variant>
        <vt:lpwstr>_Toc161321767</vt:lpwstr>
      </vt:variant>
      <vt:variant>
        <vt:i4>1376309</vt:i4>
      </vt:variant>
      <vt:variant>
        <vt:i4>143</vt:i4>
      </vt:variant>
      <vt:variant>
        <vt:i4>0</vt:i4>
      </vt:variant>
      <vt:variant>
        <vt:i4>5</vt:i4>
      </vt:variant>
      <vt:variant>
        <vt:lpwstr/>
      </vt:variant>
      <vt:variant>
        <vt:lpwstr>_Toc161321766</vt:lpwstr>
      </vt:variant>
      <vt:variant>
        <vt:i4>1376309</vt:i4>
      </vt:variant>
      <vt:variant>
        <vt:i4>137</vt:i4>
      </vt:variant>
      <vt:variant>
        <vt:i4>0</vt:i4>
      </vt:variant>
      <vt:variant>
        <vt:i4>5</vt:i4>
      </vt:variant>
      <vt:variant>
        <vt:lpwstr/>
      </vt:variant>
      <vt:variant>
        <vt:lpwstr>_Toc161321765</vt:lpwstr>
      </vt:variant>
      <vt:variant>
        <vt:i4>1376309</vt:i4>
      </vt:variant>
      <vt:variant>
        <vt:i4>131</vt:i4>
      </vt:variant>
      <vt:variant>
        <vt:i4>0</vt:i4>
      </vt:variant>
      <vt:variant>
        <vt:i4>5</vt:i4>
      </vt:variant>
      <vt:variant>
        <vt:lpwstr/>
      </vt:variant>
      <vt:variant>
        <vt:lpwstr>_Toc161321764</vt:lpwstr>
      </vt:variant>
      <vt:variant>
        <vt:i4>1376309</vt:i4>
      </vt:variant>
      <vt:variant>
        <vt:i4>125</vt:i4>
      </vt:variant>
      <vt:variant>
        <vt:i4>0</vt:i4>
      </vt:variant>
      <vt:variant>
        <vt:i4>5</vt:i4>
      </vt:variant>
      <vt:variant>
        <vt:lpwstr/>
      </vt:variant>
      <vt:variant>
        <vt:lpwstr>_Toc161321763</vt:lpwstr>
      </vt:variant>
      <vt:variant>
        <vt:i4>1376309</vt:i4>
      </vt:variant>
      <vt:variant>
        <vt:i4>119</vt:i4>
      </vt:variant>
      <vt:variant>
        <vt:i4>0</vt:i4>
      </vt:variant>
      <vt:variant>
        <vt:i4>5</vt:i4>
      </vt:variant>
      <vt:variant>
        <vt:lpwstr/>
      </vt:variant>
      <vt:variant>
        <vt:lpwstr>_Toc161321762</vt:lpwstr>
      </vt:variant>
      <vt:variant>
        <vt:i4>1376309</vt:i4>
      </vt:variant>
      <vt:variant>
        <vt:i4>113</vt:i4>
      </vt:variant>
      <vt:variant>
        <vt:i4>0</vt:i4>
      </vt:variant>
      <vt:variant>
        <vt:i4>5</vt:i4>
      </vt:variant>
      <vt:variant>
        <vt:lpwstr/>
      </vt:variant>
      <vt:variant>
        <vt:lpwstr>_Toc161321761</vt:lpwstr>
      </vt:variant>
      <vt:variant>
        <vt:i4>1376309</vt:i4>
      </vt:variant>
      <vt:variant>
        <vt:i4>107</vt:i4>
      </vt:variant>
      <vt:variant>
        <vt:i4>0</vt:i4>
      </vt:variant>
      <vt:variant>
        <vt:i4>5</vt:i4>
      </vt:variant>
      <vt:variant>
        <vt:lpwstr/>
      </vt:variant>
      <vt:variant>
        <vt:lpwstr>_Toc161321760</vt:lpwstr>
      </vt:variant>
      <vt:variant>
        <vt:i4>1441845</vt:i4>
      </vt:variant>
      <vt:variant>
        <vt:i4>101</vt:i4>
      </vt:variant>
      <vt:variant>
        <vt:i4>0</vt:i4>
      </vt:variant>
      <vt:variant>
        <vt:i4>5</vt:i4>
      </vt:variant>
      <vt:variant>
        <vt:lpwstr/>
      </vt:variant>
      <vt:variant>
        <vt:lpwstr>_Toc161321759</vt:lpwstr>
      </vt:variant>
      <vt:variant>
        <vt:i4>1441845</vt:i4>
      </vt:variant>
      <vt:variant>
        <vt:i4>95</vt:i4>
      </vt:variant>
      <vt:variant>
        <vt:i4>0</vt:i4>
      </vt:variant>
      <vt:variant>
        <vt:i4>5</vt:i4>
      </vt:variant>
      <vt:variant>
        <vt:lpwstr/>
      </vt:variant>
      <vt:variant>
        <vt:lpwstr>_Toc161321758</vt:lpwstr>
      </vt:variant>
      <vt:variant>
        <vt:i4>1441845</vt:i4>
      </vt:variant>
      <vt:variant>
        <vt:i4>89</vt:i4>
      </vt:variant>
      <vt:variant>
        <vt:i4>0</vt:i4>
      </vt:variant>
      <vt:variant>
        <vt:i4>5</vt:i4>
      </vt:variant>
      <vt:variant>
        <vt:lpwstr/>
      </vt:variant>
      <vt:variant>
        <vt:lpwstr>_Toc161321757</vt:lpwstr>
      </vt:variant>
      <vt:variant>
        <vt:i4>1441845</vt:i4>
      </vt:variant>
      <vt:variant>
        <vt:i4>83</vt:i4>
      </vt:variant>
      <vt:variant>
        <vt:i4>0</vt:i4>
      </vt:variant>
      <vt:variant>
        <vt:i4>5</vt:i4>
      </vt:variant>
      <vt:variant>
        <vt:lpwstr/>
      </vt:variant>
      <vt:variant>
        <vt:lpwstr>_Toc161321756</vt:lpwstr>
      </vt:variant>
      <vt:variant>
        <vt:i4>1441845</vt:i4>
      </vt:variant>
      <vt:variant>
        <vt:i4>77</vt:i4>
      </vt:variant>
      <vt:variant>
        <vt:i4>0</vt:i4>
      </vt:variant>
      <vt:variant>
        <vt:i4>5</vt:i4>
      </vt:variant>
      <vt:variant>
        <vt:lpwstr/>
      </vt:variant>
      <vt:variant>
        <vt:lpwstr>_Toc161321755</vt:lpwstr>
      </vt:variant>
      <vt:variant>
        <vt:i4>1441845</vt:i4>
      </vt:variant>
      <vt:variant>
        <vt:i4>71</vt:i4>
      </vt:variant>
      <vt:variant>
        <vt:i4>0</vt:i4>
      </vt:variant>
      <vt:variant>
        <vt:i4>5</vt:i4>
      </vt:variant>
      <vt:variant>
        <vt:lpwstr/>
      </vt:variant>
      <vt:variant>
        <vt:lpwstr>_Toc161321754</vt:lpwstr>
      </vt:variant>
      <vt:variant>
        <vt:i4>1441845</vt:i4>
      </vt:variant>
      <vt:variant>
        <vt:i4>65</vt:i4>
      </vt:variant>
      <vt:variant>
        <vt:i4>0</vt:i4>
      </vt:variant>
      <vt:variant>
        <vt:i4>5</vt:i4>
      </vt:variant>
      <vt:variant>
        <vt:lpwstr/>
      </vt:variant>
      <vt:variant>
        <vt:lpwstr>_Toc161321753</vt:lpwstr>
      </vt:variant>
      <vt:variant>
        <vt:i4>1441845</vt:i4>
      </vt:variant>
      <vt:variant>
        <vt:i4>59</vt:i4>
      </vt:variant>
      <vt:variant>
        <vt:i4>0</vt:i4>
      </vt:variant>
      <vt:variant>
        <vt:i4>5</vt:i4>
      </vt:variant>
      <vt:variant>
        <vt:lpwstr/>
      </vt:variant>
      <vt:variant>
        <vt:lpwstr>_Toc161321752</vt:lpwstr>
      </vt:variant>
      <vt:variant>
        <vt:i4>1441845</vt:i4>
      </vt:variant>
      <vt:variant>
        <vt:i4>53</vt:i4>
      </vt:variant>
      <vt:variant>
        <vt:i4>0</vt:i4>
      </vt:variant>
      <vt:variant>
        <vt:i4>5</vt:i4>
      </vt:variant>
      <vt:variant>
        <vt:lpwstr/>
      </vt:variant>
      <vt:variant>
        <vt:lpwstr>_Toc161321751</vt:lpwstr>
      </vt:variant>
      <vt:variant>
        <vt:i4>1441845</vt:i4>
      </vt:variant>
      <vt:variant>
        <vt:i4>47</vt:i4>
      </vt:variant>
      <vt:variant>
        <vt:i4>0</vt:i4>
      </vt:variant>
      <vt:variant>
        <vt:i4>5</vt:i4>
      </vt:variant>
      <vt:variant>
        <vt:lpwstr/>
      </vt:variant>
      <vt:variant>
        <vt:lpwstr>_Toc161321750</vt:lpwstr>
      </vt:variant>
      <vt:variant>
        <vt:i4>1507381</vt:i4>
      </vt:variant>
      <vt:variant>
        <vt:i4>41</vt:i4>
      </vt:variant>
      <vt:variant>
        <vt:i4>0</vt:i4>
      </vt:variant>
      <vt:variant>
        <vt:i4>5</vt:i4>
      </vt:variant>
      <vt:variant>
        <vt:lpwstr/>
      </vt:variant>
      <vt:variant>
        <vt:lpwstr>_Toc161321749</vt:lpwstr>
      </vt:variant>
      <vt:variant>
        <vt:i4>1507381</vt:i4>
      </vt:variant>
      <vt:variant>
        <vt:i4>35</vt:i4>
      </vt:variant>
      <vt:variant>
        <vt:i4>0</vt:i4>
      </vt:variant>
      <vt:variant>
        <vt:i4>5</vt:i4>
      </vt:variant>
      <vt:variant>
        <vt:lpwstr/>
      </vt:variant>
      <vt:variant>
        <vt:lpwstr>_Toc161321748</vt:lpwstr>
      </vt:variant>
      <vt:variant>
        <vt:i4>1507381</vt:i4>
      </vt:variant>
      <vt:variant>
        <vt:i4>29</vt:i4>
      </vt:variant>
      <vt:variant>
        <vt:i4>0</vt:i4>
      </vt:variant>
      <vt:variant>
        <vt:i4>5</vt:i4>
      </vt:variant>
      <vt:variant>
        <vt:lpwstr/>
      </vt:variant>
      <vt:variant>
        <vt:lpwstr>_Toc161321747</vt:lpwstr>
      </vt:variant>
      <vt:variant>
        <vt:i4>1507381</vt:i4>
      </vt:variant>
      <vt:variant>
        <vt:i4>23</vt:i4>
      </vt:variant>
      <vt:variant>
        <vt:i4>0</vt:i4>
      </vt:variant>
      <vt:variant>
        <vt:i4>5</vt:i4>
      </vt:variant>
      <vt:variant>
        <vt:lpwstr/>
      </vt:variant>
      <vt:variant>
        <vt:lpwstr>_Toc161321746</vt:lpwstr>
      </vt:variant>
      <vt:variant>
        <vt:i4>1507381</vt:i4>
      </vt:variant>
      <vt:variant>
        <vt:i4>17</vt:i4>
      </vt:variant>
      <vt:variant>
        <vt:i4>0</vt:i4>
      </vt:variant>
      <vt:variant>
        <vt:i4>5</vt:i4>
      </vt:variant>
      <vt:variant>
        <vt:lpwstr/>
      </vt:variant>
      <vt:variant>
        <vt:lpwstr>_Toc161321745</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4653063</vt:i4>
      </vt:variant>
      <vt:variant>
        <vt:i4>0</vt:i4>
      </vt:variant>
      <vt:variant>
        <vt:i4>0</vt:i4>
      </vt:variant>
      <vt:variant>
        <vt:i4>5</vt:i4>
      </vt:variant>
      <vt:variant>
        <vt:lpwstr>https://www.dtf.vic.gov.au/infrastructure-investment/investment-lifecycle-and-high-value-high-risk-guidelines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 Investment Lifecycle and High Value High Risk Guidelines - September 2023</dc:title>
  <dc:subject/>
  <dc:creator/>
  <cp:keywords/>
  <dc:description/>
  <cp:lastModifiedBy/>
  <cp:revision>1</cp:revision>
  <dcterms:created xsi:type="dcterms:W3CDTF">2024-03-14T04:18:00Z</dcterms:created>
  <dcterms:modified xsi:type="dcterms:W3CDTF">2024-03-14T04:18:00Z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2024-03-14T04:18:33Z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ea3b3d25-da1b-4553-9b33-dc91f884804b</vt:lpwstr>
  </property>
  <property fmtid="{D5CDD505-2E9C-101B-9397-08002B2CF9AE}" pid="8" name="MSIP_Label_bb4ee517-5ca4-4fff-98d2-ed4f906edd6d_ContentBits">
    <vt:lpwstr>0</vt:lpwstr>
  </property>
  <property fmtid="{D5CDD505-2E9C-101B-9397-08002B2CF9AE}" pid="9" name="PSPFClassification">
    <vt:lpwstr>Do Not Mark</vt:lpwstr>
  </property>
  <property fmtid="{D5CDD505-2E9C-101B-9397-08002B2CF9AE}" pid="10" name="MediaServiceImageTags">
    <vt:lpwstr/>
  </property>
  <property fmtid="{D5CDD505-2E9C-101B-9397-08002B2CF9AE}" pid="11" name="ContentTypeId">
    <vt:lpwstr>0x010100B90C5CF1D5BBA04DAA218BE598E345AC</vt:lpwstr>
  </property>
  <property fmtid="{D5CDD505-2E9C-101B-9397-08002B2CF9AE}" pid="12" name="TitusGUID">
    <vt:lpwstr>346754aa-f64f-4676-8998-5678c96f0a97</vt:lpwstr>
  </property>
</Properties>
</file>